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1110D0">
        <w:trPr>
          <w:trHeight w:val="773"/>
        </w:trPr>
        <w:tc>
          <w:tcPr>
            <w:tcW w:w="10008" w:type="dxa"/>
            <w:gridSpan w:val="2"/>
            <w:vAlign w:val="center"/>
          </w:tcPr>
          <w:p w14:paraId="657B81A9" w14:textId="7CE14E00" w:rsidR="00933839" w:rsidRPr="00204AD9" w:rsidRDefault="003023F1" w:rsidP="001110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182EA9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481B0B">
              <w:rPr>
                <w:rFonts w:ascii="Tahoma" w:eastAsia="Times New Roman" w:hAnsi="Tahoma" w:cs="Tahoma"/>
                <w:b/>
                <w:sz w:val="24"/>
                <w:szCs w:val="24"/>
              </w:rPr>
              <w:t>Program Oversight</w:t>
            </w:r>
          </w:p>
          <w:p w14:paraId="657B81AA" w14:textId="3E66199D" w:rsidR="00481B0B" w:rsidRPr="00481B0B" w:rsidRDefault="00A202F3" w:rsidP="001110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SECTION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A. </w:t>
            </w:r>
            <w:r w:rsidR="00481B0B">
              <w:rPr>
                <w:rFonts w:ascii="Tahoma" w:eastAsia="Times New Roman" w:hAnsi="Tahoma" w:cs="Tahoma"/>
                <w:b/>
                <w:sz w:val="24"/>
                <w:szCs w:val="24"/>
              </w:rPr>
              <w:t>VR&amp;E Program Oversight and Internal Control</w:t>
            </w:r>
          </w:p>
        </w:tc>
      </w:tr>
      <w:tr w:rsidR="003023F1" w:rsidRPr="003023F1" w14:paraId="657B81AD" w14:textId="77777777" w:rsidTr="001110D0">
        <w:trPr>
          <w:trHeight w:val="440"/>
        </w:trPr>
        <w:tc>
          <w:tcPr>
            <w:tcW w:w="10008" w:type="dxa"/>
            <w:gridSpan w:val="2"/>
            <w:vAlign w:val="center"/>
          </w:tcPr>
          <w:p w14:paraId="657B81AC" w14:textId="477EEDCC" w:rsidR="0082054A" w:rsidRPr="003023F1" w:rsidRDefault="0082054A" w:rsidP="001110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ED241A">
              <w:rPr>
                <w:rFonts w:ascii="Tahoma" w:eastAsia="Times New Roman" w:hAnsi="Tahoma" w:cs="Tahoma"/>
                <w:b/>
                <w:sz w:val="24"/>
                <w:szCs w:val="24"/>
              </w:rPr>
              <w:t>5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ED241A">
              <w:rPr>
                <w:rFonts w:ascii="Tahoma" w:eastAsia="Times New Roman" w:hAnsi="Tahoma" w:cs="Tahoma"/>
                <w:b/>
                <w:sz w:val="24"/>
                <w:szCs w:val="24"/>
              </w:rPr>
              <w:t>SYSTEMATIC ANALYSIS OF OPERATIONS</w:t>
            </w:r>
            <w:bookmarkEnd w:id="0"/>
          </w:p>
        </w:tc>
      </w:tr>
      <w:tr w:rsidR="00A202F3" w:rsidRPr="00A202F3" w14:paraId="657B81B3" w14:textId="77777777" w:rsidTr="001110D0">
        <w:trPr>
          <w:trHeight w:val="1700"/>
        </w:trPr>
        <w:tc>
          <w:tcPr>
            <w:tcW w:w="2448" w:type="dxa"/>
            <w:vAlign w:val="center"/>
          </w:tcPr>
          <w:p w14:paraId="657B81AE" w14:textId="208E9A14" w:rsidR="0082054A" w:rsidRPr="00A202F3" w:rsidRDefault="004E3E8E" w:rsidP="001110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202F3"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A202F3" w:rsidRDefault="0082054A" w:rsidP="001110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02F3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EF01D2E" w14:textId="26AEA95B" w:rsidR="00A202F3" w:rsidRPr="00A202F3" w:rsidRDefault="0082054A" w:rsidP="001110D0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A202F3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A202F3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A202F3" w:rsidRPr="00A202F3">
              <w:rPr>
                <w:rFonts w:ascii="Tahoma" w:eastAsia="Times New Roman" w:hAnsi="Tahoma" w:cs="Tahoma"/>
                <w:sz w:val="24"/>
                <w:szCs w:val="24"/>
              </w:rPr>
              <w:t>Know the purpose and scope of analysis</w:t>
            </w:r>
            <w:r w:rsidR="0078541B">
              <w:rPr>
                <w:rFonts w:ascii="Tahoma" w:eastAsia="Times New Roman" w:hAnsi="Tahoma" w:cs="Tahoma"/>
                <w:sz w:val="24"/>
                <w:szCs w:val="24"/>
              </w:rPr>
              <w:t xml:space="preserve"> of </w:t>
            </w:r>
            <w:r w:rsidR="001110D0">
              <w:rPr>
                <w:rFonts w:ascii="Tahoma" w:eastAsia="Times New Roman" w:hAnsi="Tahoma" w:cs="Tahoma"/>
                <w:sz w:val="24"/>
                <w:szCs w:val="24"/>
              </w:rPr>
              <w:t>an</w:t>
            </w:r>
            <w:r w:rsidR="0078541B">
              <w:rPr>
                <w:rFonts w:ascii="Tahoma" w:eastAsia="Times New Roman" w:hAnsi="Tahoma" w:cs="Tahoma"/>
                <w:sz w:val="24"/>
                <w:szCs w:val="24"/>
              </w:rPr>
              <w:t xml:space="preserve"> SAO</w:t>
            </w:r>
            <w:r w:rsidR="00A202F3" w:rsidRPr="00A202F3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45F8094B" w14:textId="77777777" w:rsidR="0004746C" w:rsidRPr="00A202F3" w:rsidRDefault="00A202F3" w:rsidP="0011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02F3">
              <w:rPr>
                <w:rFonts w:ascii="Tahoma" w:eastAsia="Times New Roman" w:hAnsi="Tahoma" w:cs="Tahoma"/>
                <w:sz w:val="24"/>
                <w:szCs w:val="24"/>
              </w:rPr>
              <w:t>Understand the process for developing an SAO.</w:t>
            </w:r>
          </w:p>
          <w:p w14:paraId="657B81B2" w14:textId="38B03B02" w:rsidR="00A202F3" w:rsidRPr="00A202F3" w:rsidRDefault="0078541B" w:rsidP="0011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Understand the method for developing an</w:t>
            </w:r>
            <w:r w:rsidR="00A202F3" w:rsidRPr="00A202F3">
              <w:rPr>
                <w:rFonts w:ascii="Tahoma" w:eastAsia="Times New Roman" w:hAnsi="Tahoma" w:cs="Tahoma"/>
                <w:sz w:val="24"/>
                <w:szCs w:val="24"/>
              </w:rPr>
              <w:t xml:space="preserve"> SAO on VR&amp;E contracting activities</w:t>
            </w:r>
          </w:p>
        </w:tc>
      </w:tr>
      <w:tr w:rsidR="00C63B6F" w:rsidRPr="00C63B6F" w14:paraId="657B81C6" w14:textId="77777777" w:rsidTr="001110D0">
        <w:trPr>
          <w:trHeight w:val="1853"/>
        </w:trPr>
        <w:tc>
          <w:tcPr>
            <w:tcW w:w="2448" w:type="dxa"/>
            <w:vAlign w:val="center"/>
          </w:tcPr>
          <w:p w14:paraId="657B81B4" w14:textId="57896CF1" w:rsidR="0082054A" w:rsidRPr="00C63B6F" w:rsidRDefault="004E3E8E" w:rsidP="001110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501C2F69" w14:textId="25811253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Methodology </w:t>
            </w:r>
          </w:p>
          <w:p w14:paraId="6453AEE7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a. Components of an SAO </w:t>
            </w:r>
          </w:p>
          <w:p w14:paraId="7969B300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1. Selecting a Random Sample </w:t>
            </w:r>
          </w:p>
          <w:p w14:paraId="6704F418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2. Creating an Audit Trail </w:t>
            </w:r>
          </w:p>
          <w:p w14:paraId="4415288A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3. Collecting Data </w:t>
            </w:r>
          </w:p>
          <w:p w14:paraId="7AC11E94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4. Arraying Data </w:t>
            </w:r>
          </w:p>
          <w:p w14:paraId="5DBF1BE9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5. Determining Frequency of Analysis </w:t>
            </w:r>
          </w:p>
          <w:p w14:paraId="079E9523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6. Establishing Continuity of the Analysis-reporting Format </w:t>
            </w:r>
          </w:p>
          <w:p w14:paraId="69CC0ADF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b. Reporting Format </w:t>
            </w:r>
          </w:p>
          <w:p w14:paraId="53C9FED4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1. References </w:t>
            </w:r>
          </w:p>
          <w:p w14:paraId="0741E17D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2. Purpose </w:t>
            </w:r>
          </w:p>
          <w:p w14:paraId="05741D0E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3. Requirements </w:t>
            </w:r>
          </w:p>
          <w:p w14:paraId="528B4EBE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4. Analysis </w:t>
            </w:r>
          </w:p>
          <w:p w14:paraId="4558B2C1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5. Findings </w:t>
            </w:r>
          </w:p>
          <w:p w14:paraId="76CE66E2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6. Conclusions </w:t>
            </w:r>
          </w:p>
          <w:p w14:paraId="674DE4F5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7. Actions and Recommendations </w:t>
            </w:r>
          </w:p>
          <w:p w14:paraId="32558AC2" w14:textId="63A8B44B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Scope of Analysis </w:t>
            </w:r>
          </w:p>
          <w:p w14:paraId="16B902B4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a. Chapter 31 </w:t>
            </w:r>
          </w:p>
          <w:p w14:paraId="52A97F24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b. Debt Avoidance and Fiscal Control </w:t>
            </w:r>
          </w:p>
          <w:p w14:paraId="4B7F7A6B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c. Staff and Office Management </w:t>
            </w:r>
          </w:p>
          <w:p w14:paraId="74883BC0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d. Other Program Areas </w:t>
            </w:r>
          </w:p>
          <w:p w14:paraId="29692FA2" w14:textId="09DE5403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Guidelines for Executing an SAO </w:t>
            </w:r>
          </w:p>
          <w:p w14:paraId="43552F7F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a. Chapter 31 – Vocational Rehabilitation </w:t>
            </w:r>
          </w:p>
          <w:p w14:paraId="360BE637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1. Initial Evaluation </w:t>
            </w:r>
          </w:p>
          <w:p w14:paraId="018BA5F9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2. Extended Evaluation </w:t>
            </w:r>
          </w:p>
          <w:p w14:paraId="656AFAB3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3. Employment Services </w:t>
            </w:r>
          </w:p>
          <w:p w14:paraId="54209C8A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4. Independent Living Services </w:t>
            </w:r>
          </w:p>
          <w:p w14:paraId="02223493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5. Inactive Cases </w:t>
            </w:r>
          </w:p>
          <w:p w14:paraId="7547A817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6. Case Closures </w:t>
            </w:r>
          </w:p>
          <w:p w14:paraId="59087F81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b. Debt Avoidance and Fiscal Control </w:t>
            </w:r>
          </w:p>
          <w:p w14:paraId="36106017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1. Authorization of Subsistence Allowance </w:t>
            </w:r>
          </w:p>
          <w:p w14:paraId="2D431F3C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2. Authorization and Control of Program Costs </w:t>
            </w:r>
          </w:p>
          <w:p w14:paraId="6F820DAF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3. Contracting Activities </w:t>
            </w:r>
          </w:p>
          <w:p w14:paraId="6B53D8C6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c. Staff and Office Management </w:t>
            </w:r>
          </w:p>
          <w:p w14:paraId="0AB01AD8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1. Position Descriptions and Performance Standards </w:t>
            </w:r>
          </w:p>
          <w:p w14:paraId="21028E23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2. Staff Qualifications, Development and Training </w:t>
            </w:r>
          </w:p>
          <w:p w14:paraId="7A139AFF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3. Staff Configuration and Strength </w:t>
            </w:r>
          </w:p>
          <w:p w14:paraId="5D2E1103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4. Resource Allocation and Use </w:t>
            </w:r>
          </w:p>
          <w:p w14:paraId="4B4F7AFA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d. Other Program Areas </w:t>
            </w:r>
          </w:p>
          <w:p w14:paraId="432DAF53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1. Motivation and Outreach </w:t>
            </w:r>
          </w:p>
          <w:p w14:paraId="4AABC936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2. Other Program Benefits </w:t>
            </w:r>
          </w:p>
          <w:p w14:paraId="3B52F017" w14:textId="77777777" w:rsidR="00ED241A" w:rsidRPr="00ED241A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 xml:space="preserve">3. Activities of the Vocational Rehabilitation Panel (VRP) </w:t>
            </w:r>
          </w:p>
          <w:p w14:paraId="657B81C5" w14:textId="77D1632A" w:rsidR="0082054A" w:rsidRPr="00CC483B" w:rsidRDefault="00ED241A" w:rsidP="001110D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>4. Administrative Reviews, Advisory Opinions, Appeals and Equitable Relief</w:t>
            </w:r>
          </w:p>
        </w:tc>
      </w:tr>
      <w:tr w:rsidR="000A4794" w:rsidRPr="009C0C30" w14:paraId="4463A688" w14:textId="77777777" w:rsidTr="001110D0">
        <w:trPr>
          <w:trHeight w:val="953"/>
        </w:trPr>
        <w:tc>
          <w:tcPr>
            <w:tcW w:w="2448" w:type="dxa"/>
            <w:vAlign w:val="center"/>
          </w:tcPr>
          <w:p w14:paraId="3E2E6F5A" w14:textId="215B9C08" w:rsidR="000A4794" w:rsidRDefault="000A4794" w:rsidP="001110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1672924F" w14:textId="003295FE" w:rsidR="000A4794" w:rsidRPr="000A4794" w:rsidRDefault="00ED241A" w:rsidP="001110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D241A">
              <w:rPr>
                <w:rFonts w:ascii="Tahoma" w:eastAsia="Times New Roman" w:hAnsi="Tahoma" w:cs="Tahoma"/>
                <w:sz w:val="24"/>
                <w:szCs w:val="24"/>
              </w:rPr>
              <w:t>Appendix BI. Guidelines for Conducting SAO on VR&amp;E Contracting Activities</w:t>
            </w:r>
          </w:p>
        </w:tc>
      </w:tr>
      <w:tr w:rsidR="00A202F3" w:rsidRPr="00A202F3" w14:paraId="657B81CF" w14:textId="77777777" w:rsidTr="001110D0">
        <w:trPr>
          <w:trHeight w:val="1934"/>
        </w:trPr>
        <w:tc>
          <w:tcPr>
            <w:tcW w:w="2448" w:type="dxa"/>
            <w:vAlign w:val="center"/>
          </w:tcPr>
          <w:p w14:paraId="657B81CA" w14:textId="05AC33C3" w:rsidR="0082054A" w:rsidRPr="00A202F3" w:rsidRDefault="004E3E8E" w:rsidP="001110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202F3"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505C7A4C" w14:textId="77777777" w:rsidR="00B37772" w:rsidRPr="00A202F3" w:rsidRDefault="00A202F3" w:rsidP="001110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02F3">
              <w:rPr>
                <w:rFonts w:ascii="Tahoma" w:eastAsia="Times New Roman" w:hAnsi="Tahoma" w:cs="Tahoma"/>
                <w:sz w:val="24"/>
                <w:szCs w:val="24"/>
              </w:rPr>
              <w:t>What is the purpose of an SAO?</w:t>
            </w:r>
          </w:p>
          <w:p w14:paraId="707CE263" w14:textId="5BD47B90" w:rsidR="00A202F3" w:rsidRPr="00A202F3" w:rsidRDefault="00A202F3" w:rsidP="001110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02F3">
              <w:rPr>
                <w:rFonts w:ascii="Tahoma" w:eastAsia="Times New Roman" w:hAnsi="Tahoma" w:cs="Tahoma"/>
                <w:sz w:val="24"/>
                <w:szCs w:val="24"/>
              </w:rPr>
              <w:t>Describe the</w:t>
            </w:r>
            <w:r w:rsidR="0078541B">
              <w:rPr>
                <w:rFonts w:ascii="Tahoma" w:eastAsia="Times New Roman" w:hAnsi="Tahoma" w:cs="Tahoma"/>
                <w:sz w:val="24"/>
                <w:szCs w:val="24"/>
              </w:rPr>
              <w:t xml:space="preserve"> essential</w:t>
            </w:r>
            <w:r w:rsidRPr="00A202F3">
              <w:rPr>
                <w:rFonts w:ascii="Tahoma" w:eastAsia="Times New Roman" w:hAnsi="Tahoma" w:cs="Tahoma"/>
                <w:sz w:val="24"/>
                <w:szCs w:val="24"/>
              </w:rPr>
              <w:t xml:space="preserve"> components of an SAO.</w:t>
            </w:r>
          </w:p>
          <w:p w14:paraId="368E2DCE" w14:textId="01953A3A" w:rsidR="00A202F3" w:rsidRPr="00A202F3" w:rsidRDefault="00A202F3" w:rsidP="001110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02F3">
              <w:rPr>
                <w:rFonts w:ascii="Tahoma" w:eastAsia="Times New Roman" w:hAnsi="Tahoma" w:cs="Tahoma"/>
                <w:sz w:val="24"/>
                <w:szCs w:val="24"/>
              </w:rPr>
              <w:t>What are the critical elements that must</w:t>
            </w:r>
            <w:r w:rsidR="0078541B">
              <w:rPr>
                <w:rFonts w:ascii="Tahoma" w:eastAsia="Times New Roman" w:hAnsi="Tahoma" w:cs="Tahoma"/>
                <w:sz w:val="24"/>
                <w:szCs w:val="24"/>
              </w:rPr>
              <w:t xml:space="preserve"> be</w:t>
            </w:r>
            <w:r w:rsidRPr="00A202F3">
              <w:rPr>
                <w:rFonts w:ascii="Tahoma" w:eastAsia="Times New Roman" w:hAnsi="Tahoma" w:cs="Tahoma"/>
                <w:sz w:val="24"/>
                <w:szCs w:val="24"/>
              </w:rPr>
              <w:t xml:space="preserve"> included in the SAO? Describe each.</w:t>
            </w:r>
          </w:p>
          <w:p w14:paraId="657B81CE" w14:textId="54E780A9" w:rsidR="00A202F3" w:rsidRPr="00A202F3" w:rsidRDefault="00A202F3" w:rsidP="001110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02F3">
              <w:rPr>
                <w:rFonts w:ascii="Tahoma" w:eastAsia="Times New Roman" w:hAnsi="Tahoma" w:cs="Tahoma"/>
                <w:sz w:val="24"/>
                <w:szCs w:val="24"/>
              </w:rPr>
              <w:t>What are the critical elements when conducting an SAO on contracting activities?</w:t>
            </w:r>
            <w:r w:rsidR="0078541B">
              <w:rPr>
                <w:rFonts w:ascii="Tahoma" w:eastAsia="Times New Roman" w:hAnsi="Tahoma" w:cs="Tahoma"/>
                <w:sz w:val="24"/>
                <w:szCs w:val="24"/>
              </w:rPr>
              <w:t xml:space="preserve"> Describe each.</w:t>
            </w:r>
          </w:p>
        </w:tc>
      </w:tr>
      <w:tr w:rsidR="00A202F3" w:rsidRPr="003023F1" w14:paraId="657B81D2" w14:textId="77777777" w:rsidTr="001110D0">
        <w:trPr>
          <w:trHeight w:val="1214"/>
        </w:trPr>
        <w:tc>
          <w:tcPr>
            <w:tcW w:w="2448" w:type="dxa"/>
            <w:vAlign w:val="center"/>
          </w:tcPr>
          <w:p w14:paraId="657B81D0" w14:textId="0780120E" w:rsidR="00A202F3" w:rsidRPr="00BF6664" w:rsidRDefault="00A202F3" w:rsidP="001110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404D4CFB" w:rsidR="00A202F3" w:rsidRPr="004A5DC0" w:rsidRDefault="00A202F3" w:rsidP="001110D0">
            <w:pPr>
              <w:spacing w:after="0" w:line="240" w:lineRule="auto"/>
              <w:rPr>
                <w:rFonts w:ascii="Tahoma" w:eastAsia="Times New Roman" w:hAnsi="Tahoma" w:cs="Tahoma"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Refer to VR&amp;E Letter 28-14-05, Release of M28R, Part VIII, titled Program Oversight, which was released on November 27,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8B32E" w14:textId="77777777" w:rsidR="00FD4609" w:rsidRDefault="00FD4609" w:rsidP="003C3F6A">
      <w:pPr>
        <w:spacing w:after="0" w:line="240" w:lineRule="auto"/>
      </w:pPr>
      <w:r>
        <w:separator/>
      </w:r>
    </w:p>
  </w:endnote>
  <w:endnote w:type="continuationSeparator" w:id="0">
    <w:p w14:paraId="62F62381" w14:textId="77777777" w:rsidR="00FD4609" w:rsidRDefault="00FD4609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1DD0DA8A" w:rsidR="00061DA5" w:rsidRPr="00061DA5" w:rsidRDefault="00C63B6F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4A5DC0">
      <w:rPr>
        <w:rFonts w:ascii="Tahoma" w:hAnsi="Tahoma" w:cs="Tahoma"/>
        <w:b/>
        <w:sz w:val="20"/>
        <w:szCs w:val="20"/>
      </w:rPr>
      <w:t>II</w:t>
    </w:r>
    <w:r w:rsidR="00182EA9"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 w:rsidR="00ED241A">
      <w:rPr>
        <w:rFonts w:ascii="Tahoma" w:hAnsi="Tahoma" w:cs="Tahoma"/>
        <w:b/>
        <w:sz w:val="20"/>
        <w:szCs w:val="20"/>
      </w:rPr>
      <w:t>5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E5296D" w:rsidRPr="00E5296D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25E5C" w14:textId="77777777" w:rsidR="00FD4609" w:rsidRDefault="00FD4609" w:rsidP="003C3F6A">
      <w:pPr>
        <w:spacing w:after="0" w:line="240" w:lineRule="auto"/>
      </w:pPr>
      <w:r>
        <w:separator/>
      </w:r>
    </w:p>
  </w:footnote>
  <w:footnote w:type="continuationSeparator" w:id="0">
    <w:p w14:paraId="31C351D7" w14:textId="77777777" w:rsidR="00FD4609" w:rsidRDefault="00FD4609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026"/>
    <w:multiLevelType w:val="hybridMultilevel"/>
    <w:tmpl w:val="FED859F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077C5"/>
    <w:multiLevelType w:val="hybridMultilevel"/>
    <w:tmpl w:val="47CE1C4E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56F0A"/>
    <w:multiLevelType w:val="hybridMultilevel"/>
    <w:tmpl w:val="2C925CA6"/>
    <w:lvl w:ilvl="0" w:tplc="64207B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C1207F"/>
    <w:multiLevelType w:val="hybridMultilevel"/>
    <w:tmpl w:val="9138B9C8"/>
    <w:lvl w:ilvl="0" w:tplc="837CD3E0">
      <w:start w:val="1"/>
      <w:numFmt w:val="lowerLetter"/>
      <w:lvlText w:val="(%1)"/>
      <w:legacy w:legacy="1" w:legacySpace="120" w:legacyIndent="360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6266835"/>
    <w:multiLevelType w:val="hybridMultilevel"/>
    <w:tmpl w:val="11ECDCD4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>
    <w:nsid w:val="18802BA5"/>
    <w:multiLevelType w:val="hybridMultilevel"/>
    <w:tmpl w:val="44A6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913"/>
    <w:multiLevelType w:val="hybridMultilevel"/>
    <w:tmpl w:val="272E54E0"/>
    <w:lvl w:ilvl="0" w:tplc="ECF887E4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AFB56ED"/>
    <w:multiLevelType w:val="hybridMultilevel"/>
    <w:tmpl w:val="DD489B62"/>
    <w:lvl w:ilvl="0" w:tplc="0652DEBA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84A72C">
      <w:start w:val="9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3AF89794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13313"/>
    <w:multiLevelType w:val="hybridMultilevel"/>
    <w:tmpl w:val="4BFC820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8348A"/>
    <w:multiLevelType w:val="hybridMultilevel"/>
    <w:tmpl w:val="AFA2814C"/>
    <w:lvl w:ilvl="0" w:tplc="64207B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C6178"/>
    <w:multiLevelType w:val="hybridMultilevel"/>
    <w:tmpl w:val="5C664FE4"/>
    <w:lvl w:ilvl="0" w:tplc="04163B5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1BE1C27"/>
    <w:multiLevelType w:val="hybridMultilevel"/>
    <w:tmpl w:val="5808B67E"/>
    <w:lvl w:ilvl="0" w:tplc="D054E5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4"/>
      </w:rPr>
    </w:lvl>
    <w:lvl w:ilvl="1" w:tplc="64767E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2251"/>
    <w:multiLevelType w:val="hybridMultilevel"/>
    <w:tmpl w:val="E9005CE4"/>
    <w:lvl w:ilvl="0" w:tplc="7BAA84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782EFE0">
      <w:start w:val="1"/>
      <w:numFmt w:val="decimal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4672"/>
    <w:multiLevelType w:val="hybridMultilevel"/>
    <w:tmpl w:val="ACFE31D0"/>
    <w:lvl w:ilvl="0" w:tplc="F782EFE0">
      <w:start w:val="1"/>
      <w:numFmt w:val="decimal"/>
      <w:lvlText w:val="(%1)"/>
      <w:lvlJc w:val="left"/>
      <w:pPr>
        <w:ind w:left="1152" w:hanging="360"/>
      </w:pPr>
      <w:rPr>
        <w:rFonts w:hint="default"/>
        <w:b w:val="0"/>
        <w:i w:val="0"/>
        <w:sz w:val="24"/>
      </w:rPr>
    </w:lvl>
    <w:lvl w:ilvl="1" w:tplc="04163B5E">
      <w:start w:val="1"/>
      <w:numFmt w:val="decimal"/>
      <w:lvlText w:val="(%2)"/>
      <w:lvlJc w:val="left"/>
      <w:pPr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2AD73714"/>
    <w:multiLevelType w:val="hybridMultilevel"/>
    <w:tmpl w:val="DF82FF46"/>
    <w:lvl w:ilvl="0" w:tplc="73C4AFD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2EFE0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630051"/>
    <w:multiLevelType w:val="hybridMultilevel"/>
    <w:tmpl w:val="BFD0048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461060"/>
    <w:multiLevelType w:val="hybridMultilevel"/>
    <w:tmpl w:val="D4CADAE8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>
    <w:nsid w:val="2E7E610F"/>
    <w:multiLevelType w:val="hybridMultilevel"/>
    <w:tmpl w:val="70ECAD42"/>
    <w:lvl w:ilvl="0" w:tplc="EDF0CFB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B5826"/>
    <w:multiLevelType w:val="hybridMultilevel"/>
    <w:tmpl w:val="B6D0F3C4"/>
    <w:lvl w:ilvl="0" w:tplc="3602786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163B5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B0476"/>
    <w:multiLevelType w:val="hybridMultilevel"/>
    <w:tmpl w:val="71C061FA"/>
    <w:lvl w:ilvl="0" w:tplc="2A241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ECF887E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07BDE"/>
    <w:multiLevelType w:val="hybridMultilevel"/>
    <w:tmpl w:val="D19E49E8"/>
    <w:lvl w:ilvl="0" w:tplc="DCEABF7C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C43C9"/>
    <w:multiLevelType w:val="hybridMultilevel"/>
    <w:tmpl w:val="AAAC1A22"/>
    <w:lvl w:ilvl="0" w:tplc="D00E4564">
      <w:start w:val="7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6" w:hanging="360"/>
      </w:pPr>
    </w:lvl>
    <w:lvl w:ilvl="2" w:tplc="757E04E8">
      <w:start w:val="3"/>
      <w:numFmt w:val="lowerLetter"/>
      <w:lvlText w:val="(%3)"/>
      <w:lvlJc w:val="left"/>
      <w:pPr>
        <w:ind w:left="1476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3">
    <w:nsid w:val="51A55B9B"/>
    <w:multiLevelType w:val="hybridMultilevel"/>
    <w:tmpl w:val="9B1607C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A3EA3"/>
    <w:multiLevelType w:val="hybridMultilevel"/>
    <w:tmpl w:val="56F6AA4E"/>
    <w:lvl w:ilvl="0" w:tplc="3AF89794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EA1E1B4C">
      <w:start w:val="1"/>
      <w:numFmt w:val="lowerLetter"/>
      <w:lvlText w:val="(%3)"/>
      <w:lvlJc w:val="left"/>
      <w:pPr>
        <w:ind w:left="3600" w:hanging="1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F259D8"/>
    <w:multiLevelType w:val="hybridMultilevel"/>
    <w:tmpl w:val="82A2F462"/>
    <w:lvl w:ilvl="0" w:tplc="04163B5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8066EB"/>
    <w:multiLevelType w:val="hybridMultilevel"/>
    <w:tmpl w:val="BC88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40B1"/>
    <w:multiLevelType w:val="hybridMultilevel"/>
    <w:tmpl w:val="A0C4FEAC"/>
    <w:lvl w:ilvl="0" w:tplc="ECF887E4">
      <w:start w:val="1"/>
      <w:numFmt w:val="lowerLetter"/>
      <w:lvlText w:val="(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>
    <w:nsid w:val="5CEA467D"/>
    <w:multiLevelType w:val="hybridMultilevel"/>
    <w:tmpl w:val="D43C83B6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CF887E4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EE6BC9"/>
    <w:multiLevelType w:val="hybridMultilevel"/>
    <w:tmpl w:val="B386A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B50F9"/>
    <w:multiLevelType w:val="hybridMultilevel"/>
    <w:tmpl w:val="DD8E3F8A"/>
    <w:lvl w:ilvl="0" w:tplc="78E213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63B5E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91782"/>
    <w:multiLevelType w:val="hybridMultilevel"/>
    <w:tmpl w:val="2A3A58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0A21AA"/>
    <w:multiLevelType w:val="hybridMultilevel"/>
    <w:tmpl w:val="7EDE6E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95DDF"/>
    <w:multiLevelType w:val="hybridMultilevel"/>
    <w:tmpl w:val="08783290"/>
    <w:lvl w:ilvl="0" w:tplc="8084A72C">
      <w:start w:val="9"/>
      <w:numFmt w:val="decimal"/>
      <w:lvlText w:val="%1."/>
      <w:lvlJc w:val="left"/>
      <w:pPr>
        <w:ind w:left="25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9D84EA5"/>
    <w:multiLevelType w:val="hybridMultilevel"/>
    <w:tmpl w:val="A4CA4566"/>
    <w:lvl w:ilvl="0" w:tplc="AC34BB9A">
      <w:start w:val="1"/>
      <w:numFmt w:val="decimal"/>
      <w:lvlText w:val="1.0%1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692298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2" w:tplc="8BC2F88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9A8C6AE">
      <w:start w:val="3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605BCA"/>
    <w:multiLevelType w:val="hybridMultilevel"/>
    <w:tmpl w:val="792E6C00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CC24A12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37028B"/>
    <w:multiLevelType w:val="hybridMultilevel"/>
    <w:tmpl w:val="68026EEC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B271A"/>
    <w:multiLevelType w:val="hybridMultilevel"/>
    <w:tmpl w:val="24A0661C"/>
    <w:lvl w:ilvl="0" w:tplc="DD8277AE">
      <w:start w:val="8"/>
      <w:numFmt w:val="decimal"/>
      <w:lvlText w:val="1.0%1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779D5"/>
    <w:multiLevelType w:val="hybridMultilevel"/>
    <w:tmpl w:val="6052949A"/>
    <w:lvl w:ilvl="0" w:tplc="B0BCA9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CF887E4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00102D"/>
    <w:multiLevelType w:val="singleLevel"/>
    <w:tmpl w:val="3D400F62"/>
    <w:lvl w:ilvl="0">
      <w:start w:val="3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41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2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4"/>
  </w:num>
  <w:num w:numId="3">
    <w:abstractNumId w:val="5"/>
  </w:num>
  <w:num w:numId="4">
    <w:abstractNumId w:val="17"/>
  </w:num>
  <w:num w:numId="5">
    <w:abstractNumId w:val="42"/>
  </w:num>
  <w:num w:numId="6">
    <w:abstractNumId w:val="40"/>
  </w:num>
  <w:num w:numId="7">
    <w:abstractNumId w:val="35"/>
  </w:num>
  <w:num w:numId="8">
    <w:abstractNumId w:val="2"/>
  </w:num>
  <w:num w:numId="9">
    <w:abstractNumId w:val="10"/>
  </w:num>
  <w:num w:numId="10">
    <w:abstractNumId w:val="18"/>
  </w:num>
  <w:num w:numId="11">
    <w:abstractNumId w:val="29"/>
  </w:num>
  <w:num w:numId="12">
    <w:abstractNumId w:val="12"/>
  </w:num>
  <w:num w:numId="13">
    <w:abstractNumId w:val="32"/>
  </w:num>
  <w:num w:numId="14">
    <w:abstractNumId w:val="0"/>
  </w:num>
  <w:num w:numId="15">
    <w:abstractNumId w:val="37"/>
  </w:num>
  <w:num w:numId="16">
    <w:abstractNumId w:val="33"/>
  </w:num>
  <w:num w:numId="17">
    <w:abstractNumId w:val="9"/>
  </w:num>
  <w:num w:numId="18">
    <w:abstractNumId w:val="1"/>
  </w:num>
  <w:num w:numId="19">
    <w:abstractNumId w:val="4"/>
  </w:num>
  <w:num w:numId="20">
    <w:abstractNumId w:val="15"/>
  </w:num>
  <w:num w:numId="21">
    <w:abstractNumId w:val="36"/>
  </w:num>
  <w:num w:numId="22">
    <w:abstractNumId w:val="11"/>
  </w:num>
  <w:num w:numId="23">
    <w:abstractNumId w:val="26"/>
  </w:num>
  <w:num w:numId="24">
    <w:abstractNumId w:val="22"/>
  </w:num>
  <w:num w:numId="25">
    <w:abstractNumId w:val="8"/>
  </w:num>
  <w:num w:numId="26">
    <w:abstractNumId w:val="34"/>
  </w:num>
  <w:num w:numId="27">
    <w:abstractNumId w:val="31"/>
  </w:num>
  <w:num w:numId="28">
    <w:abstractNumId w:val="3"/>
  </w:num>
  <w:num w:numId="29">
    <w:abstractNumId w:val="20"/>
  </w:num>
  <w:num w:numId="30">
    <w:abstractNumId w:val="38"/>
  </w:num>
  <w:num w:numId="31">
    <w:abstractNumId w:val="30"/>
  </w:num>
  <w:num w:numId="32">
    <w:abstractNumId w:val="27"/>
  </w:num>
  <w:num w:numId="33">
    <w:abstractNumId w:val="6"/>
  </w:num>
  <w:num w:numId="34">
    <w:abstractNumId w:val="21"/>
  </w:num>
  <w:num w:numId="35">
    <w:abstractNumId w:val="25"/>
  </w:num>
  <w:num w:numId="36">
    <w:abstractNumId w:val="28"/>
  </w:num>
  <w:num w:numId="37">
    <w:abstractNumId w:val="16"/>
  </w:num>
  <w:num w:numId="38">
    <w:abstractNumId w:val="14"/>
  </w:num>
  <w:num w:numId="39">
    <w:abstractNumId w:val="23"/>
  </w:num>
  <w:num w:numId="40">
    <w:abstractNumId w:val="39"/>
  </w:num>
  <w:num w:numId="41">
    <w:abstractNumId w:val="19"/>
  </w:num>
  <w:num w:numId="42">
    <w:abstractNumId w:val="1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45E2"/>
    <w:rsid w:val="0004746C"/>
    <w:rsid w:val="00061DA5"/>
    <w:rsid w:val="000740BA"/>
    <w:rsid w:val="00092FBF"/>
    <w:rsid w:val="0009711D"/>
    <w:rsid w:val="000A4794"/>
    <w:rsid w:val="000C55A9"/>
    <w:rsid w:val="000E00FE"/>
    <w:rsid w:val="001110D0"/>
    <w:rsid w:val="0013388A"/>
    <w:rsid w:val="00182EA9"/>
    <w:rsid w:val="00186090"/>
    <w:rsid w:val="001B4CC4"/>
    <w:rsid w:val="001B6617"/>
    <w:rsid w:val="001C18BD"/>
    <w:rsid w:val="00204AD9"/>
    <w:rsid w:val="00204E83"/>
    <w:rsid w:val="002052C2"/>
    <w:rsid w:val="00223101"/>
    <w:rsid w:val="00242EE9"/>
    <w:rsid w:val="002C5987"/>
    <w:rsid w:val="003023F1"/>
    <w:rsid w:val="00324A6D"/>
    <w:rsid w:val="00366B57"/>
    <w:rsid w:val="003C075E"/>
    <w:rsid w:val="003C3F6A"/>
    <w:rsid w:val="003D2C4A"/>
    <w:rsid w:val="003F3B00"/>
    <w:rsid w:val="003F7614"/>
    <w:rsid w:val="004228F0"/>
    <w:rsid w:val="00454AD5"/>
    <w:rsid w:val="004623DD"/>
    <w:rsid w:val="004803E3"/>
    <w:rsid w:val="00481B0B"/>
    <w:rsid w:val="00490CEA"/>
    <w:rsid w:val="004A5DC0"/>
    <w:rsid w:val="004D638E"/>
    <w:rsid w:val="004E3E8E"/>
    <w:rsid w:val="005259D9"/>
    <w:rsid w:val="00556481"/>
    <w:rsid w:val="005601F7"/>
    <w:rsid w:val="0056685A"/>
    <w:rsid w:val="005A2CB4"/>
    <w:rsid w:val="005E3FFA"/>
    <w:rsid w:val="00634334"/>
    <w:rsid w:val="00640B8D"/>
    <w:rsid w:val="00656F05"/>
    <w:rsid w:val="0069273A"/>
    <w:rsid w:val="006A132E"/>
    <w:rsid w:val="00765CBB"/>
    <w:rsid w:val="0077255C"/>
    <w:rsid w:val="0078541B"/>
    <w:rsid w:val="007A18E3"/>
    <w:rsid w:val="007F65E4"/>
    <w:rsid w:val="0082054A"/>
    <w:rsid w:val="008A0713"/>
    <w:rsid w:val="008A79A3"/>
    <w:rsid w:val="009112CE"/>
    <w:rsid w:val="00933839"/>
    <w:rsid w:val="00945282"/>
    <w:rsid w:val="009C0C30"/>
    <w:rsid w:val="009E464D"/>
    <w:rsid w:val="00A12D9B"/>
    <w:rsid w:val="00A202F3"/>
    <w:rsid w:val="00A86062"/>
    <w:rsid w:val="00A86A55"/>
    <w:rsid w:val="00B07AC1"/>
    <w:rsid w:val="00B263CA"/>
    <w:rsid w:val="00B32CCB"/>
    <w:rsid w:val="00B37772"/>
    <w:rsid w:val="00B606DF"/>
    <w:rsid w:val="00B93AB0"/>
    <w:rsid w:val="00BF6664"/>
    <w:rsid w:val="00BF7C87"/>
    <w:rsid w:val="00C26670"/>
    <w:rsid w:val="00C51666"/>
    <w:rsid w:val="00C63B6F"/>
    <w:rsid w:val="00C6781B"/>
    <w:rsid w:val="00C740FD"/>
    <w:rsid w:val="00C94FCA"/>
    <w:rsid w:val="00C97C2A"/>
    <w:rsid w:val="00CC483B"/>
    <w:rsid w:val="00CD1692"/>
    <w:rsid w:val="00D42189"/>
    <w:rsid w:val="00D4656D"/>
    <w:rsid w:val="00D72C9F"/>
    <w:rsid w:val="00D864FF"/>
    <w:rsid w:val="00DB760C"/>
    <w:rsid w:val="00DE01E2"/>
    <w:rsid w:val="00DF1B44"/>
    <w:rsid w:val="00DF3FB8"/>
    <w:rsid w:val="00E002E4"/>
    <w:rsid w:val="00E21440"/>
    <w:rsid w:val="00E25C66"/>
    <w:rsid w:val="00E5296D"/>
    <w:rsid w:val="00ED241A"/>
    <w:rsid w:val="00F0706A"/>
    <w:rsid w:val="00F353B8"/>
    <w:rsid w:val="00F6561C"/>
    <w:rsid w:val="00F72EAE"/>
    <w:rsid w:val="00F841F8"/>
    <w:rsid w:val="00F84BEE"/>
    <w:rsid w:val="00F9424E"/>
    <w:rsid w:val="00FA6B3E"/>
    <w:rsid w:val="00FA6F69"/>
    <w:rsid w:val="00FB7595"/>
    <w:rsid w:val="00FC6AEA"/>
    <w:rsid w:val="00FD4609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VIII.A.5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D6D64-255C-471C-8A23-9DC27809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6058440-9F68-489E-8005-09D8FDEE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VIII.A.5</vt:lpstr>
    </vt:vector>
  </TitlesOfParts>
  <Company>Veterans Benefits Administration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VIII.A.5</dc:title>
  <dc:creator>Department of Veterans Affairs, Veterans Benefits Administration,Vocational Rehabilitation and Employment Service, STAFF</dc:creator>
  <cp:keywords>VRE, M28R, lesson, plan, systematic, analysis, operations</cp:keywords>
  <cp:lastModifiedBy>Sochar, Lisa</cp:lastModifiedBy>
  <cp:revision>3</cp:revision>
  <dcterms:created xsi:type="dcterms:W3CDTF">2014-06-16T13:22:00Z</dcterms:created>
  <dcterms:modified xsi:type="dcterms:W3CDTF">2014-08-26T14:59:00Z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