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09B05B8F" w:rsidR="0082054A" w:rsidRPr="003023F1" w:rsidRDefault="00933839" w:rsidP="00B606D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A.  </w:t>
            </w:r>
            <w:r w:rsidR="00B606D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Planning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6CF1BF65" w:rsidR="0082054A" w:rsidRPr="003023F1" w:rsidRDefault="0082054A" w:rsidP="00BA57A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3C6FD6">
              <w:rPr>
                <w:rFonts w:ascii="Tahoma" w:eastAsia="Times New Roman" w:hAnsi="Tahoma" w:cs="Tahoma"/>
                <w:b/>
                <w:sz w:val="24"/>
                <w:szCs w:val="24"/>
              </w:rPr>
              <w:t>7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D732F7">
              <w:rPr>
                <w:rFonts w:ascii="Tahoma" w:eastAsia="Times New Roman" w:hAnsi="Tahoma" w:cs="Tahoma"/>
                <w:b/>
                <w:sz w:val="24"/>
                <w:szCs w:val="24"/>
              </w:rPr>
              <w:t>CASE CLOSURES</w:t>
            </w:r>
          </w:p>
        </w:tc>
      </w:tr>
      <w:tr w:rsidR="004F57E3" w:rsidRPr="004F57E3" w14:paraId="657B81B3" w14:textId="77777777" w:rsidTr="007241E0">
        <w:trPr>
          <w:trHeight w:val="2240"/>
        </w:trPr>
        <w:tc>
          <w:tcPr>
            <w:tcW w:w="2448" w:type="dxa"/>
            <w:vAlign w:val="center"/>
          </w:tcPr>
          <w:p w14:paraId="657B81AE" w14:textId="369D45B7" w:rsidR="0082054A" w:rsidRPr="004F57E3" w:rsidRDefault="00C7620A" w:rsidP="007241E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4F57E3" w:rsidRDefault="0082054A" w:rsidP="007241E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F57E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58C00957" w:rsidR="004F57E3" w:rsidRPr="004F57E3" w:rsidRDefault="0082054A" w:rsidP="007241E0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4F57E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4F57E3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4F57E3" w:rsidRPr="004F57E3">
              <w:rPr>
                <w:rFonts w:ascii="Tahoma" w:eastAsia="Times New Roman" w:hAnsi="Tahoma" w:cs="Tahoma"/>
                <w:sz w:val="24"/>
                <w:szCs w:val="24"/>
              </w:rPr>
              <w:t>Define the proce</w:t>
            </w:r>
            <w:r w:rsidR="00F9781E">
              <w:rPr>
                <w:rFonts w:ascii="Tahoma" w:eastAsia="Times New Roman" w:hAnsi="Tahoma" w:cs="Tahoma"/>
                <w:sz w:val="24"/>
                <w:szCs w:val="24"/>
              </w:rPr>
              <w:t>dure</w:t>
            </w:r>
            <w:r w:rsidR="004F57E3" w:rsidRPr="004F57E3">
              <w:rPr>
                <w:rFonts w:ascii="Tahoma" w:eastAsia="Times New Roman" w:hAnsi="Tahoma" w:cs="Tahoma"/>
                <w:sz w:val="24"/>
                <w:szCs w:val="24"/>
              </w:rPr>
              <w:t>s for closing cases as rehabilitated and discontinued.</w:t>
            </w:r>
          </w:p>
          <w:p w14:paraId="0AB03A1B" w14:textId="1FD0B06F" w:rsidR="0004746C" w:rsidRPr="004F57E3" w:rsidRDefault="004F57E3" w:rsidP="0072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F57E3">
              <w:rPr>
                <w:rFonts w:ascii="Tahoma" w:eastAsia="Times New Roman" w:hAnsi="Tahoma" w:cs="Tahoma"/>
                <w:sz w:val="24"/>
                <w:szCs w:val="24"/>
              </w:rPr>
              <w:t xml:space="preserve">Know when and how to use MRG </w:t>
            </w:r>
            <w:r w:rsidR="00F9781E">
              <w:rPr>
                <w:rFonts w:ascii="Tahoma" w:eastAsia="Times New Roman" w:hAnsi="Tahoma" w:cs="Tahoma"/>
                <w:sz w:val="24"/>
                <w:szCs w:val="24"/>
              </w:rPr>
              <w:t>reason codes for case closures</w:t>
            </w:r>
            <w:r w:rsidRPr="004F57E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B2" w14:textId="4C4AB6B6" w:rsidR="004F57E3" w:rsidRPr="004F57E3" w:rsidRDefault="004F57E3" w:rsidP="0072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F57E3">
              <w:rPr>
                <w:rFonts w:ascii="Tahoma" w:eastAsia="Times New Roman" w:hAnsi="Tahoma" w:cs="Tahoma"/>
                <w:sz w:val="24"/>
                <w:szCs w:val="24"/>
              </w:rPr>
              <w:t>Distinguish the appropriate adverse action</w:t>
            </w:r>
            <w:r w:rsidR="007241E0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4F57E3">
              <w:rPr>
                <w:rFonts w:ascii="Tahoma" w:eastAsia="Times New Roman" w:hAnsi="Tahoma" w:cs="Tahoma"/>
                <w:sz w:val="24"/>
                <w:szCs w:val="24"/>
              </w:rPr>
              <w:t xml:space="preserve"> and due process for case closures.</w:t>
            </w:r>
          </w:p>
        </w:tc>
      </w:tr>
      <w:tr w:rsidR="00950CA8" w:rsidRPr="00950CA8" w14:paraId="657B81C6" w14:textId="77777777" w:rsidTr="00950CA8">
        <w:trPr>
          <w:trHeight w:val="4013"/>
        </w:trPr>
        <w:tc>
          <w:tcPr>
            <w:tcW w:w="2448" w:type="dxa"/>
            <w:vAlign w:val="center"/>
          </w:tcPr>
          <w:p w14:paraId="657B81B4" w14:textId="6A880219" w:rsidR="0082054A" w:rsidRPr="00950CA8" w:rsidRDefault="00C7620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0449CEC3" w14:textId="67FCDE9B" w:rsidR="00950CA8" w:rsidRP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rPr>
                <w:b/>
              </w:rPr>
            </w:pPr>
            <w:r w:rsidRPr="00950CA8">
              <w:rPr>
                <w:b/>
                <w:sz w:val="23"/>
                <w:szCs w:val="23"/>
              </w:rPr>
              <w:t xml:space="preserve">Closing a Case in Rehabilitated Status </w:t>
            </w:r>
          </w:p>
          <w:p w14:paraId="1E8DCC0F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a. Justification for Closure in Rehabilitated Status </w:t>
            </w:r>
          </w:p>
          <w:p w14:paraId="40DA1E49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b. Suitable Employment Determination </w:t>
            </w:r>
          </w:p>
          <w:p w14:paraId="6AF4CD1A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Rehabilitation Closure Without Achieving All Independent Living </w:t>
            </w:r>
          </w:p>
          <w:p w14:paraId="0AC8B143" w14:textId="19596920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    (IL) Goals </w:t>
            </w:r>
          </w:p>
          <w:p w14:paraId="1622B184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 Utilizing Third Party Employment Information When Closing a Case </w:t>
            </w:r>
          </w:p>
          <w:p w14:paraId="5045098B" w14:textId="56D0A1B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    in Rehabilitated Status </w:t>
            </w:r>
          </w:p>
          <w:p w14:paraId="038BE7CD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e. Closure Statement </w:t>
            </w:r>
          </w:p>
          <w:p w14:paraId="29484FD5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f. Other Required Documentation </w:t>
            </w:r>
          </w:p>
          <w:p w14:paraId="562B663C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g. Concurrence for Closure </w:t>
            </w:r>
          </w:p>
          <w:p w14:paraId="59FDED0D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h. CWINRS and Benefits Delivery Network (BDN) Update </w:t>
            </w:r>
          </w:p>
          <w:p w14:paraId="7D7C0314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i. Required Notification Letters </w:t>
            </w:r>
          </w:p>
          <w:p w14:paraId="198F2408" w14:textId="455954F9" w:rsidR="00950CA8" w:rsidRP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rPr>
                <w:b/>
                <w:color w:val="auto"/>
              </w:rPr>
            </w:pPr>
            <w:r w:rsidRPr="00950CA8">
              <w:rPr>
                <w:b/>
                <w:color w:val="auto"/>
                <w:sz w:val="23"/>
                <w:szCs w:val="23"/>
              </w:rPr>
              <w:t xml:space="preserve">Closing a Case in Discontinued Status </w:t>
            </w:r>
          </w:p>
          <w:p w14:paraId="236613DC" w14:textId="6572708A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a. VAF 28-0853, Checklist for Proposed Discontinuance </w:t>
            </w:r>
          </w:p>
          <w:p w14:paraId="1E14A74E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b. Placement in Discontinued Status </w:t>
            </w:r>
          </w:p>
          <w:p w14:paraId="196320A6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c. Special Review of Proposed Discontinuance Action </w:t>
            </w:r>
          </w:p>
          <w:p w14:paraId="0AE83475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d. Justification for Discontinuance Closure </w:t>
            </w:r>
          </w:p>
          <w:p w14:paraId="0931302B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e. Concurrence for Closure </w:t>
            </w:r>
          </w:p>
          <w:p w14:paraId="3F1195EC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f. CWINRS and BDN Update </w:t>
            </w:r>
          </w:p>
          <w:p w14:paraId="20B15055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g. Notification of Discontinuance Decision </w:t>
            </w:r>
          </w:p>
          <w:p w14:paraId="4D639F4D" w14:textId="288F0824" w:rsidR="00950CA8" w:rsidRP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rPr>
                <w:b/>
              </w:rPr>
            </w:pPr>
            <w:r w:rsidRPr="00950CA8">
              <w:rPr>
                <w:b/>
                <w:sz w:val="23"/>
                <w:szCs w:val="23"/>
              </w:rPr>
              <w:t xml:space="preserve">Closing a Case Using Maximum Rehabilitation Gain (MRG) </w:t>
            </w:r>
          </w:p>
          <w:p w14:paraId="01E31F53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a. General </w:t>
            </w:r>
          </w:p>
          <w:p w14:paraId="0135582C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b. When to Use MRG </w:t>
            </w:r>
          </w:p>
          <w:p w14:paraId="7684391F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c. Criteria for MRG </w:t>
            </w:r>
          </w:p>
          <w:p w14:paraId="49904062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d. MRG Categories </w:t>
            </w:r>
          </w:p>
          <w:p w14:paraId="3E02CC70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e. MRG Documentation </w:t>
            </w:r>
          </w:p>
          <w:p w14:paraId="12382652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f. Vocational Rehabilitation and Employment (VR&amp;E) Staff </w:t>
            </w:r>
          </w:p>
          <w:p w14:paraId="0C69C08E" w14:textId="46C84B43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   Responsibilities </w:t>
            </w:r>
          </w:p>
          <w:p w14:paraId="500CAF39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lastRenderedPageBreak/>
              <w:t xml:space="preserve">g. Procedural Guidance </w:t>
            </w:r>
          </w:p>
          <w:p w14:paraId="11AAFAEC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h. MRG Decision Tree </w:t>
            </w:r>
          </w:p>
          <w:p w14:paraId="53747950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i. Achievement of a Vocational Goal Is Not Currently Reasonably </w:t>
            </w:r>
          </w:p>
          <w:p w14:paraId="6768E1B6" w14:textId="6C907C4C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   Feasible </w:t>
            </w:r>
          </w:p>
          <w:p w14:paraId="3DA7E2E0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j. Closure Statement </w:t>
            </w:r>
          </w:p>
          <w:p w14:paraId="6CB78A75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</w:pPr>
            <w:r>
              <w:rPr>
                <w:sz w:val="23"/>
                <w:szCs w:val="23"/>
              </w:rPr>
              <w:t xml:space="preserve">k. Closure Actions </w:t>
            </w:r>
          </w:p>
          <w:p w14:paraId="02CFF39E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l. Overturning Maximum Rehabilitation Gain (MRG) Closures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8FB467" w14:textId="7EC1AB65" w:rsidR="00950CA8" w:rsidRP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rPr>
                <w:sz w:val="20"/>
                <w:szCs w:val="20"/>
              </w:rPr>
            </w:pPr>
            <w:r w:rsidRPr="00950CA8">
              <w:rPr>
                <w:b/>
                <w:sz w:val="23"/>
                <w:szCs w:val="23"/>
              </w:rPr>
              <w:t xml:space="preserve">Closing a Deceased Veteran’s Case </w:t>
            </w:r>
          </w:p>
          <w:p w14:paraId="1D08BBDF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a. Sources to Verify a Veteran’s Death </w:t>
            </w:r>
          </w:p>
          <w:p w14:paraId="731C156D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b. Termination of Benefits </w:t>
            </w:r>
          </w:p>
          <w:p w14:paraId="176EF860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c. Overpayment of Subsistence Allowance </w:t>
            </w:r>
          </w:p>
          <w:p w14:paraId="173B456E" w14:textId="7B1F79B1" w:rsidR="00950CA8" w:rsidRP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rPr>
                <w:b/>
                <w:sz w:val="20"/>
                <w:szCs w:val="20"/>
              </w:rPr>
            </w:pPr>
            <w:r w:rsidRPr="00950CA8">
              <w:rPr>
                <w:b/>
                <w:sz w:val="23"/>
                <w:szCs w:val="23"/>
              </w:rPr>
              <w:t xml:space="preserve">Closing a Self-Employment Case </w:t>
            </w:r>
          </w:p>
          <w:p w14:paraId="66D93377" w14:textId="2F86B25D" w:rsidR="00950CA8" w:rsidRDefault="00950CA8" w:rsidP="00950CA8">
            <w:pPr>
              <w:pStyle w:val="Default"/>
              <w:numPr>
                <w:ilvl w:val="0"/>
                <w:numId w:val="6"/>
              </w:numPr>
              <w:tabs>
                <w:tab w:val="left" w:pos="244"/>
                <w:tab w:val="left" w:pos="42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VAF 28-0962, Checklist for Proposed Self-Employment </w:t>
            </w:r>
          </w:p>
          <w:p w14:paraId="57E35C89" w14:textId="3CB17566" w:rsidR="00950CA8" w:rsidRDefault="00950CA8" w:rsidP="00950CA8">
            <w:pPr>
              <w:pStyle w:val="Default"/>
              <w:numPr>
                <w:ilvl w:val="0"/>
                <w:numId w:val="6"/>
              </w:numPr>
              <w:tabs>
                <w:tab w:val="left" w:pos="244"/>
                <w:tab w:val="left" w:pos="421"/>
              </w:tabs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  Rehabilitation </w:t>
            </w:r>
          </w:p>
          <w:p w14:paraId="4861C9DD" w14:textId="77777777" w:rsidR="00950CA8" w:rsidRDefault="00950CA8" w:rsidP="00950CA8">
            <w:pPr>
              <w:pStyle w:val="Default"/>
              <w:tabs>
                <w:tab w:val="left" w:pos="244"/>
                <w:tab w:val="left" w:pos="421"/>
              </w:tabs>
              <w:ind w:left="244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b. Proposed Rehabilitation Denied </w:t>
            </w:r>
          </w:p>
          <w:p w14:paraId="657B81C5" w14:textId="554A7F01" w:rsidR="0082054A" w:rsidRPr="00950CA8" w:rsidRDefault="00950CA8" w:rsidP="00950CA8">
            <w:pPr>
              <w:tabs>
                <w:tab w:val="left" w:pos="244"/>
                <w:tab w:val="left" w:pos="421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0CA8">
              <w:rPr>
                <w:rFonts w:ascii="Tahoma" w:hAnsi="Tahoma" w:cs="Tahoma"/>
                <w:b/>
                <w:sz w:val="24"/>
                <w:szCs w:val="24"/>
              </w:rPr>
              <w:t>Adverse Action and Due Process</w:t>
            </w:r>
          </w:p>
        </w:tc>
      </w:tr>
      <w:tr w:rsidR="00950CA8" w:rsidRPr="00950CA8" w14:paraId="657B81C9" w14:textId="77777777" w:rsidTr="00950CA8">
        <w:trPr>
          <w:trHeight w:val="899"/>
        </w:trPr>
        <w:tc>
          <w:tcPr>
            <w:tcW w:w="2448" w:type="dxa"/>
            <w:vAlign w:val="center"/>
          </w:tcPr>
          <w:p w14:paraId="657B81C7" w14:textId="77777777" w:rsidR="001C18BD" w:rsidRPr="00950CA8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0CA8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194D5E4D" w14:textId="2C01EEB9" w:rsidR="00950CA8" w:rsidRPr="00950CA8" w:rsidRDefault="00950CA8" w:rsidP="00950CA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0CA8">
              <w:rPr>
                <w:rFonts w:ascii="Tahoma" w:eastAsia="Times New Roman" w:hAnsi="Tahoma" w:cs="Tahoma"/>
                <w:sz w:val="24"/>
                <w:szCs w:val="24"/>
              </w:rPr>
              <w:t xml:space="preserve">Appendix O.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950CA8">
              <w:rPr>
                <w:rFonts w:ascii="Tahoma" w:eastAsia="Times New Roman" w:hAnsi="Tahoma" w:cs="Tahoma"/>
                <w:sz w:val="24"/>
                <w:szCs w:val="24"/>
              </w:rPr>
              <w:t>VA Forms</w:t>
            </w:r>
          </w:p>
          <w:p w14:paraId="657B81C8" w14:textId="613006CC" w:rsidR="001C18BD" w:rsidRPr="00950CA8" w:rsidRDefault="00950CA8" w:rsidP="00950CA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0CA8">
              <w:rPr>
                <w:rFonts w:ascii="Tahoma" w:eastAsia="Times New Roman" w:hAnsi="Tahoma" w:cs="Tahoma"/>
                <w:sz w:val="24"/>
                <w:szCs w:val="24"/>
              </w:rPr>
              <w:t xml:space="preserve">Appendix AR.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950CA8">
              <w:rPr>
                <w:rFonts w:ascii="Tahoma" w:eastAsia="Times New Roman" w:hAnsi="Tahoma" w:cs="Tahoma"/>
                <w:sz w:val="24"/>
                <w:szCs w:val="24"/>
              </w:rPr>
              <w:t>MRG Letters</w:t>
            </w:r>
          </w:p>
        </w:tc>
      </w:tr>
      <w:tr w:rsidR="00235DC6" w:rsidRPr="00235DC6" w14:paraId="657B81CF" w14:textId="77777777" w:rsidTr="00F9781E">
        <w:trPr>
          <w:trHeight w:val="3050"/>
        </w:trPr>
        <w:tc>
          <w:tcPr>
            <w:tcW w:w="2448" w:type="dxa"/>
            <w:vAlign w:val="center"/>
          </w:tcPr>
          <w:p w14:paraId="657B81CA" w14:textId="61627CA4" w:rsidR="0082054A" w:rsidRPr="00235DC6" w:rsidRDefault="00C7620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5E86411E" w14:textId="77105A47" w:rsidR="003F7614" w:rsidRPr="00235DC6" w:rsidRDefault="007241E0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9B1A7A"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the procedures</w:t>
            </w:r>
            <w:r w:rsidR="00922F5E"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for </w:t>
            </w:r>
            <w:r w:rsidR="009B1A7A"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declaring </w:t>
            </w:r>
            <w:r w:rsidR="00C7620A">
              <w:rPr>
                <w:rFonts w:ascii="Tahoma" w:eastAsia="Times New Roman" w:hAnsi="Tahoma" w:cs="Tahoma"/>
                <w:sz w:val="24"/>
                <w:szCs w:val="24"/>
              </w:rPr>
              <w:t>a</w:t>
            </w:r>
            <w:r w:rsidR="009B1A7A"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Veteran rehabilitated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and</w:t>
            </w: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closing the</w:t>
            </w: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case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14:paraId="3AD9DA2A" w14:textId="06DBA955" w:rsidR="009B1A7A" w:rsidRPr="00235DC6" w:rsidRDefault="009B1A7A" w:rsidP="009B1A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Discuss the </w:t>
            </w:r>
            <w:r w:rsidR="00C7620A">
              <w:rPr>
                <w:rFonts w:ascii="Tahoma" w:eastAsia="Times New Roman" w:hAnsi="Tahoma" w:cs="Tahoma"/>
                <w:sz w:val="24"/>
                <w:szCs w:val="24"/>
              </w:rPr>
              <w:t>procedures</w:t>
            </w:r>
            <w:r w:rsidR="00C7620A"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>for closing a case as Discontinued.</w:t>
            </w:r>
          </w:p>
          <w:p w14:paraId="77310664" w14:textId="78CE6E0F" w:rsidR="009B1A7A" w:rsidRPr="00235DC6" w:rsidRDefault="009B1A7A" w:rsidP="009B1A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>What</w:t>
            </w:r>
            <w:r w:rsidR="00041BB4"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are</w:t>
            </w: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the requirements and the proce</w:t>
            </w:r>
            <w:r w:rsidR="00F9781E">
              <w:rPr>
                <w:rFonts w:ascii="Tahoma" w:eastAsia="Times New Roman" w:hAnsi="Tahoma" w:cs="Tahoma"/>
                <w:sz w:val="24"/>
                <w:szCs w:val="24"/>
              </w:rPr>
              <w:t>dure</w:t>
            </w:r>
            <w:r w:rsidR="00041BB4" w:rsidRPr="00235DC6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for closing cases using MRG codes?</w:t>
            </w:r>
          </w:p>
          <w:p w14:paraId="5D4BED64" w14:textId="388CA67C" w:rsidR="009B1A7A" w:rsidRPr="00235DC6" w:rsidRDefault="009B1A7A" w:rsidP="009B1A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What </w:t>
            </w:r>
            <w:r w:rsidR="00F9781E">
              <w:rPr>
                <w:rFonts w:ascii="Tahoma" w:eastAsia="Times New Roman" w:hAnsi="Tahoma" w:cs="Tahoma"/>
                <w:sz w:val="24"/>
                <w:szCs w:val="24"/>
              </w:rPr>
              <w:t xml:space="preserve">are the </w:t>
            </w:r>
            <w:r w:rsidR="00C7620A">
              <w:rPr>
                <w:rFonts w:ascii="Tahoma" w:eastAsia="Times New Roman" w:hAnsi="Tahoma" w:cs="Tahoma"/>
                <w:sz w:val="24"/>
                <w:szCs w:val="24"/>
              </w:rPr>
              <w:t xml:space="preserve">methods </w:t>
            </w:r>
            <w:r w:rsidR="00F9781E">
              <w:rPr>
                <w:rFonts w:ascii="Tahoma" w:eastAsia="Times New Roman" w:hAnsi="Tahoma" w:cs="Tahoma"/>
                <w:sz w:val="24"/>
                <w:szCs w:val="24"/>
              </w:rPr>
              <w:t xml:space="preserve">for </w:t>
            </w: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closing a </w:t>
            </w:r>
            <w:r w:rsidR="00F9781E">
              <w:rPr>
                <w:rFonts w:ascii="Tahoma" w:eastAsia="Times New Roman" w:hAnsi="Tahoma" w:cs="Tahoma"/>
                <w:sz w:val="24"/>
                <w:szCs w:val="24"/>
              </w:rPr>
              <w:t>case when notification of a Veteran’s death is received</w:t>
            </w:r>
            <w:r w:rsidRPr="00235DC6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14:paraId="155F3E22" w14:textId="0C378759" w:rsidR="009B1A7A" w:rsidRPr="00235DC6" w:rsidRDefault="00F9781E" w:rsidP="00235D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Describe </w:t>
            </w:r>
            <w:r w:rsidR="009F72EF"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the procedures for </w:t>
            </w:r>
            <w:r w:rsidR="00235DC6" w:rsidRPr="00235DC6">
              <w:rPr>
                <w:rFonts w:ascii="Tahoma" w:eastAsia="Times New Roman" w:hAnsi="Tahoma" w:cs="Tahoma"/>
                <w:sz w:val="24"/>
                <w:szCs w:val="24"/>
              </w:rPr>
              <w:t>rehabilitating</w:t>
            </w:r>
            <w:r w:rsidR="009F72EF"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235DC6" w:rsidRPr="00235DC6">
              <w:rPr>
                <w:rFonts w:ascii="Tahoma" w:eastAsia="Times New Roman" w:hAnsi="Tahoma" w:cs="Tahoma"/>
                <w:sz w:val="24"/>
                <w:szCs w:val="24"/>
              </w:rPr>
              <w:t>self-employment cases.</w:t>
            </w:r>
          </w:p>
          <w:p w14:paraId="657B81CE" w14:textId="61191BBF" w:rsidR="00235DC6" w:rsidRPr="00235DC6" w:rsidRDefault="00F9781E" w:rsidP="00F97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What are </w:t>
            </w:r>
            <w:r w:rsidR="00235DC6" w:rsidRPr="00235DC6">
              <w:rPr>
                <w:rFonts w:ascii="Tahoma" w:eastAsia="Times New Roman" w:hAnsi="Tahoma" w:cs="Tahoma"/>
                <w:sz w:val="24"/>
                <w:szCs w:val="24"/>
              </w:rPr>
              <w:t xml:space="preserve">the procedures for adverse action and providing appropriate due </w:t>
            </w:r>
            <w:r w:rsidR="00C7620A" w:rsidRPr="00235DC6">
              <w:rPr>
                <w:rFonts w:ascii="Tahoma" w:eastAsia="Times New Roman" w:hAnsi="Tahoma" w:cs="Tahoma"/>
                <w:sz w:val="24"/>
                <w:szCs w:val="24"/>
              </w:rPr>
              <w:t>process?</w:t>
            </w:r>
          </w:p>
        </w:tc>
      </w:tr>
      <w:tr w:rsidR="009D1294" w:rsidRPr="009D1294" w14:paraId="657B81D2" w14:textId="77777777" w:rsidTr="00D96925">
        <w:trPr>
          <w:trHeight w:val="989"/>
        </w:trPr>
        <w:tc>
          <w:tcPr>
            <w:tcW w:w="2448" w:type="dxa"/>
            <w:vAlign w:val="center"/>
          </w:tcPr>
          <w:p w14:paraId="657B81D0" w14:textId="39A80540" w:rsidR="0082054A" w:rsidRPr="009D1294" w:rsidRDefault="00C7620A" w:rsidP="00C7620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5092EB9D" w:rsidR="00454AD5" w:rsidRPr="009D1294" w:rsidRDefault="00F128DC" w:rsidP="00D96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128DC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CFAD7" w14:textId="77777777" w:rsidR="00954029" w:rsidRDefault="00954029" w:rsidP="003C3F6A">
      <w:pPr>
        <w:spacing w:after="0" w:line="240" w:lineRule="auto"/>
      </w:pPr>
      <w:r>
        <w:separator/>
      </w:r>
    </w:p>
  </w:endnote>
  <w:endnote w:type="continuationSeparator" w:id="0">
    <w:p w14:paraId="01AE527C" w14:textId="77777777" w:rsidR="00954029" w:rsidRDefault="00954029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33FB2EAB" w:rsidR="00061DA5" w:rsidRPr="00061DA5" w:rsidRDefault="00950CA8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7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FB688B" w:rsidRPr="00FB688B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5A3C4" w14:textId="77777777" w:rsidR="00954029" w:rsidRDefault="00954029" w:rsidP="003C3F6A">
      <w:pPr>
        <w:spacing w:after="0" w:line="240" w:lineRule="auto"/>
      </w:pPr>
      <w:r>
        <w:separator/>
      </w:r>
    </w:p>
  </w:footnote>
  <w:footnote w:type="continuationSeparator" w:id="0">
    <w:p w14:paraId="4B976C02" w14:textId="77777777" w:rsidR="00954029" w:rsidRDefault="00954029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7985"/>
    <w:multiLevelType w:val="hybridMultilevel"/>
    <w:tmpl w:val="886AEC3C"/>
    <w:lvl w:ilvl="0" w:tplc="CDF01C14">
      <w:start w:val="1"/>
      <w:numFmt w:val="lowerLetter"/>
      <w:lvlText w:val="%1.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1BB4"/>
    <w:rsid w:val="0004746C"/>
    <w:rsid w:val="00061DA5"/>
    <w:rsid w:val="00092FBF"/>
    <w:rsid w:val="000C55A9"/>
    <w:rsid w:val="000E00FE"/>
    <w:rsid w:val="0010009C"/>
    <w:rsid w:val="001537C4"/>
    <w:rsid w:val="001A7E43"/>
    <w:rsid w:val="001B4CC4"/>
    <w:rsid w:val="001B6617"/>
    <w:rsid w:val="001C18BD"/>
    <w:rsid w:val="00204AD9"/>
    <w:rsid w:val="002052C2"/>
    <w:rsid w:val="00223101"/>
    <w:rsid w:val="00235DC6"/>
    <w:rsid w:val="00242EE9"/>
    <w:rsid w:val="002B3145"/>
    <w:rsid w:val="003023F1"/>
    <w:rsid w:val="00332A6F"/>
    <w:rsid w:val="0035754F"/>
    <w:rsid w:val="00366B57"/>
    <w:rsid w:val="003C075E"/>
    <w:rsid w:val="003C3A7D"/>
    <w:rsid w:val="003C3F6A"/>
    <w:rsid w:val="003C6FD6"/>
    <w:rsid w:val="003D2C4A"/>
    <w:rsid w:val="003E7E54"/>
    <w:rsid w:val="003F3B00"/>
    <w:rsid w:val="003F7614"/>
    <w:rsid w:val="0042713A"/>
    <w:rsid w:val="0044169B"/>
    <w:rsid w:val="00454AD5"/>
    <w:rsid w:val="004623DD"/>
    <w:rsid w:val="004803E3"/>
    <w:rsid w:val="00490CEA"/>
    <w:rsid w:val="00494780"/>
    <w:rsid w:val="004C591D"/>
    <w:rsid w:val="004F57E3"/>
    <w:rsid w:val="005259D9"/>
    <w:rsid w:val="005601F7"/>
    <w:rsid w:val="005E3FFA"/>
    <w:rsid w:val="00634334"/>
    <w:rsid w:val="00656F05"/>
    <w:rsid w:val="006A132E"/>
    <w:rsid w:val="007241E0"/>
    <w:rsid w:val="0077255C"/>
    <w:rsid w:val="007A18E3"/>
    <w:rsid w:val="0082054A"/>
    <w:rsid w:val="008561AA"/>
    <w:rsid w:val="008A79A3"/>
    <w:rsid w:val="008B3F9E"/>
    <w:rsid w:val="00920A42"/>
    <w:rsid w:val="00922F5E"/>
    <w:rsid w:val="00933839"/>
    <w:rsid w:val="00945282"/>
    <w:rsid w:val="00950CA8"/>
    <w:rsid w:val="00954029"/>
    <w:rsid w:val="009B1A7A"/>
    <w:rsid w:val="009D1294"/>
    <w:rsid w:val="009F72EF"/>
    <w:rsid w:val="00A12D9B"/>
    <w:rsid w:val="00A815BB"/>
    <w:rsid w:val="00A86062"/>
    <w:rsid w:val="00A86A55"/>
    <w:rsid w:val="00AA3CE9"/>
    <w:rsid w:val="00B07AC1"/>
    <w:rsid w:val="00B263CA"/>
    <w:rsid w:val="00B32CCB"/>
    <w:rsid w:val="00B606DF"/>
    <w:rsid w:val="00B65ED2"/>
    <w:rsid w:val="00BA57AF"/>
    <w:rsid w:val="00BE7BCF"/>
    <w:rsid w:val="00BF7C87"/>
    <w:rsid w:val="00C740FD"/>
    <w:rsid w:val="00C7620A"/>
    <w:rsid w:val="00C94FCA"/>
    <w:rsid w:val="00C97C2A"/>
    <w:rsid w:val="00CD1692"/>
    <w:rsid w:val="00CF49B9"/>
    <w:rsid w:val="00D42189"/>
    <w:rsid w:val="00D72C9F"/>
    <w:rsid w:val="00D732F7"/>
    <w:rsid w:val="00D96925"/>
    <w:rsid w:val="00DB760C"/>
    <w:rsid w:val="00E00124"/>
    <w:rsid w:val="00E002E4"/>
    <w:rsid w:val="00E17908"/>
    <w:rsid w:val="00E21440"/>
    <w:rsid w:val="00E71EB0"/>
    <w:rsid w:val="00EA2C69"/>
    <w:rsid w:val="00F0706A"/>
    <w:rsid w:val="00F128DC"/>
    <w:rsid w:val="00F72EAE"/>
    <w:rsid w:val="00F9781E"/>
    <w:rsid w:val="00FA6B3E"/>
    <w:rsid w:val="00FA6F69"/>
    <w:rsid w:val="00FB688B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950CA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950CA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V.A.7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512D2597-09D3-4E5C-BF9D-D936C331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V.A.7</vt:lpstr>
    </vt:vector>
  </TitlesOfParts>
  <Company>Veterans Benefits Administration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V.A.7</dc:title>
  <dc:creator>Department of Veterans Affairs, Veterans Benefits Administration,Vocational Rehabilitation and Employment Service, STAFF</dc:creator>
  <cp:keywords>VRE, M28R, lesson, plan, case, closure</cp:keywords>
  <cp:lastModifiedBy>Sochar, Lisa</cp:lastModifiedBy>
  <cp:revision>3</cp:revision>
  <dcterms:created xsi:type="dcterms:W3CDTF">2014-03-31T12:40:00Z</dcterms:created>
  <dcterms:modified xsi:type="dcterms:W3CDTF">2014-08-26T13:09:00Z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