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4DA47F3F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4DA47F3D" w14:textId="77777777" w:rsidR="009E2175" w:rsidRPr="009E2175" w:rsidRDefault="009E2175" w:rsidP="009E217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9E2175">
              <w:rPr>
                <w:rFonts w:ascii="Tahoma" w:eastAsia="Times New Roman" w:hAnsi="Tahoma" w:cs="Tahoma"/>
                <w:b/>
                <w:sz w:val="24"/>
                <w:szCs w:val="24"/>
              </w:rPr>
              <w:t>PART IV.  Evaluation, Entitlement and Rehabilitation Planning</w:t>
            </w:r>
          </w:p>
          <w:p w14:paraId="4DA47F3E" w14:textId="77777777" w:rsidR="0082054A" w:rsidRPr="0082054A" w:rsidRDefault="009E2175" w:rsidP="009E217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E2175">
              <w:rPr>
                <w:rFonts w:ascii="Tahoma" w:eastAsia="Times New Roman" w:hAnsi="Tahoma" w:cs="Tahoma"/>
                <w:b/>
                <w:sz w:val="24"/>
                <w:szCs w:val="24"/>
              </w:rPr>
              <w:t>Section C.  Plan Development</w:t>
            </w:r>
          </w:p>
        </w:tc>
      </w:tr>
      <w:tr w:rsidR="0082054A" w:rsidRPr="0082054A" w14:paraId="4DA47F42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4DA47F40" w14:textId="77777777" w:rsidR="009E2175" w:rsidRPr="009E2175" w:rsidRDefault="0082054A" w:rsidP="009E217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9E2175">
              <w:rPr>
                <w:rFonts w:ascii="Tahoma" w:eastAsia="Times New Roman" w:hAnsi="Tahoma" w:cs="Tahoma"/>
                <w:b/>
                <w:sz w:val="24"/>
                <w:szCs w:val="24"/>
              </w:rPr>
              <w:t>2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9E2175" w:rsidRPr="009E2175">
              <w:rPr>
                <w:rFonts w:ascii="Tahoma" w:eastAsia="Times New Roman" w:hAnsi="Tahoma" w:cs="Tahoma"/>
                <w:b/>
                <w:sz w:val="24"/>
                <w:szCs w:val="24"/>
              </w:rPr>
              <w:t>CONSIDERATIONS FOR THE DEVELOPMENT AND</w:t>
            </w:r>
          </w:p>
          <w:p w14:paraId="4DA47F41" w14:textId="77777777" w:rsidR="0082054A" w:rsidRPr="0082054A" w:rsidRDefault="009E2175" w:rsidP="009E217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E2175">
              <w:rPr>
                <w:rFonts w:ascii="Tahoma" w:eastAsia="Times New Roman" w:hAnsi="Tahoma" w:cs="Tahoma"/>
                <w:b/>
                <w:sz w:val="24"/>
                <w:szCs w:val="24"/>
              </w:rPr>
              <w:t>ADMINISTRATION OF THE REHABILITATION PLAN</w:t>
            </w:r>
          </w:p>
        </w:tc>
      </w:tr>
      <w:tr w:rsidR="000F61AB" w:rsidRPr="000F61AB" w14:paraId="4DA47F48" w14:textId="77777777" w:rsidTr="005B01D0">
        <w:trPr>
          <w:trHeight w:val="2735"/>
        </w:trPr>
        <w:tc>
          <w:tcPr>
            <w:tcW w:w="2448" w:type="dxa"/>
            <w:vAlign w:val="center"/>
          </w:tcPr>
          <w:p w14:paraId="4DA47F43" w14:textId="77777777" w:rsidR="0082054A" w:rsidRPr="000F61AB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0F61AB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4DA47F44" w14:textId="77777777" w:rsidR="0082054A" w:rsidRPr="000F61AB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F61AB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4DA47F45" w14:textId="77777777" w:rsidR="0072161C" w:rsidRPr="000F61AB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0F61AB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0F61AB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72161C" w:rsidRPr="000F61AB">
              <w:rPr>
                <w:rFonts w:ascii="Tahoma" w:eastAsia="Times New Roman" w:hAnsi="Tahoma" w:cs="Tahoma"/>
                <w:sz w:val="24"/>
                <w:szCs w:val="24"/>
              </w:rPr>
              <w:t xml:space="preserve">Understand the different aspects of a rehabilitation plan and the </w:t>
            </w:r>
            <w:r w:rsidR="00535547" w:rsidRPr="000F61AB">
              <w:rPr>
                <w:rFonts w:ascii="Tahoma" w:eastAsia="Times New Roman" w:hAnsi="Tahoma" w:cs="Tahoma"/>
                <w:sz w:val="24"/>
                <w:szCs w:val="24"/>
              </w:rPr>
              <w:t>necessary services for the Veteran to achieve his or her rehabilitation goal.</w:t>
            </w:r>
          </w:p>
          <w:p w14:paraId="4DA47F46" w14:textId="77777777" w:rsidR="0082054A" w:rsidRDefault="000F61AB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0F61AB">
              <w:rPr>
                <w:rFonts w:ascii="Tahoma" w:eastAsia="Times New Roman" w:hAnsi="Tahoma" w:cs="Tahoma"/>
                <w:sz w:val="24"/>
                <w:szCs w:val="24"/>
              </w:rPr>
              <w:t xml:space="preserve">Identify the different components necessary in developing a rehabilitation plan. </w:t>
            </w:r>
          </w:p>
          <w:p w14:paraId="4DA47F47" w14:textId="77777777" w:rsidR="00071CFC" w:rsidRPr="00071CFC" w:rsidRDefault="00071CFC" w:rsidP="00071CFC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sz w:val="24"/>
                <w:szCs w:val="24"/>
              </w:rPr>
            </w:pPr>
            <w:r w:rsidRPr="00071CFC">
              <w:rPr>
                <w:rFonts w:ascii="Tahoma" w:eastAsia="Times New Roman" w:hAnsi="Tahoma" w:cs="Tahoma"/>
                <w:sz w:val="24"/>
                <w:szCs w:val="24"/>
              </w:rPr>
              <w:t>Define the role of the VRP in selecting a vocational goal and rehabilitation services for Veteran’s with serious employment handicap.</w:t>
            </w:r>
          </w:p>
        </w:tc>
      </w:tr>
      <w:tr w:rsidR="0082054A" w:rsidRPr="0082054A" w14:paraId="4DA47F5E" w14:textId="77777777" w:rsidTr="009E2175">
        <w:trPr>
          <w:trHeight w:val="6236"/>
        </w:trPr>
        <w:tc>
          <w:tcPr>
            <w:tcW w:w="2448" w:type="dxa"/>
            <w:vAlign w:val="center"/>
          </w:tcPr>
          <w:p w14:paraId="4DA47F49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4DA47F4A" w14:textId="77777777" w:rsidR="009E2175" w:rsidRPr="009E2175" w:rsidRDefault="009E2175" w:rsidP="009E2175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E2175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Vocational Rehabilitation Panel’s (VRP) Role in Plan Development </w:t>
            </w:r>
          </w:p>
          <w:p w14:paraId="4DA47F4B" w14:textId="77777777" w:rsidR="009E2175" w:rsidRPr="009E2175" w:rsidRDefault="009E2175" w:rsidP="009E2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9E2175">
              <w:rPr>
                <w:rFonts w:ascii="Tahoma" w:eastAsia="Times New Roman" w:hAnsi="Tahoma" w:cs="Tahoma"/>
                <w:sz w:val="24"/>
                <w:szCs w:val="24"/>
              </w:rPr>
              <w:t>a.</w:t>
            </w:r>
            <w:r>
              <w:t xml:space="preserve">   </w:t>
            </w:r>
            <w:r w:rsidRPr="009E2175">
              <w:rPr>
                <w:rFonts w:ascii="Tahoma" w:eastAsia="Times New Roman" w:hAnsi="Tahoma" w:cs="Tahoma"/>
                <w:sz w:val="24"/>
                <w:szCs w:val="24"/>
              </w:rPr>
              <w:t>VRP Referral</w:t>
            </w:r>
          </w:p>
          <w:p w14:paraId="4DA47F4C" w14:textId="77777777" w:rsidR="009E2175" w:rsidRPr="009E2175" w:rsidRDefault="009E2175" w:rsidP="009E2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b.  </w:t>
            </w:r>
            <w:r w:rsidRPr="009E2175">
              <w:rPr>
                <w:rFonts w:ascii="Tahoma" w:eastAsia="Times New Roman" w:hAnsi="Tahoma" w:cs="Tahoma"/>
                <w:sz w:val="24"/>
                <w:szCs w:val="24"/>
              </w:rPr>
              <w:t xml:space="preserve">Roles and Responsibilities </w:t>
            </w:r>
          </w:p>
          <w:p w14:paraId="4DA47F4D" w14:textId="77777777" w:rsidR="009E2175" w:rsidRPr="009E2175" w:rsidRDefault="009E2175" w:rsidP="009E2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c.  VRP Summary Case Review </w:t>
            </w:r>
          </w:p>
          <w:p w14:paraId="4DA47F4E" w14:textId="77777777" w:rsidR="009E2175" w:rsidRPr="009E2175" w:rsidRDefault="009E2175" w:rsidP="009E2175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d.  Integrating VRP Findings</w:t>
            </w:r>
          </w:p>
          <w:p w14:paraId="4DA47F4F" w14:textId="77777777" w:rsidR="009E2175" w:rsidRPr="009E2175" w:rsidRDefault="009E2175" w:rsidP="009E2175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E2175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Determining Program Participation Rates </w:t>
            </w:r>
          </w:p>
          <w:p w14:paraId="4DA47F50" w14:textId="77777777" w:rsidR="009E2175" w:rsidRPr="009E2175" w:rsidRDefault="009E2175" w:rsidP="009E2175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Full-Time Participation </w:t>
            </w:r>
          </w:p>
          <w:p w14:paraId="4DA47F51" w14:textId="77777777" w:rsidR="009E2175" w:rsidRPr="009E2175" w:rsidRDefault="009E2175" w:rsidP="009E2175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E2175">
              <w:rPr>
                <w:rFonts w:ascii="Tahoma" w:eastAsia="Times New Roman" w:hAnsi="Tahoma" w:cs="Tahoma"/>
                <w:sz w:val="24"/>
                <w:szCs w:val="24"/>
              </w:rPr>
              <w:t xml:space="preserve">Less than Full-Time Participation </w:t>
            </w:r>
          </w:p>
          <w:p w14:paraId="4DA47F52" w14:textId="77777777" w:rsidR="009E2175" w:rsidRPr="009E2175" w:rsidRDefault="009E2175" w:rsidP="009E2175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E2175">
              <w:rPr>
                <w:rFonts w:ascii="Tahoma" w:eastAsia="Times New Roman" w:hAnsi="Tahoma" w:cs="Tahoma"/>
                <w:sz w:val="24"/>
                <w:szCs w:val="24"/>
              </w:rPr>
              <w:t>Less than Half-Time Participation</w:t>
            </w:r>
          </w:p>
          <w:p w14:paraId="4DA47F53" w14:textId="77777777" w:rsidR="009E2175" w:rsidRPr="009E2175" w:rsidRDefault="009E2175" w:rsidP="009E2175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E2175">
              <w:rPr>
                <w:rFonts w:ascii="Tahoma" w:eastAsia="Times New Roman" w:hAnsi="Tahoma" w:cs="Tahoma"/>
                <w:sz w:val="24"/>
                <w:szCs w:val="24"/>
              </w:rPr>
              <w:t xml:space="preserve">Participation for Working Veterans </w:t>
            </w:r>
          </w:p>
          <w:p w14:paraId="4DA47F54" w14:textId="77777777" w:rsidR="009E2175" w:rsidRPr="009E2175" w:rsidRDefault="009E2175" w:rsidP="009E2175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Reduced Work Tolerance</w:t>
            </w:r>
          </w:p>
          <w:p w14:paraId="4DA47F55" w14:textId="77777777" w:rsidR="009E2175" w:rsidRPr="009E2175" w:rsidRDefault="009E2175" w:rsidP="009E2175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E2175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 Appointments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4DA47F56" w14:textId="77777777" w:rsidR="009E2175" w:rsidRPr="009E2175" w:rsidRDefault="009E2175" w:rsidP="009E2175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Definitions </w:t>
            </w:r>
          </w:p>
          <w:p w14:paraId="4DA47F57" w14:textId="77777777" w:rsidR="009E2175" w:rsidRPr="009E2175" w:rsidRDefault="009E2175" w:rsidP="009E2175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Case Management Level </w:t>
            </w:r>
          </w:p>
          <w:p w14:paraId="4DA47F58" w14:textId="77777777" w:rsidR="009E2175" w:rsidRPr="009E2175" w:rsidRDefault="009E2175" w:rsidP="009E2175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E2175">
              <w:rPr>
                <w:rFonts w:ascii="Tahoma" w:eastAsia="Times New Roman" w:hAnsi="Tahoma" w:cs="Tahoma"/>
                <w:sz w:val="24"/>
                <w:szCs w:val="24"/>
              </w:rPr>
              <w:t>Frequency of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Case Management Appointments </w:t>
            </w:r>
          </w:p>
          <w:p w14:paraId="4DA47F59" w14:textId="77777777" w:rsidR="009E2175" w:rsidRPr="009E2175" w:rsidRDefault="009E2175" w:rsidP="009E2175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E2175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Retroactive Induction </w:t>
            </w:r>
          </w:p>
          <w:p w14:paraId="4DA47F5A" w14:textId="77777777" w:rsidR="009E2175" w:rsidRPr="009E2175" w:rsidRDefault="009E2175" w:rsidP="009E2175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E2175">
              <w:rPr>
                <w:rFonts w:ascii="Tahoma" w:eastAsia="Times New Roman" w:hAnsi="Tahoma" w:cs="Tahoma"/>
                <w:sz w:val="24"/>
                <w:szCs w:val="24"/>
              </w:rPr>
              <w:t>Crite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ria for Retroactive Induction </w:t>
            </w:r>
          </w:p>
          <w:p w14:paraId="4DA47F5B" w14:textId="77777777" w:rsidR="009E2175" w:rsidRPr="009E2175" w:rsidRDefault="009E2175" w:rsidP="009E2175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Roles and Responsibilities</w:t>
            </w:r>
          </w:p>
          <w:p w14:paraId="4DA47F5C" w14:textId="77777777" w:rsidR="009E2175" w:rsidRPr="009E2175" w:rsidRDefault="009E2175" w:rsidP="009E2175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E2175">
              <w:rPr>
                <w:rFonts w:ascii="Tahoma" w:eastAsia="Times New Roman" w:hAnsi="Tahoma" w:cs="Tahoma"/>
                <w:sz w:val="24"/>
                <w:szCs w:val="24"/>
              </w:rPr>
              <w:t>Complet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ing the Retroactive Induction</w:t>
            </w:r>
          </w:p>
          <w:p w14:paraId="4DA47F5D" w14:textId="77777777" w:rsidR="0082054A" w:rsidRPr="009E2175" w:rsidRDefault="009E2175" w:rsidP="009E2175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Limitations </w:t>
            </w:r>
          </w:p>
        </w:tc>
      </w:tr>
      <w:tr w:rsidR="005B01D0" w:rsidRPr="005B01D0" w14:paraId="4DA47F65" w14:textId="77777777" w:rsidTr="005B01D0">
        <w:trPr>
          <w:trHeight w:val="5543"/>
        </w:trPr>
        <w:tc>
          <w:tcPr>
            <w:tcW w:w="2448" w:type="dxa"/>
            <w:vAlign w:val="center"/>
          </w:tcPr>
          <w:p w14:paraId="4DA47F5F" w14:textId="77777777" w:rsidR="0082054A" w:rsidRPr="005B01D0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B01D0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Exercises:</w:t>
            </w:r>
          </w:p>
        </w:tc>
        <w:tc>
          <w:tcPr>
            <w:tcW w:w="7560" w:type="dxa"/>
            <w:vAlign w:val="center"/>
          </w:tcPr>
          <w:p w14:paraId="4DA47F60" w14:textId="77777777" w:rsidR="0082054A" w:rsidRPr="005B01D0" w:rsidRDefault="00071CFC" w:rsidP="00071CF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B01D0">
              <w:rPr>
                <w:rFonts w:ascii="Tahoma" w:eastAsia="Times New Roman" w:hAnsi="Tahoma" w:cs="Tahoma"/>
                <w:sz w:val="24"/>
                <w:szCs w:val="24"/>
              </w:rPr>
              <w:t xml:space="preserve">What is a Vocational Rehabilitation Panel? Explain the roles and responsibilities for establishing and </w:t>
            </w:r>
            <w:r w:rsidR="00603246" w:rsidRPr="005B01D0">
              <w:rPr>
                <w:rFonts w:ascii="Tahoma" w:eastAsia="Times New Roman" w:hAnsi="Tahoma" w:cs="Tahoma"/>
                <w:sz w:val="24"/>
                <w:szCs w:val="24"/>
              </w:rPr>
              <w:t xml:space="preserve">conducting deliberations by the VRP. </w:t>
            </w:r>
            <w:r w:rsidRPr="005B01D0">
              <w:rPr>
                <w:rFonts w:ascii="Tahoma" w:eastAsia="Times New Roman" w:hAnsi="Tahoma" w:cs="Tahoma"/>
                <w:sz w:val="24"/>
                <w:szCs w:val="24"/>
              </w:rPr>
              <w:t xml:space="preserve">How are referrals made to the VRP? </w:t>
            </w:r>
            <w:r w:rsidR="00603246" w:rsidRPr="005B01D0">
              <w:rPr>
                <w:rFonts w:ascii="Tahoma" w:eastAsia="Times New Roman" w:hAnsi="Tahoma" w:cs="Tahoma"/>
                <w:sz w:val="24"/>
                <w:szCs w:val="24"/>
              </w:rPr>
              <w:t>Discuss the required documentation for the VRP and how the findings are integrated in the evaluation</w:t>
            </w:r>
            <w:r w:rsidR="00D56991" w:rsidRPr="005B01D0">
              <w:rPr>
                <w:rFonts w:ascii="Tahoma" w:eastAsia="Times New Roman" w:hAnsi="Tahoma" w:cs="Tahoma"/>
                <w:sz w:val="24"/>
                <w:szCs w:val="24"/>
              </w:rPr>
              <w:t xml:space="preserve"> and planning</w:t>
            </w:r>
            <w:r w:rsidR="00603246" w:rsidRPr="005B01D0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4DA47F61" w14:textId="77777777" w:rsidR="00603246" w:rsidRPr="005B01D0" w:rsidRDefault="00603246" w:rsidP="006032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B01D0">
              <w:rPr>
                <w:rFonts w:ascii="Tahoma" w:eastAsia="Times New Roman" w:hAnsi="Tahoma" w:cs="Tahoma"/>
                <w:sz w:val="24"/>
                <w:szCs w:val="24"/>
              </w:rPr>
              <w:t xml:space="preserve">How is a Veteran’s participation in a training program determined? </w:t>
            </w:r>
            <w:r w:rsidR="00D56991" w:rsidRPr="005B01D0">
              <w:rPr>
                <w:rFonts w:ascii="Tahoma" w:eastAsia="Times New Roman" w:hAnsi="Tahoma" w:cs="Tahoma"/>
                <w:sz w:val="24"/>
                <w:szCs w:val="24"/>
              </w:rPr>
              <w:t>How is program participating determined if the</w:t>
            </w:r>
            <w:r w:rsidRPr="005B01D0">
              <w:rPr>
                <w:rFonts w:ascii="Tahoma" w:eastAsia="Times New Roman" w:hAnsi="Tahoma" w:cs="Tahoma"/>
                <w:sz w:val="24"/>
                <w:szCs w:val="24"/>
              </w:rPr>
              <w:t xml:space="preserve"> Veteran is working? </w:t>
            </w:r>
          </w:p>
          <w:p w14:paraId="4DA47F62" w14:textId="77777777" w:rsidR="00603246" w:rsidRPr="005B01D0" w:rsidRDefault="00603246" w:rsidP="006032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B01D0">
              <w:rPr>
                <w:rFonts w:ascii="Tahoma" w:eastAsia="Times New Roman" w:hAnsi="Tahoma" w:cs="Tahoma"/>
                <w:sz w:val="24"/>
                <w:szCs w:val="24"/>
              </w:rPr>
              <w:t>When is reduced work tolerance</w:t>
            </w:r>
            <w:r w:rsidR="00D56991" w:rsidRPr="005B01D0">
              <w:rPr>
                <w:rFonts w:ascii="Tahoma" w:eastAsia="Times New Roman" w:hAnsi="Tahoma" w:cs="Tahoma"/>
                <w:sz w:val="24"/>
                <w:szCs w:val="24"/>
              </w:rPr>
              <w:t xml:space="preserve"> granted to a Veteran? Who makes the determination for reduced work tolerance? Discuss the procedure for implementing reduced work tolerance.</w:t>
            </w:r>
          </w:p>
          <w:p w14:paraId="4DA47F63" w14:textId="77777777" w:rsidR="00D56991" w:rsidRPr="005B01D0" w:rsidRDefault="00D56991" w:rsidP="006032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B01D0">
              <w:rPr>
                <w:rFonts w:ascii="Tahoma" w:eastAsia="Times New Roman" w:hAnsi="Tahoma" w:cs="Tahoma"/>
                <w:sz w:val="24"/>
                <w:szCs w:val="24"/>
              </w:rPr>
              <w:t>Discuss the process of monitoring a Veteran’s progress in his or her rehabilitation program.  What are the means and frequency for monitoring the progress? Define the levels of case management.</w:t>
            </w:r>
          </w:p>
          <w:p w14:paraId="4DA47F64" w14:textId="77777777" w:rsidR="00D56991" w:rsidRPr="005B01D0" w:rsidRDefault="005B01D0" w:rsidP="006032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B01D0">
              <w:rPr>
                <w:rFonts w:ascii="Tahoma" w:eastAsia="Times New Roman" w:hAnsi="Tahoma" w:cs="Tahoma"/>
                <w:sz w:val="24"/>
                <w:szCs w:val="24"/>
              </w:rPr>
              <w:t>When is retroactive induction authorized? Describe the process and procedures for authorizing retroactive induction. Describe the instances in which retroactive induction is not authorized.</w:t>
            </w:r>
          </w:p>
        </w:tc>
      </w:tr>
      <w:tr w:rsidR="0091355E" w:rsidRPr="0014314B" w14:paraId="4DA47F6A" w14:textId="77777777" w:rsidTr="0014314B">
        <w:trPr>
          <w:trHeight w:val="2240"/>
        </w:trPr>
        <w:tc>
          <w:tcPr>
            <w:tcW w:w="2448" w:type="dxa"/>
            <w:vAlign w:val="center"/>
          </w:tcPr>
          <w:p w14:paraId="4DA47F66" w14:textId="57A3AD2A" w:rsidR="0091355E" w:rsidRPr="0014314B" w:rsidRDefault="0091355E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Pr="0014314B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490C597F" w14:textId="77777777" w:rsidR="0091355E" w:rsidRPr="00454AD5" w:rsidRDefault="0091355E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Part IV rescinds the following M28 and M28-1 Chapters:</w:t>
            </w:r>
          </w:p>
          <w:p w14:paraId="79D23061" w14:textId="77777777" w:rsidR="0091355E" w:rsidRPr="00454AD5" w:rsidRDefault="0091355E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iii, Chapters 1-7</w:t>
            </w:r>
          </w:p>
          <w:p w14:paraId="0F96F1E0" w14:textId="77777777" w:rsidR="0091355E" w:rsidRPr="00454AD5" w:rsidRDefault="0091355E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iv, Chapters 1-9</w:t>
            </w:r>
          </w:p>
          <w:p w14:paraId="2CC9E2F0" w14:textId="77777777" w:rsidR="0091355E" w:rsidRPr="00454AD5" w:rsidRDefault="0091355E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M28-1, Part II, Chapters 2, 6, and 8</w:t>
            </w:r>
          </w:p>
          <w:p w14:paraId="5813CC61" w14:textId="77777777" w:rsidR="0091355E" w:rsidRPr="00454AD5" w:rsidRDefault="0091355E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0A94921D" w14:textId="77777777" w:rsidR="0091355E" w:rsidRPr="00454AD5" w:rsidRDefault="0091355E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Circulars and letters are also rescinded:</w:t>
            </w:r>
          </w:p>
          <w:p w14:paraId="00B61318" w14:textId="77777777" w:rsidR="0091355E" w:rsidRPr="00454AD5" w:rsidRDefault="0091355E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4DA47F69" w14:textId="640727CE" w:rsidR="0091355E" w:rsidRPr="0014314B" w:rsidRDefault="0091355E" w:rsidP="008C2C4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018EEA80" wp14:editId="62C6D537">
                  <wp:extent cx="5440011" cy="36219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39" cy="36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A47F6B" w14:textId="77777777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9AA0E" w14:textId="77777777" w:rsidR="002A3EEB" w:rsidRDefault="002A3EEB" w:rsidP="003C3F6A">
      <w:pPr>
        <w:spacing w:after="0" w:line="240" w:lineRule="auto"/>
      </w:pPr>
      <w:r>
        <w:separator/>
      </w:r>
    </w:p>
  </w:endnote>
  <w:endnote w:type="continuationSeparator" w:id="0">
    <w:p w14:paraId="203584D7" w14:textId="77777777" w:rsidR="002A3EEB" w:rsidRDefault="002A3EEB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7F75" w14:textId="77777777" w:rsidR="00061DA5" w:rsidRPr="00061DA5" w:rsidRDefault="009E2175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M28R.IV.C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2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A30E23" w:rsidRPr="00A30E23">
          <w:rPr>
            <w:rFonts w:ascii="Tahoma" w:hAnsi="Tahoma" w:cs="Tahoma"/>
            <w:b/>
            <w:bCs/>
            <w:noProof/>
            <w:sz w:val="20"/>
            <w:szCs w:val="20"/>
          </w:rPr>
          <w:t>3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4DA47F76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A6103" w14:textId="77777777" w:rsidR="002A3EEB" w:rsidRDefault="002A3EEB" w:rsidP="003C3F6A">
      <w:pPr>
        <w:spacing w:after="0" w:line="240" w:lineRule="auto"/>
      </w:pPr>
      <w:r>
        <w:separator/>
      </w:r>
    </w:p>
  </w:footnote>
  <w:footnote w:type="continuationSeparator" w:id="0">
    <w:p w14:paraId="48C4D688" w14:textId="77777777" w:rsidR="002A3EEB" w:rsidRDefault="002A3EEB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7F70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4DA47F77" wp14:editId="4DA47F78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4DA47F71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4DA47F72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4DA47F73" w14:textId="77777777" w:rsidR="003C3F6A" w:rsidRDefault="003C3F6A">
    <w:pPr>
      <w:pStyle w:val="Header"/>
    </w:pPr>
  </w:p>
  <w:p w14:paraId="4DA47F74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56F1"/>
    <w:multiLevelType w:val="hybridMultilevel"/>
    <w:tmpl w:val="D692519A"/>
    <w:lvl w:ilvl="0" w:tplc="9C50324C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23F655A"/>
    <w:multiLevelType w:val="hybridMultilevel"/>
    <w:tmpl w:val="656AF5DE"/>
    <w:lvl w:ilvl="0" w:tplc="E99806D4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92D82"/>
    <w:multiLevelType w:val="hybridMultilevel"/>
    <w:tmpl w:val="9E688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EB6333"/>
    <w:multiLevelType w:val="hybridMultilevel"/>
    <w:tmpl w:val="40764754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5">
    <w:nsid w:val="7E9A2ED2"/>
    <w:multiLevelType w:val="hybridMultilevel"/>
    <w:tmpl w:val="055E39EC"/>
    <w:lvl w:ilvl="0" w:tplc="B07AE1C0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71CFC"/>
    <w:rsid w:val="000C55A9"/>
    <w:rsid w:val="000E00FE"/>
    <w:rsid w:val="000F61AB"/>
    <w:rsid w:val="0014314B"/>
    <w:rsid w:val="001B4CC4"/>
    <w:rsid w:val="002052C2"/>
    <w:rsid w:val="00242EE9"/>
    <w:rsid w:val="002A3EEB"/>
    <w:rsid w:val="002D5481"/>
    <w:rsid w:val="0032409B"/>
    <w:rsid w:val="00366B57"/>
    <w:rsid w:val="003C075E"/>
    <w:rsid w:val="003C3F6A"/>
    <w:rsid w:val="003D2C4A"/>
    <w:rsid w:val="003F3B00"/>
    <w:rsid w:val="005259D9"/>
    <w:rsid w:val="00535547"/>
    <w:rsid w:val="005601F7"/>
    <w:rsid w:val="005B01D0"/>
    <w:rsid w:val="005D0591"/>
    <w:rsid w:val="005D761C"/>
    <w:rsid w:val="005E3FFA"/>
    <w:rsid w:val="00603246"/>
    <w:rsid w:val="006A132E"/>
    <w:rsid w:val="0072161C"/>
    <w:rsid w:val="0077255C"/>
    <w:rsid w:val="007A18E3"/>
    <w:rsid w:val="00803053"/>
    <w:rsid w:val="0082054A"/>
    <w:rsid w:val="008A79A3"/>
    <w:rsid w:val="008C2C4C"/>
    <w:rsid w:val="0091355E"/>
    <w:rsid w:val="00933839"/>
    <w:rsid w:val="00987523"/>
    <w:rsid w:val="009A06EB"/>
    <w:rsid w:val="009E2175"/>
    <w:rsid w:val="00A12D9B"/>
    <w:rsid w:val="00A30E23"/>
    <w:rsid w:val="00A86A55"/>
    <w:rsid w:val="00B07AC1"/>
    <w:rsid w:val="00B263CA"/>
    <w:rsid w:val="00B32CCB"/>
    <w:rsid w:val="00C740FD"/>
    <w:rsid w:val="00C94FCA"/>
    <w:rsid w:val="00CD1692"/>
    <w:rsid w:val="00CE4DA1"/>
    <w:rsid w:val="00D56991"/>
    <w:rsid w:val="00D72C9F"/>
    <w:rsid w:val="00DB760C"/>
    <w:rsid w:val="00E111F5"/>
    <w:rsid w:val="00E21440"/>
    <w:rsid w:val="00F0706A"/>
    <w:rsid w:val="00F6410D"/>
    <w:rsid w:val="00F72EAE"/>
    <w:rsid w:val="00F732C2"/>
    <w:rsid w:val="00FA6B3E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47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E2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E2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IV.C.2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13BCB09-4113-499B-99ED-92EDD2B05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07ADB-AA9B-4513-B756-E81D826DB623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C978DACE-FC21-4E0F-9C4F-8C742A4E1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IV.C.2</vt:lpstr>
    </vt:vector>
  </TitlesOfParts>
  <Company>Veterans Benefits Administration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IV.C.2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4</cp:revision>
  <dcterms:created xsi:type="dcterms:W3CDTF">2014-01-02T17:50:00Z</dcterms:created>
  <dcterms:modified xsi:type="dcterms:W3CDTF">2014-08-26T11:50:00Z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