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5FFD74E6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5FFD74E4" w14:textId="77777777" w:rsidR="008614D8" w:rsidRPr="008614D8" w:rsidRDefault="008614D8" w:rsidP="008614D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8614D8">
              <w:rPr>
                <w:rFonts w:ascii="Tahoma" w:eastAsia="Times New Roman" w:hAnsi="Tahoma" w:cs="Tahoma"/>
                <w:b/>
                <w:sz w:val="24"/>
                <w:szCs w:val="24"/>
              </w:rPr>
              <w:t>PART IV.  Evaluation, Entitlement and Rehabilitation Planning</w:t>
            </w:r>
          </w:p>
          <w:p w14:paraId="5FFD74E5" w14:textId="77777777" w:rsidR="0082054A" w:rsidRPr="0082054A" w:rsidRDefault="008614D8" w:rsidP="008614D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b/>
                <w:sz w:val="24"/>
                <w:szCs w:val="24"/>
              </w:rPr>
              <w:t>Section B.  Initial Evaluation and Entitlement</w:t>
            </w:r>
          </w:p>
        </w:tc>
      </w:tr>
      <w:tr w:rsidR="0082054A" w:rsidRPr="0082054A" w14:paraId="5FFD74E8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5FFD74E7" w14:textId="77777777" w:rsidR="0082054A" w:rsidRPr="0082054A" w:rsidRDefault="0082054A" w:rsidP="008614D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8614D8">
              <w:rPr>
                <w:rFonts w:ascii="Tahoma" w:eastAsia="Times New Roman" w:hAnsi="Tahoma" w:cs="Tahoma"/>
                <w:b/>
                <w:sz w:val="24"/>
                <w:szCs w:val="24"/>
              </w:rPr>
              <w:t>3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8614D8" w:rsidRPr="008614D8">
              <w:rPr>
                <w:rFonts w:ascii="Tahoma" w:eastAsia="Times New Roman" w:hAnsi="Tahoma" w:cs="Tahoma"/>
                <w:b/>
                <w:sz w:val="24"/>
                <w:szCs w:val="24"/>
              </w:rPr>
              <w:t>RESOURCES AND TOOLS FOR INITIAL EVALUATIONS</w:t>
            </w:r>
          </w:p>
        </w:tc>
      </w:tr>
      <w:tr w:rsidR="00AE44D9" w:rsidRPr="00AE44D9" w14:paraId="5FFD74EE" w14:textId="77777777" w:rsidTr="00AE44D9">
        <w:trPr>
          <w:trHeight w:val="1880"/>
        </w:trPr>
        <w:tc>
          <w:tcPr>
            <w:tcW w:w="2448" w:type="dxa"/>
            <w:vAlign w:val="center"/>
          </w:tcPr>
          <w:p w14:paraId="5FFD74E9" w14:textId="77777777" w:rsidR="0082054A" w:rsidRPr="00AE44D9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E44D9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5FFD74EA" w14:textId="77777777" w:rsidR="0082054A" w:rsidRPr="00AE44D9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44D9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5FFD74EB" w14:textId="77777777" w:rsidR="0082054A" w:rsidRPr="00AE44D9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AE44D9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AE44D9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FC57E0" w:rsidRPr="00AE44D9">
              <w:rPr>
                <w:rFonts w:ascii="Tahoma" w:eastAsia="Times New Roman" w:hAnsi="Tahoma" w:cs="Tahoma"/>
                <w:sz w:val="24"/>
                <w:szCs w:val="24"/>
              </w:rPr>
              <w:t xml:space="preserve">Identify </w:t>
            </w:r>
            <w:r w:rsidRPr="00AE44D9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="00FC57E0" w:rsidRPr="00AE44D9">
              <w:rPr>
                <w:rFonts w:ascii="Tahoma" w:eastAsia="Times New Roman" w:hAnsi="Tahoma" w:cs="Tahoma"/>
                <w:sz w:val="24"/>
                <w:szCs w:val="24"/>
              </w:rPr>
              <w:t>resources and tools for initial evaluation.</w:t>
            </w:r>
          </w:p>
          <w:p w14:paraId="5FFD74EC" w14:textId="77777777" w:rsidR="0082054A" w:rsidRPr="00AE44D9" w:rsidRDefault="00FC57E0" w:rsidP="005B7ADF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44D9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role of medical consultation and </w:t>
            </w:r>
            <w:r w:rsidR="005B7ADF" w:rsidRPr="00AE44D9">
              <w:rPr>
                <w:rFonts w:ascii="Tahoma" w:eastAsia="Times New Roman" w:hAnsi="Tahoma" w:cs="Tahoma"/>
                <w:sz w:val="24"/>
                <w:szCs w:val="24"/>
              </w:rPr>
              <w:t>medical opinion related to functional limitations and capacities.</w:t>
            </w:r>
          </w:p>
          <w:p w14:paraId="5FFD74ED" w14:textId="77777777" w:rsidR="005B7ADF" w:rsidRPr="00AE44D9" w:rsidRDefault="00AE44D9" w:rsidP="005B7ADF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44D9">
              <w:rPr>
                <w:rFonts w:ascii="Tahoma" w:eastAsia="Times New Roman" w:hAnsi="Tahoma" w:cs="Tahoma"/>
                <w:sz w:val="24"/>
                <w:szCs w:val="24"/>
              </w:rPr>
              <w:t>Define the different assessments used for a comprehensive initial evaluation.</w:t>
            </w:r>
          </w:p>
        </w:tc>
      </w:tr>
      <w:tr w:rsidR="0082054A" w:rsidRPr="0082054A" w14:paraId="5FFD7504" w14:textId="77777777" w:rsidTr="008614D8">
        <w:trPr>
          <w:trHeight w:val="6470"/>
        </w:trPr>
        <w:tc>
          <w:tcPr>
            <w:tcW w:w="2448" w:type="dxa"/>
            <w:vAlign w:val="center"/>
          </w:tcPr>
          <w:p w14:paraId="5FFD74EF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5FFD74F0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b/>
                <w:sz w:val="24"/>
                <w:szCs w:val="24"/>
              </w:rPr>
              <w:t>Medical Treatment, Care and Services to Veterans and Servicemembers by VHA</w:t>
            </w:r>
          </w:p>
          <w:p w14:paraId="5FFD74F1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b/>
                <w:sz w:val="24"/>
                <w:szCs w:val="24"/>
              </w:rPr>
              <w:t>Role of the Medical Consultant</w:t>
            </w:r>
          </w:p>
          <w:p w14:paraId="5FFD74F2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a. When to Use a Medical Consultant</w:t>
            </w:r>
          </w:p>
          <w:p w14:paraId="5FFD74F3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b. How the Medical Consultant May Provide Services</w:t>
            </w:r>
          </w:p>
          <w:p w14:paraId="5FFD74F4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c. Referrals for Medical Consultation</w:t>
            </w:r>
          </w:p>
          <w:p w14:paraId="5FFD74F5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d. Documenting the Medical Consultation</w:t>
            </w:r>
          </w:p>
          <w:p w14:paraId="5FFD74F6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e. Consideration of the Medical Consultant’s Recommendations</w:t>
            </w:r>
          </w:p>
          <w:p w14:paraId="5FFD74F7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b/>
                <w:sz w:val="24"/>
                <w:szCs w:val="24"/>
              </w:rPr>
              <w:t>Requesting a Medical Opinion Related to Functional Limitations and Capabilities</w:t>
            </w:r>
          </w:p>
          <w:p w14:paraId="5FFD74F8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a. Requesting a Medical Opinion Related to Functional Limitations</w:t>
            </w:r>
          </w:p>
          <w:p w14:paraId="5FFD74F9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b. Requesting a Medical Opinion Related to Specific Capabilities</w:t>
            </w:r>
          </w:p>
          <w:p w14:paraId="5FFD74FA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c. Sources of Information to Define Occupational Requirements</w:t>
            </w:r>
          </w:p>
          <w:p w14:paraId="5FFD74FB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d. Specialized Assessments</w:t>
            </w:r>
          </w:p>
          <w:p w14:paraId="5FFD74FC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b/>
                <w:sz w:val="24"/>
                <w:szCs w:val="24"/>
              </w:rPr>
              <w:t>Assessments and Measurements</w:t>
            </w:r>
          </w:p>
          <w:p w14:paraId="5FFD74FD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a. CareerScope Skills Assessment Portal</w:t>
            </w:r>
          </w:p>
          <w:p w14:paraId="5FFD74FE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b. Importance of Assessments and Measurements</w:t>
            </w:r>
          </w:p>
          <w:p w14:paraId="5FFD74FF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c. Purpose of Standardized Assessments</w:t>
            </w:r>
          </w:p>
          <w:p w14:paraId="5FFD7500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d. Use of Assessments and Measurements</w:t>
            </w:r>
          </w:p>
          <w:p w14:paraId="5FFD7501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e. Assessment Selection</w:t>
            </w:r>
          </w:p>
          <w:p w14:paraId="5FFD7502" w14:textId="77777777" w:rsidR="008614D8" w:rsidRPr="008614D8" w:rsidRDefault="008614D8" w:rsidP="008614D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614D8">
              <w:rPr>
                <w:rFonts w:ascii="Tahoma" w:eastAsia="Times New Roman" w:hAnsi="Tahoma" w:cs="Tahoma"/>
                <w:sz w:val="24"/>
                <w:szCs w:val="24"/>
              </w:rPr>
              <w:t>f. Documenting Assessment Results</w:t>
            </w:r>
          </w:p>
          <w:p w14:paraId="5FFD7503" w14:textId="77777777" w:rsidR="0082054A" w:rsidRPr="008614D8" w:rsidRDefault="008614D8" w:rsidP="008614D8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Contractor Services</w:t>
            </w:r>
          </w:p>
        </w:tc>
      </w:tr>
      <w:tr w:rsidR="00336763" w:rsidRPr="00336763" w14:paraId="5FFD750A" w14:textId="77777777" w:rsidTr="00A86A55">
        <w:trPr>
          <w:trHeight w:val="1340"/>
        </w:trPr>
        <w:tc>
          <w:tcPr>
            <w:tcW w:w="2448" w:type="dxa"/>
            <w:vAlign w:val="center"/>
          </w:tcPr>
          <w:p w14:paraId="5FFD7505" w14:textId="77777777" w:rsidR="0082054A" w:rsidRPr="00336763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36763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5FFD7506" w14:textId="77777777" w:rsidR="0082054A" w:rsidRPr="00336763" w:rsidRDefault="00C94E71" w:rsidP="00AE44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Who is </w:t>
            </w:r>
            <w:r w:rsidR="00AE44D9"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primary provider of </w:t>
            </w:r>
            <w:r w:rsidR="00AE44D9" w:rsidRPr="00336763">
              <w:rPr>
                <w:rFonts w:ascii="Tahoma" w:eastAsia="Times New Roman" w:hAnsi="Tahoma" w:cs="Tahoma"/>
                <w:sz w:val="24"/>
                <w:szCs w:val="24"/>
              </w:rPr>
              <w:t>medical treatment</w:t>
            </w:r>
            <w:r w:rsidR="000F7AAC" w:rsidRPr="00336763">
              <w:rPr>
                <w:rFonts w:ascii="Tahoma" w:eastAsia="Times New Roman" w:hAnsi="Tahoma" w:cs="Tahoma"/>
                <w:sz w:val="24"/>
                <w:szCs w:val="24"/>
              </w:rPr>
              <w:t>, care, and services</w:t>
            </w:r>
            <w:r w:rsidR="00AE44D9"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 for </w:t>
            </w:r>
            <w:r w:rsidR="00A108E7"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a Veteran </w:t>
            </w:r>
            <w:r w:rsidR="00AE44D9" w:rsidRPr="00336763">
              <w:rPr>
                <w:rFonts w:ascii="Tahoma" w:eastAsia="Times New Roman" w:hAnsi="Tahoma" w:cs="Tahoma"/>
                <w:sz w:val="24"/>
                <w:szCs w:val="24"/>
              </w:rPr>
              <w:t>or Servicemember participating in a vo</w:t>
            </w:r>
            <w:r w:rsidRPr="00336763">
              <w:rPr>
                <w:rFonts w:ascii="Tahoma" w:eastAsia="Times New Roman" w:hAnsi="Tahoma" w:cs="Tahoma"/>
                <w:sz w:val="24"/>
                <w:szCs w:val="24"/>
              </w:rPr>
              <w:t>cational rehabilitation program?  Describe the process for obtaining services.</w:t>
            </w:r>
          </w:p>
          <w:p w14:paraId="5FFD7507" w14:textId="77777777" w:rsidR="00AE44D9" w:rsidRPr="00336763" w:rsidRDefault="00A108E7" w:rsidP="00A108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Identify the types of assessments and measurements used in a </w:t>
            </w:r>
            <w:r w:rsidRPr="00336763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comprehensive evaluation. </w:t>
            </w:r>
            <w:r w:rsidR="00C94E71"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 Explain the process for documenting the assessments and results.</w:t>
            </w:r>
          </w:p>
          <w:p w14:paraId="5FFD7508" w14:textId="77777777" w:rsidR="00A108E7" w:rsidRPr="00336763" w:rsidRDefault="00A108E7" w:rsidP="00C94E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If a Veteran's specific capabilities are unclear </w:t>
            </w:r>
            <w:r w:rsidR="00C94E71" w:rsidRPr="00336763">
              <w:rPr>
                <w:rFonts w:ascii="Tahoma" w:eastAsia="Times New Roman" w:hAnsi="Tahoma" w:cs="Tahoma"/>
                <w:sz w:val="24"/>
                <w:szCs w:val="24"/>
              </w:rPr>
              <w:t>concerning</w:t>
            </w:r>
            <w:r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C94E71"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his or her </w:t>
            </w:r>
            <w:r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cognitive or physical functioning, </w:t>
            </w:r>
            <w:r w:rsidR="00C94E71"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what is the VRC’s next step </w:t>
            </w:r>
            <w:r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to determine </w:t>
            </w:r>
            <w:r w:rsidR="00C94E71"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types of </w:t>
            </w:r>
            <w:r w:rsidR="00C94E71"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occupations that </w:t>
            </w:r>
            <w:r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will be suitable </w:t>
            </w:r>
            <w:r w:rsidR="00C94E71" w:rsidRPr="00336763">
              <w:rPr>
                <w:rFonts w:ascii="Tahoma" w:eastAsia="Times New Roman" w:hAnsi="Tahoma" w:cs="Tahoma"/>
                <w:sz w:val="24"/>
                <w:szCs w:val="24"/>
              </w:rPr>
              <w:t>to the Veteran's capacities?  Describe the process.</w:t>
            </w:r>
          </w:p>
          <w:p w14:paraId="5FFD7509" w14:textId="77777777" w:rsidR="00C94E71" w:rsidRPr="00336763" w:rsidRDefault="00336763" w:rsidP="003367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36763">
              <w:rPr>
                <w:rFonts w:ascii="Tahoma" w:eastAsia="Times New Roman" w:hAnsi="Tahoma" w:cs="Tahoma"/>
                <w:sz w:val="24"/>
                <w:szCs w:val="24"/>
              </w:rPr>
              <w:t>Describe the procedure for</w:t>
            </w:r>
            <w:r w:rsidR="00C94E71" w:rsidRPr="00336763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336763">
              <w:rPr>
                <w:rFonts w:ascii="Tahoma" w:eastAsia="Times New Roman" w:hAnsi="Tahoma" w:cs="Tahoma"/>
                <w:sz w:val="24"/>
                <w:szCs w:val="24"/>
              </w:rPr>
              <w:t>referring a Veteran or Servicemember for medical consultation.</w:t>
            </w:r>
          </w:p>
        </w:tc>
      </w:tr>
      <w:tr w:rsidR="00811244" w:rsidRPr="0082054A" w14:paraId="5FFD750D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5FFD750B" w14:textId="2B20A0C6" w:rsidR="00811244" w:rsidRPr="0082054A" w:rsidRDefault="00811244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 Information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478B0F40" w14:textId="77777777" w:rsidR="00811244" w:rsidRPr="00454AD5" w:rsidRDefault="0081124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3CD4F121" w14:textId="77777777" w:rsidR="00811244" w:rsidRPr="00454AD5" w:rsidRDefault="0081124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50334186" w14:textId="77777777" w:rsidR="00811244" w:rsidRPr="00454AD5" w:rsidRDefault="0081124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596596E8" w14:textId="77777777" w:rsidR="00811244" w:rsidRPr="00454AD5" w:rsidRDefault="0081124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295B2B55" w14:textId="77777777" w:rsidR="00811244" w:rsidRPr="00454AD5" w:rsidRDefault="0081124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299A28AF" w14:textId="77777777" w:rsidR="00811244" w:rsidRPr="00454AD5" w:rsidRDefault="0081124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1A177C05" w14:textId="77777777" w:rsidR="00811244" w:rsidRPr="00454AD5" w:rsidRDefault="0081124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5FFD750C" w14:textId="11FD995F" w:rsidR="00811244" w:rsidRPr="008A79A3" w:rsidRDefault="00811244" w:rsidP="008205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drawing>
                <wp:inline distT="0" distB="0" distL="0" distR="0" wp14:anchorId="48F184EA" wp14:editId="7484CFB5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FD750E" w14:textId="77777777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3729F" w14:textId="77777777" w:rsidR="00C541F4" w:rsidRDefault="00C541F4" w:rsidP="003C3F6A">
      <w:pPr>
        <w:spacing w:after="0" w:line="240" w:lineRule="auto"/>
      </w:pPr>
      <w:r>
        <w:separator/>
      </w:r>
    </w:p>
  </w:endnote>
  <w:endnote w:type="continuationSeparator" w:id="0">
    <w:p w14:paraId="30D2C43D" w14:textId="77777777" w:rsidR="00C541F4" w:rsidRDefault="00C541F4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D7518" w14:textId="77777777" w:rsidR="00061DA5" w:rsidRPr="00061DA5" w:rsidRDefault="008614D8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M28R.IV.B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3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C80D29" w:rsidRPr="00C80D29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5FFD7519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3EA1F" w14:textId="77777777" w:rsidR="00C541F4" w:rsidRDefault="00C541F4" w:rsidP="003C3F6A">
      <w:pPr>
        <w:spacing w:after="0" w:line="240" w:lineRule="auto"/>
      </w:pPr>
      <w:r>
        <w:separator/>
      </w:r>
    </w:p>
  </w:footnote>
  <w:footnote w:type="continuationSeparator" w:id="0">
    <w:p w14:paraId="0D7C4B79" w14:textId="77777777" w:rsidR="00C541F4" w:rsidRDefault="00C541F4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D7513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5FFD751A" wp14:editId="5FFD751B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5FFD7514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5FFD7515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5FFD7516" w14:textId="77777777" w:rsidR="003C3F6A" w:rsidRDefault="003C3F6A">
    <w:pPr>
      <w:pStyle w:val="Header"/>
    </w:pPr>
  </w:p>
  <w:p w14:paraId="5FFD7517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78A1"/>
    <w:multiLevelType w:val="hybridMultilevel"/>
    <w:tmpl w:val="93A80C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E00FE"/>
    <w:rsid w:val="000F7AAC"/>
    <w:rsid w:val="001B4CC4"/>
    <w:rsid w:val="002052C2"/>
    <w:rsid w:val="00242EE9"/>
    <w:rsid w:val="00336763"/>
    <w:rsid w:val="00366B57"/>
    <w:rsid w:val="003C075E"/>
    <w:rsid w:val="003C3F6A"/>
    <w:rsid w:val="003D2C4A"/>
    <w:rsid w:val="003E24DE"/>
    <w:rsid w:val="003F3B00"/>
    <w:rsid w:val="00461FAD"/>
    <w:rsid w:val="005259D9"/>
    <w:rsid w:val="005601F7"/>
    <w:rsid w:val="005B7ADF"/>
    <w:rsid w:val="005E3FFA"/>
    <w:rsid w:val="006A132E"/>
    <w:rsid w:val="0077255C"/>
    <w:rsid w:val="007A18E3"/>
    <w:rsid w:val="00811244"/>
    <w:rsid w:val="0082054A"/>
    <w:rsid w:val="008614D8"/>
    <w:rsid w:val="008A79A3"/>
    <w:rsid w:val="00933839"/>
    <w:rsid w:val="0093567C"/>
    <w:rsid w:val="00A108E7"/>
    <w:rsid w:val="00A12D9B"/>
    <w:rsid w:val="00A86A55"/>
    <w:rsid w:val="00AE44D9"/>
    <w:rsid w:val="00B07AC1"/>
    <w:rsid w:val="00B263CA"/>
    <w:rsid w:val="00B32CCB"/>
    <w:rsid w:val="00C541F4"/>
    <w:rsid w:val="00C740FD"/>
    <w:rsid w:val="00C80D29"/>
    <w:rsid w:val="00C94E71"/>
    <w:rsid w:val="00C94FCA"/>
    <w:rsid w:val="00CD1692"/>
    <w:rsid w:val="00D72C9F"/>
    <w:rsid w:val="00DB760C"/>
    <w:rsid w:val="00E21440"/>
    <w:rsid w:val="00ED77BB"/>
    <w:rsid w:val="00F0706A"/>
    <w:rsid w:val="00F72EAE"/>
    <w:rsid w:val="00FA6B3E"/>
    <w:rsid w:val="00FA6F69"/>
    <w:rsid w:val="00FB74D1"/>
    <w:rsid w:val="00FC57E0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D7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E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E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IV.B.3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976DC0B-0834-4B1A-9060-E6A411C02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0DF76-2EAB-4F5B-8225-7FD0EB541153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9A317DC2-85E7-4B33-9E0C-478CE38A8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IV.B.3</vt:lpstr>
    </vt:vector>
  </TitlesOfParts>
  <Company>Veterans Benefits Administration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IV.B.3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dcterms:created xsi:type="dcterms:W3CDTF">2014-01-02T17:46:00Z</dcterms:created>
  <dcterms:modified xsi:type="dcterms:W3CDTF">2014-08-25T20:16:00Z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