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4E3CF06A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4E3CF068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4E3CF069" w14:textId="6B96701D" w:rsidR="0082054A" w:rsidRPr="0082054A" w:rsidRDefault="00933839" w:rsidP="000D42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Rights and Responsibilities</w:t>
            </w:r>
            <w:r w:rsidR="00B4149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Under Chapter 31</w:t>
            </w:r>
          </w:p>
        </w:tc>
      </w:tr>
      <w:tr w:rsidR="0082054A" w:rsidRPr="0082054A" w14:paraId="4E3CF06C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4E3CF06B" w14:textId="77777777" w:rsidR="0082054A" w:rsidRPr="0082054A" w:rsidRDefault="0082054A" w:rsidP="008E7C7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8E7C71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DF2AB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8E7C71" w:rsidRPr="008E7C7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Administrative Reviews, Advisory Opinions, </w:t>
            </w:r>
            <w:r w:rsidR="008E7C71">
              <w:rPr>
                <w:rFonts w:ascii="Tahoma" w:eastAsia="Times New Roman" w:hAnsi="Tahoma" w:cs="Tahoma"/>
                <w:b/>
                <w:sz w:val="24"/>
                <w:szCs w:val="24"/>
              </w:rPr>
              <w:t>Appeals a</w:t>
            </w:r>
            <w:r w:rsidR="008E7C71" w:rsidRPr="008E7C71">
              <w:rPr>
                <w:rFonts w:ascii="Tahoma" w:eastAsia="Times New Roman" w:hAnsi="Tahoma" w:cs="Tahoma"/>
                <w:b/>
                <w:sz w:val="24"/>
                <w:szCs w:val="24"/>
              </w:rPr>
              <w:t>nd Equitable Relief</w:t>
            </w:r>
          </w:p>
        </w:tc>
      </w:tr>
      <w:tr w:rsidR="00EF57EC" w:rsidRPr="00EF57EC" w14:paraId="4E3CF072" w14:textId="77777777" w:rsidTr="008E74FC">
        <w:trPr>
          <w:trHeight w:val="1835"/>
        </w:trPr>
        <w:tc>
          <w:tcPr>
            <w:tcW w:w="2448" w:type="dxa"/>
            <w:vAlign w:val="center"/>
          </w:tcPr>
          <w:p w14:paraId="4E3CF06D" w14:textId="77777777" w:rsidR="0082054A" w:rsidRPr="00EF57EC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F57EC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4E3CF06E" w14:textId="2F97AD21" w:rsidR="0082054A" w:rsidRPr="00EF57EC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F57EC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4E3CF06F" w14:textId="77777777" w:rsidR="0082054A" w:rsidRPr="00EF57EC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EF57EC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EF57EC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D378F8" w:rsidRPr="00EF57EC">
              <w:rPr>
                <w:rFonts w:ascii="Tahoma" w:eastAsia="Times New Roman" w:hAnsi="Tahoma" w:cs="Tahoma"/>
                <w:sz w:val="24"/>
                <w:szCs w:val="24"/>
              </w:rPr>
              <w:t>processes in which a claimant may exercise his/her appeal rights.</w:t>
            </w:r>
          </w:p>
          <w:p w14:paraId="4E3CF070" w14:textId="77777777" w:rsidR="0082054A" w:rsidRPr="00EF57EC" w:rsidRDefault="00D378F8" w:rsidP="008E74F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F57EC">
              <w:rPr>
                <w:rFonts w:ascii="Tahoma" w:eastAsia="Times New Roman" w:hAnsi="Tahoma" w:cs="Tahoma"/>
                <w:sz w:val="24"/>
                <w:szCs w:val="24"/>
              </w:rPr>
              <w:t>Discern the different processes and procedures for submitting an advisory opinion, administrative review, and VBA appeal.</w:t>
            </w:r>
          </w:p>
          <w:p w14:paraId="4E3CF071" w14:textId="77777777" w:rsidR="008E74FC" w:rsidRPr="00EF57EC" w:rsidRDefault="008E74FC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F57EC">
              <w:rPr>
                <w:rFonts w:ascii="Tahoma" w:eastAsia="Times New Roman" w:hAnsi="Tahoma" w:cs="Tahoma"/>
                <w:sz w:val="24"/>
                <w:szCs w:val="24"/>
              </w:rPr>
              <w:t>Determine clear and unmistakable error.</w:t>
            </w:r>
          </w:p>
        </w:tc>
      </w:tr>
      <w:tr w:rsidR="0082054A" w:rsidRPr="0082054A" w14:paraId="4E3CF0AF" w14:textId="77777777" w:rsidTr="00771B9B">
        <w:trPr>
          <w:trHeight w:val="3761"/>
        </w:trPr>
        <w:tc>
          <w:tcPr>
            <w:tcW w:w="2448" w:type="dxa"/>
            <w:vAlign w:val="center"/>
          </w:tcPr>
          <w:p w14:paraId="4E3CF073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4E3CF074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Notification and Appellate Rights</w:t>
            </w:r>
          </w:p>
          <w:p w14:paraId="4E3CF075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Advisory Opinion</w:t>
            </w:r>
          </w:p>
          <w:p w14:paraId="4E3CF076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Definition</w:t>
            </w:r>
          </w:p>
          <w:p w14:paraId="4E3CF077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The Process</w:t>
            </w:r>
          </w:p>
          <w:p w14:paraId="4E3CF078" w14:textId="77777777" w:rsid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 xml:space="preserve">c. Guidelines for Submission of a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Request for an Advisory Opinion</w:t>
            </w:r>
          </w:p>
          <w:p w14:paraId="4E3CF079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Administrative Review</w:t>
            </w:r>
          </w:p>
          <w:p w14:paraId="4E3CF07A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Definition</w:t>
            </w:r>
          </w:p>
          <w:p w14:paraId="4E3CF07B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Timeline for an Administrative Review</w:t>
            </w:r>
          </w:p>
          <w:p w14:paraId="4E3CF07C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c. Veteran Notification of the Administrative Review Outcome</w:t>
            </w:r>
          </w:p>
          <w:p w14:paraId="4E3CF07D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d. The Process</w:t>
            </w:r>
          </w:p>
          <w:p w14:paraId="4E3CF07E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e. Guidelines for Submission of Request for Administrative Review</w:t>
            </w:r>
          </w:p>
          <w:p w14:paraId="4E3CF07F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f. Administrative Review Decision Completed</w:t>
            </w:r>
          </w:p>
          <w:p w14:paraId="4E3CF080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Decisions on Advisory Opinion or Administrative Review</w:t>
            </w:r>
          </w:p>
          <w:p w14:paraId="4E3CF081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Board of Veterans’ Appeal (BVA)</w:t>
            </w:r>
          </w:p>
          <w:p w14:paraId="4E3CF082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4E3CF083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Requirements</w:t>
            </w:r>
          </w:p>
          <w:p w14:paraId="4E3CF084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c. The Appeals Process</w:t>
            </w:r>
          </w:p>
          <w:p w14:paraId="4E3CF085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Veterans Claims Assistance Act (VCAA) of 2000</w:t>
            </w:r>
          </w:p>
          <w:p w14:paraId="4E3CF086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Veterans Appeals Control and Location System (VACOLS)</w:t>
            </w:r>
          </w:p>
          <w:p w14:paraId="4E3CF087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Definition</w:t>
            </w:r>
          </w:p>
          <w:p w14:paraId="4E3CF088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Use of VACOLS</w:t>
            </w:r>
          </w:p>
          <w:p w14:paraId="4E3CF089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c. Appeals Coordinator</w:t>
            </w:r>
          </w:p>
          <w:p w14:paraId="4E3CF08A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d. Updating VACOLS</w:t>
            </w:r>
          </w:p>
          <w:p w14:paraId="4E3CF08B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Notice of Disagreement (NOD)</w:t>
            </w:r>
          </w:p>
          <w:p w14:paraId="4E3CF08C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Definition</w:t>
            </w:r>
          </w:p>
          <w:p w14:paraId="4E3CF08D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Receipt of an NOD</w:t>
            </w:r>
          </w:p>
          <w:p w14:paraId="4E3CF08E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c. Timeline for an NOD</w:t>
            </w:r>
          </w:p>
          <w:p w14:paraId="4E3CF08F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Statement of Case (SOC)</w:t>
            </w:r>
          </w:p>
          <w:p w14:paraId="4E3CF090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a. Definition</w:t>
            </w:r>
          </w:p>
          <w:p w14:paraId="4E3CF091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Requirements for an SOC</w:t>
            </w:r>
          </w:p>
          <w:p w14:paraId="4E3CF092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c. Format</w:t>
            </w:r>
          </w:p>
          <w:p w14:paraId="4E3CF093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d. Issues Not to be Disclosed in an SOC</w:t>
            </w:r>
          </w:p>
          <w:p w14:paraId="4E3CF094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e. Sending SOC to the Claimant and Designated Representative</w:t>
            </w:r>
          </w:p>
          <w:p w14:paraId="4E3CF095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Development of a Supplemental Statement of Case (SSOC)</w:t>
            </w:r>
          </w:p>
          <w:p w14:paraId="4E3CF096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Format</w:t>
            </w:r>
          </w:p>
          <w:p w14:paraId="4E3CF097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Information for an SSOC</w:t>
            </w:r>
          </w:p>
          <w:p w14:paraId="4E3CF098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c. The Process</w:t>
            </w:r>
          </w:p>
          <w:p w14:paraId="4E3CF099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d. Timeline</w:t>
            </w:r>
          </w:p>
          <w:p w14:paraId="4E3CF09A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Board of Veterans’ Appeals (BVA) Remands</w:t>
            </w:r>
          </w:p>
          <w:p w14:paraId="4E3CF09B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Definition</w:t>
            </w:r>
          </w:p>
          <w:p w14:paraId="4E3CF09C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Required Actions</w:t>
            </w:r>
          </w:p>
          <w:p w14:paraId="4E3CF09D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Processing Appeals to Court of Appeals for Veterans Claims (CAVC)</w:t>
            </w:r>
          </w:p>
          <w:p w14:paraId="4E3CF09E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Definition</w:t>
            </w:r>
          </w:p>
          <w:p w14:paraId="4E3CF09F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The Process</w:t>
            </w:r>
          </w:p>
          <w:p w14:paraId="4E3CF0A0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c. Informing the Claimant</w:t>
            </w:r>
          </w:p>
          <w:p w14:paraId="4E3CF0A1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d. Remands from CAVC</w:t>
            </w:r>
          </w:p>
          <w:p w14:paraId="4E3CF0A2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Timeline for Receipt of Substantive Appeal</w:t>
            </w:r>
          </w:p>
          <w:p w14:paraId="4E3CF0A3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Equitable Relief</w:t>
            </w:r>
          </w:p>
          <w:p w14:paraId="4E3CF0A4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4E3CF0A5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Requirements for Issuing Equitable Relief</w:t>
            </w:r>
          </w:p>
          <w:p w14:paraId="4E3CF0A6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c. Development for Equitable Relief</w:t>
            </w:r>
          </w:p>
          <w:p w14:paraId="4E3CF0A7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d. Guidelines for Submission of Request for Equitable Relief</w:t>
            </w:r>
          </w:p>
          <w:p w14:paraId="4E3CF0A8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e. Final Decision</w:t>
            </w:r>
          </w:p>
          <w:p w14:paraId="4E3CF0A9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b/>
                <w:sz w:val="24"/>
                <w:szCs w:val="24"/>
              </w:rPr>
              <w:t>Clear and Unmistakable Error</w:t>
            </w:r>
          </w:p>
          <w:p w14:paraId="4E3CF0AA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a. Definition</w:t>
            </w:r>
          </w:p>
          <w:p w14:paraId="4E3CF0AB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b. Determinations</w:t>
            </w:r>
          </w:p>
          <w:p w14:paraId="4E3CF0AC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c. The Process</w:t>
            </w:r>
          </w:p>
          <w:p w14:paraId="4E3CF0AD" w14:textId="77777777" w:rsidR="007E1877" w:rsidRPr="007E1877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E1877">
              <w:rPr>
                <w:rFonts w:ascii="Tahoma" w:eastAsia="Times New Roman" w:hAnsi="Tahoma" w:cs="Tahoma"/>
                <w:sz w:val="24"/>
                <w:szCs w:val="24"/>
              </w:rPr>
              <w:t>d. Effective Date</w:t>
            </w:r>
          </w:p>
          <w:p w14:paraId="4E3CF0AE" w14:textId="77777777" w:rsidR="0082054A" w:rsidRPr="007A18E3" w:rsidRDefault="007E1877" w:rsidP="007E187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e. Action</w:t>
            </w:r>
          </w:p>
        </w:tc>
      </w:tr>
      <w:tr w:rsidR="0026398A" w:rsidRPr="0026398A" w14:paraId="4E3CF0B7" w14:textId="77777777" w:rsidTr="00EF57EC">
        <w:trPr>
          <w:trHeight w:val="1313"/>
        </w:trPr>
        <w:tc>
          <w:tcPr>
            <w:tcW w:w="2448" w:type="dxa"/>
            <w:vAlign w:val="center"/>
          </w:tcPr>
          <w:p w14:paraId="4E3CF0B0" w14:textId="77777777" w:rsidR="0082054A" w:rsidRPr="0026398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6398A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4E3CF0B1" w14:textId="77777777" w:rsidR="0082054A" w:rsidRPr="0026398A" w:rsidRDefault="008E74FC" w:rsidP="008E74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t>At what instance</w:t>
            </w:r>
            <w:r w:rsidR="0026398A" w:rsidRPr="0026398A">
              <w:rPr>
                <w:rFonts w:ascii="Tahoma" w:eastAsia="Times New Roman" w:hAnsi="Tahoma" w:cs="Tahoma"/>
                <w:sz w:val="24"/>
                <w:szCs w:val="24"/>
              </w:rPr>
              <w:t xml:space="preserve"> can</w:t>
            </w: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t xml:space="preserve"> a claimant </w:t>
            </w:r>
            <w:r w:rsidR="0026398A" w:rsidRPr="0026398A">
              <w:rPr>
                <w:rFonts w:ascii="Tahoma" w:eastAsia="Times New Roman" w:hAnsi="Tahoma" w:cs="Tahoma"/>
                <w:sz w:val="24"/>
                <w:szCs w:val="24"/>
              </w:rPr>
              <w:t xml:space="preserve">be </w:t>
            </w: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t>provided notification and his/her appellate rights?</w:t>
            </w:r>
          </w:p>
          <w:p w14:paraId="4E3CF0B2" w14:textId="77777777" w:rsidR="008E74FC" w:rsidRPr="0026398A" w:rsidRDefault="008E74FC" w:rsidP="008E74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t>Discuss the guidelines for submitting and processing an advisory opinion and an administrative review.</w:t>
            </w:r>
          </w:p>
          <w:p w14:paraId="4E3CF0B3" w14:textId="77777777" w:rsidR="008E74FC" w:rsidRPr="0026398A" w:rsidRDefault="008E74FC" w:rsidP="008E74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t>Differentiate a statement of the case from a supplemental statement of the case.</w:t>
            </w:r>
          </w:p>
          <w:p w14:paraId="4E3CF0B4" w14:textId="77777777" w:rsidR="008E74FC" w:rsidRPr="0026398A" w:rsidRDefault="008E74FC" w:rsidP="008E74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t xml:space="preserve">What are the steps </w:t>
            </w:r>
            <w:r w:rsidR="0026398A" w:rsidRPr="0026398A">
              <w:rPr>
                <w:rFonts w:ascii="Tahoma" w:eastAsia="Times New Roman" w:hAnsi="Tahoma" w:cs="Tahoma"/>
                <w:sz w:val="24"/>
                <w:szCs w:val="24"/>
              </w:rPr>
              <w:t xml:space="preserve">and the timelines </w:t>
            </w: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t xml:space="preserve">required for submitting an </w:t>
            </w: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appeal to BVA?</w:t>
            </w:r>
          </w:p>
          <w:p w14:paraId="4E3CF0B5" w14:textId="77777777" w:rsidR="0026398A" w:rsidRPr="0026398A" w:rsidRDefault="0026398A" w:rsidP="008E74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t>When can an equitable relief granted?</w:t>
            </w:r>
          </w:p>
          <w:p w14:paraId="4E3CF0B6" w14:textId="77777777" w:rsidR="0026398A" w:rsidRPr="0026398A" w:rsidRDefault="0026398A" w:rsidP="008E74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6398A">
              <w:rPr>
                <w:rFonts w:ascii="Tahoma" w:eastAsia="Times New Roman" w:hAnsi="Tahoma" w:cs="Tahoma"/>
                <w:sz w:val="24"/>
                <w:szCs w:val="24"/>
              </w:rPr>
              <w:t>What is the process for establishing a clear and unmistakable error?</w:t>
            </w:r>
          </w:p>
        </w:tc>
      </w:tr>
      <w:tr w:rsidR="0082054A" w:rsidRPr="0082054A" w14:paraId="4E3CF0BA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4E3CF0B8" w14:textId="06316260" w:rsidR="0082054A" w:rsidRPr="0082054A" w:rsidRDefault="00B4149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05580751" w14:textId="77777777" w:rsidR="00B4149A" w:rsidRDefault="00B4149A" w:rsidP="00B4149A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1D1D6ECB" w14:textId="77777777" w:rsidR="00B4149A" w:rsidRDefault="00B4149A" w:rsidP="00B4149A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0D301659" w14:textId="77777777" w:rsidR="00B4149A" w:rsidRDefault="00B4149A" w:rsidP="00B4149A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08D61B71" w14:textId="77777777" w:rsidR="00B4149A" w:rsidRDefault="00B4149A" w:rsidP="00B4149A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18E77FFE" w14:textId="77777777" w:rsidR="00B4149A" w:rsidRPr="002A2351" w:rsidRDefault="00B4149A" w:rsidP="00B4149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4E3CF0B9" w14:textId="0425E0C2" w:rsidR="0082054A" w:rsidRPr="008A79A3" w:rsidRDefault="00B4149A" w:rsidP="00B4149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4E3CF0BB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50339" w14:textId="77777777" w:rsidR="00350489" w:rsidRDefault="00350489" w:rsidP="003C3F6A">
      <w:pPr>
        <w:spacing w:after="0" w:line="240" w:lineRule="auto"/>
      </w:pPr>
      <w:r>
        <w:separator/>
      </w:r>
    </w:p>
  </w:endnote>
  <w:endnote w:type="continuationSeparator" w:id="0">
    <w:p w14:paraId="71443C4E" w14:textId="77777777" w:rsidR="00350489" w:rsidRDefault="00350489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CF0C7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</w:t>
    </w:r>
    <w:r w:rsidR="008E7C71">
      <w:rPr>
        <w:rFonts w:ascii="Tahoma" w:hAnsi="Tahoma" w:cs="Tahoma"/>
        <w:b/>
        <w:sz w:val="20"/>
        <w:szCs w:val="20"/>
      </w:rPr>
      <w:t>C.3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1107A5" w:rsidRPr="001107A5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4E3CF0C8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D9C89" w14:textId="77777777" w:rsidR="00350489" w:rsidRDefault="00350489" w:rsidP="003C3F6A">
      <w:pPr>
        <w:spacing w:after="0" w:line="240" w:lineRule="auto"/>
      </w:pPr>
      <w:r>
        <w:separator/>
      </w:r>
    </w:p>
  </w:footnote>
  <w:footnote w:type="continuationSeparator" w:id="0">
    <w:p w14:paraId="076D51E3" w14:textId="77777777" w:rsidR="00350489" w:rsidRDefault="00350489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CF0C1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4E3CF0CB" wp14:editId="4E3CF0CC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4E3CF0C2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4E3CF0C3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4E3CF0C4" w14:textId="77777777" w:rsidR="003C3F6A" w:rsidRDefault="003C3F6A">
    <w:pPr>
      <w:pStyle w:val="Header"/>
    </w:pPr>
  </w:p>
  <w:p w14:paraId="4E3CF0C5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E66C3"/>
    <w:multiLevelType w:val="hybridMultilevel"/>
    <w:tmpl w:val="2B5E2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B6F48"/>
    <w:multiLevelType w:val="hybridMultilevel"/>
    <w:tmpl w:val="C8866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D42B7"/>
    <w:rsid w:val="000E00FE"/>
    <w:rsid w:val="001107A5"/>
    <w:rsid w:val="001B4CC4"/>
    <w:rsid w:val="00242EE9"/>
    <w:rsid w:val="0026398A"/>
    <w:rsid w:val="002B028B"/>
    <w:rsid w:val="00350489"/>
    <w:rsid w:val="003C3F6A"/>
    <w:rsid w:val="003D2C4A"/>
    <w:rsid w:val="00407B0D"/>
    <w:rsid w:val="00432111"/>
    <w:rsid w:val="0047620F"/>
    <w:rsid w:val="004F6694"/>
    <w:rsid w:val="0050324E"/>
    <w:rsid w:val="005259D9"/>
    <w:rsid w:val="00542496"/>
    <w:rsid w:val="00550D9E"/>
    <w:rsid w:val="00551975"/>
    <w:rsid w:val="00552726"/>
    <w:rsid w:val="005601F7"/>
    <w:rsid w:val="005E3FFA"/>
    <w:rsid w:val="006773CC"/>
    <w:rsid w:val="006A132E"/>
    <w:rsid w:val="006D1B43"/>
    <w:rsid w:val="00771B9B"/>
    <w:rsid w:val="0077255C"/>
    <w:rsid w:val="007A18E3"/>
    <w:rsid w:val="007E1877"/>
    <w:rsid w:val="0082054A"/>
    <w:rsid w:val="008A79A3"/>
    <w:rsid w:val="008E74FC"/>
    <w:rsid w:val="008E7C71"/>
    <w:rsid w:val="009007E5"/>
    <w:rsid w:val="00912FB6"/>
    <w:rsid w:val="00933839"/>
    <w:rsid w:val="00946CC8"/>
    <w:rsid w:val="00984271"/>
    <w:rsid w:val="009A405C"/>
    <w:rsid w:val="009E2B88"/>
    <w:rsid w:val="00A86A55"/>
    <w:rsid w:val="00AF3E70"/>
    <w:rsid w:val="00B07AC1"/>
    <w:rsid w:val="00B263CA"/>
    <w:rsid w:val="00B4149A"/>
    <w:rsid w:val="00BA500F"/>
    <w:rsid w:val="00BE1813"/>
    <w:rsid w:val="00C01AC8"/>
    <w:rsid w:val="00C02E54"/>
    <w:rsid w:val="00C553E1"/>
    <w:rsid w:val="00C740FD"/>
    <w:rsid w:val="00C94FCA"/>
    <w:rsid w:val="00CC73E3"/>
    <w:rsid w:val="00CD1692"/>
    <w:rsid w:val="00D378F8"/>
    <w:rsid w:val="00D72C9F"/>
    <w:rsid w:val="00DB760C"/>
    <w:rsid w:val="00DF2AB9"/>
    <w:rsid w:val="00E11CC5"/>
    <w:rsid w:val="00E36D60"/>
    <w:rsid w:val="00EC28FB"/>
    <w:rsid w:val="00EE78E6"/>
    <w:rsid w:val="00EF57EC"/>
    <w:rsid w:val="00F068A3"/>
    <w:rsid w:val="00F1700E"/>
    <w:rsid w:val="00F3607E"/>
    <w:rsid w:val="00F72EAE"/>
    <w:rsid w:val="00FA6F69"/>
    <w:rsid w:val="00FB6207"/>
    <w:rsid w:val="00FC3B75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CF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E7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E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III.C.3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7FFD62-BE8A-44B5-A117-27178F5DC028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F0B8087B-2B6A-4100-B529-D50942AA0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FBBE2-5169-412C-95E5-93470532D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III.C.3</vt:lpstr>
    </vt:vector>
  </TitlesOfParts>
  <Company>Veterans Benefits Administration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III.C.3</dc:title>
  <dc:creator>Department of Veterans Affairs, Veterans Benefits Administration,Vocational Rehabilitation and Employment Service, STAFF</dc:creator>
  <cp:keywords>VRE, M28R, lesson, plan, III</cp:keywords>
  <cp:lastModifiedBy>Sochar, Lisa</cp:lastModifiedBy>
  <cp:revision>3</cp:revision>
  <dcterms:created xsi:type="dcterms:W3CDTF">2014-01-02T16:09:00Z</dcterms:created>
  <dcterms:modified xsi:type="dcterms:W3CDTF">2014-08-25T19:45:00Z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