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70FA" w14:textId="77777777" w:rsidR="00C13430" w:rsidRDefault="00C13430" w:rsidP="00C13430">
      <w:pPr>
        <w:rPr>
          <w:rFonts w:ascii="Arial" w:hAnsi="Arial" w:cs="Arial"/>
          <w:sz w:val="24"/>
          <w:szCs w:val="24"/>
        </w:rPr>
      </w:pPr>
    </w:p>
    <w:p w14:paraId="4E522539" w14:textId="77777777" w:rsidR="00C13430" w:rsidRDefault="00C13430" w:rsidP="00C13430">
      <w:pPr>
        <w:rPr>
          <w:rFonts w:ascii="Arial" w:hAnsi="Arial" w:cs="Arial"/>
          <w:sz w:val="24"/>
          <w:szCs w:val="24"/>
        </w:rPr>
      </w:pPr>
    </w:p>
    <w:p w14:paraId="0B24D0C7" w14:textId="77777777" w:rsidR="00C13430" w:rsidRDefault="00C13430" w:rsidP="00C13430">
      <w:pPr>
        <w:rPr>
          <w:rFonts w:ascii="Arial" w:hAnsi="Arial" w:cs="Arial"/>
          <w:sz w:val="24"/>
          <w:szCs w:val="24"/>
        </w:rPr>
      </w:pPr>
      <w:r w:rsidRPr="00C13430">
        <w:rPr>
          <w:rFonts w:ascii="Arial" w:hAnsi="Arial" w:cs="Arial"/>
          <w:sz w:val="24"/>
          <w:szCs w:val="24"/>
        </w:rPr>
        <w:t xml:space="preserve">Barnes and Noble and Follett Bookstores </w:t>
      </w:r>
    </w:p>
    <w:p w14:paraId="6493121A" w14:textId="77777777" w:rsidR="00C13430" w:rsidRDefault="00C13430" w:rsidP="00C13430">
      <w:pPr>
        <w:rPr>
          <w:rFonts w:ascii="Arial" w:hAnsi="Arial" w:cs="Arial"/>
          <w:sz w:val="24"/>
          <w:szCs w:val="24"/>
        </w:rPr>
      </w:pPr>
    </w:p>
    <w:p w14:paraId="406AE608" w14:textId="1E6A06C9" w:rsidR="00C13430" w:rsidRDefault="00C13430" w:rsidP="00C13430">
      <w:pPr>
        <w:rPr>
          <w:rFonts w:ascii="Arial" w:hAnsi="Arial" w:cs="Arial"/>
          <w:sz w:val="24"/>
          <w:szCs w:val="24"/>
        </w:rPr>
      </w:pPr>
      <w:r>
        <w:rPr>
          <w:rFonts w:ascii="Arial" w:hAnsi="Arial" w:cs="Arial"/>
          <w:sz w:val="24"/>
          <w:szCs w:val="24"/>
        </w:rPr>
        <w:t xml:space="preserve">March 3, 2022  </w:t>
      </w:r>
    </w:p>
    <w:p w14:paraId="60079114" w14:textId="77777777" w:rsidR="00C13430" w:rsidRDefault="00C13430" w:rsidP="00C13430">
      <w:pPr>
        <w:rPr>
          <w:rFonts w:ascii="Arial" w:hAnsi="Arial" w:cs="Arial"/>
          <w:sz w:val="24"/>
          <w:szCs w:val="24"/>
        </w:rPr>
      </w:pPr>
    </w:p>
    <w:p w14:paraId="1D5593BE" w14:textId="77777777" w:rsidR="00C13430" w:rsidRDefault="00C13430" w:rsidP="00C13430">
      <w:pPr>
        <w:rPr>
          <w:rFonts w:ascii="Arial" w:hAnsi="Arial" w:cs="Arial"/>
          <w:sz w:val="24"/>
          <w:szCs w:val="24"/>
        </w:rPr>
      </w:pPr>
      <w:r>
        <w:rPr>
          <w:rFonts w:ascii="Arial" w:hAnsi="Arial" w:cs="Arial"/>
          <w:sz w:val="24"/>
          <w:szCs w:val="24"/>
        </w:rPr>
        <w:t>VR&amp;E Officers,</w:t>
      </w:r>
    </w:p>
    <w:p w14:paraId="7711B3F1" w14:textId="77777777" w:rsidR="00C13430" w:rsidRDefault="00C13430" w:rsidP="00C13430">
      <w:pPr>
        <w:rPr>
          <w:rFonts w:ascii="Arial" w:hAnsi="Arial" w:cs="Arial"/>
          <w:sz w:val="24"/>
          <w:szCs w:val="24"/>
        </w:rPr>
      </w:pPr>
    </w:p>
    <w:p w14:paraId="7D310F2C" w14:textId="77777777" w:rsidR="00C13430" w:rsidRDefault="00C13430" w:rsidP="00C13430">
      <w:pPr>
        <w:rPr>
          <w:rFonts w:ascii="Arial" w:hAnsi="Arial" w:cs="Arial"/>
          <w:sz w:val="24"/>
          <w:szCs w:val="24"/>
        </w:rPr>
      </w:pPr>
      <w:r>
        <w:rPr>
          <w:rFonts w:ascii="Arial" w:hAnsi="Arial" w:cs="Arial"/>
          <w:sz w:val="24"/>
          <w:szCs w:val="24"/>
        </w:rPr>
        <w:t xml:space="preserve">Good </w:t>
      </w:r>
      <w:proofErr w:type="gramStart"/>
      <w:r>
        <w:rPr>
          <w:rFonts w:ascii="Arial" w:hAnsi="Arial" w:cs="Arial"/>
          <w:sz w:val="24"/>
          <w:szCs w:val="24"/>
        </w:rPr>
        <w:t>Morning</w:t>
      </w:r>
      <w:proofErr w:type="gramEnd"/>
      <w:r>
        <w:rPr>
          <w:rFonts w:ascii="Arial" w:hAnsi="Arial" w:cs="Arial"/>
          <w:sz w:val="24"/>
          <w:szCs w:val="24"/>
        </w:rPr>
        <w:t xml:space="preserve">.  As a reminder, Veterans Readiness and Employment (VR&amp;E) works closely with our service providers to assist Veterans in receiving seamless services. </w:t>
      </w:r>
      <w:r>
        <w:rPr>
          <w:rFonts w:ascii="Arial" w:hAnsi="Arial" w:cs="Arial"/>
          <w:color w:val="000000"/>
          <w:sz w:val="24"/>
          <w:szCs w:val="24"/>
          <w:shd w:val="clear" w:color="auto" w:fill="FFFFFF"/>
        </w:rPr>
        <w:t xml:space="preserve">When authorizing payments in the Invoice Payment Processing System (IPPS) for bookstores and related services, such as parking, the facility or sub-facility code of the training facility that has an agreement with the bookstore or related services </w:t>
      </w:r>
      <w:r>
        <w:rPr>
          <w:rFonts w:ascii="Arial" w:hAnsi="Arial" w:cs="Arial"/>
          <w:color w:val="000000"/>
          <w:sz w:val="24"/>
          <w:szCs w:val="24"/>
          <w:u w:val="single"/>
          <w:shd w:val="clear" w:color="auto" w:fill="FFFFFF"/>
        </w:rPr>
        <w:t>must</w:t>
      </w:r>
      <w:r>
        <w:rPr>
          <w:rFonts w:ascii="Arial" w:hAnsi="Arial" w:cs="Arial"/>
          <w:color w:val="000000"/>
          <w:sz w:val="24"/>
          <w:szCs w:val="24"/>
          <w:shd w:val="clear" w:color="auto" w:fill="FFFFFF"/>
        </w:rPr>
        <w:t xml:space="preserve"> be used. Attached is a current list of all the Barnes and Noble bookstores with corresponding training facilities. The bookstores have the site’s mailing address and email address.       </w:t>
      </w:r>
    </w:p>
    <w:p w14:paraId="5E1FF71B" w14:textId="77777777" w:rsidR="00C13430" w:rsidRDefault="00C13430" w:rsidP="00C13430">
      <w:pPr>
        <w:rPr>
          <w:rFonts w:ascii="Arial" w:hAnsi="Arial" w:cs="Arial"/>
          <w:sz w:val="24"/>
          <w:szCs w:val="24"/>
        </w:rPr>
      </w:pPr>
    </w:p>
    <w:p w14:paraId="0B57A4D9" w14:textId="77777777" w:rsidR="00C13430" w:rsidRDefault="00C13430" w:rsidP="00C13430">
      <w:pPr>
        <w:rPr>
          <w:rFonts w:ascii="Arial" w:hAnsi="Arial" w:cs="Arial"/>
          <w:sz w:val="24"/>
          <w:szCs w:val="24"/>
        </w:rPr>
      </w:pPr>
      <w:r>
        <w:rPr>
          <w:rFonts w:ascii="Arial" w:hAnsi="Arial" w:cs="Arial"/>
          <w:sz w:val="24"/>
          <w:szCs w:val="24"/>
        </w:rPr>
        <w:t xml:space="preserve">If you experience any issues with Barnes and Noble invoices, please submit the matter to Kevin Gonzalez at </w:t>
      </w:r>
      <w:hyperlink r:id="rId4" w:history="1">
        <w:r>
          <w:rPr>
            <w:rStyle w:val="Hyperlink"/>
            <w:rFonts w:ascii="Arial" w:hAnsi="Arial" w:cs="Arial"/>
            <w:color w:val="auto"/>
            <w:sz w:val="24"/>
            <w:szCs w:val="24"/>
          </w:rPr>
          <w:t>kgonzalez@bncollege.com</w:t>
        </w:r>
      </w:hyperlink>
      <w:r>
        <w:rPr>
          <w:rFonts w:ascii="Arial" w:hAnsi="Arial" w:cs="Arial"/>
          <w:sz w:val="24"/>
          <w:szCs w:val="24"/>
        </w:rPr>
        <w:t xml:space="preserve">. Mr. Gonzalez is available to assist with questions or additional information regarding invoices within IPPS. </w:t>
      </w:r>
    </w:p>
    <w:p w14:paraId="3C5BCABC" w14:textId="77777777" w:rsidR="00C13430" w:rsidRDefault="00C13430" w:rsidP="00C13430">
      <w:pPr>
        <w:rPr>
          <w:rFonts w:ascii="Arial" w:hAnsi="Arial" w:cs="Arial"/>
          <w:sz w:val="24"/>
          <w:szCs w:val="24"/>
        </w:rPr>
      </w:pPr>
    </w:p>
    <w:p w14:paraId="287D6717" w14:textId="77777777" w:rsidR="00C13430" w:rsidRDefault="00C13430" w:rsidP="00C13430">
      <w:pPr>
        <w:rPr>
          <w:rFonts w:ascii="Arial" w:hAnsi="Arial" w:cs="Arial"/>
          <w:sz w:val="24"/>
          <w:szCs w:val="24"/>
        </w:rPr>
      </w:pPr>
      <w:r>
        <w:rPr>
          <w:rFonts w:ascii="Arial" w:hAnsi="Arial" w:cs="Arial"/>
          <w:sz w:val="24"/>
          <w:szCs w:val="24"/>
        </w:rPr>
        <w:t>In addition, attached is a current list of all the Follett Bookstores with corresponding training facilities.</w:t>
      </w:r>
    </w:p>
    <w:p w14:paraId="6DE89A32" w14:textId="77777777" w:rsidR="00C13430" w:rsidRDefault="00C13430" w:rsidP="00C13430">
      <w:pPr>
        <w:rPr>
          <w:rFonts w:ascii="Arial" w:hAnsi="Arial" w:cs="Arial"/>
          <w:sz w:val="24"/>
          <w:szCs w:val="24"/>
        </w:rPr>
      </w:pPr>
    </w:p>
    <w:p w14:paraId="0F705CE3" w14:textId="77777777" w:rsidR="00C13430" w:rsidRDefault="00C13430" w:rsidP="00C13430">
      <w:pPr>
        <w:rPr>
          <w:rFonts w:ascii="Arial" w:hAnsi="Arial" w:cs="Arial"/>
          <w:b/>
          <w:bCs/>
          <w:sz w:val="24"/>
          <w:szCs w:val="24"/>
        </w:rPr>
      </w:pPr>
      <w:r>
        <w:rPr>
          <w:rFonts w:ascii="Arial" w:hAnsi="Arial" w:cs="Arial"/>
          <w:b/>
          <w:bCs/>
          <w:sz w:val="24"/>
          <w:szCs w:val="24"/>
        </w:rPr>
        <w:t>Field Services Team</w:t>
      </w:r>
    </w:p>
    <w:p w14:paraId="64A83985" w14:textId="77777777" w:rsidR="00C13430" w:rsidRDefault="00C13430" w:rsidP="00C13430">
      <w:pPr>
        <w:rPr>
          <w:rFonts w:ascii="Arial" w:hAnsi="Arial" w:cs="Arial"/>
          <w:sz w:val="24"/>
          <w:szCs w:val="24"/>
        </w:rPr>
      </w:pPr>
      <w:r>
        <w:rPr>
          <w:rFonts w:ascii="Arial" w:hAnsi="Arial" w:cs="Arial"/>
          <w:sz w:val="24"/>
          <w:szCs w:val="24"/>
        </w:rPr>
        <w:t>VR&amp;E Officers and Assistant VR&amp;E Officers should direct inquiries to the primary Field Liaison in their district. The alternate liaison will address the inquiry if the primary liaison is unavailable. All inquiries, regardless of the nature or scope, should be sent to the associated district mailbox listed below:</w:t>
      </w:r>
    </w:p>
    <w:p w14:paraId="24B380FB" w14:textId="77777777" w:rsidR="00C13430" w:rsidRDefault="00C13430" w:rsidP="00C13430">
      <w:pPr>
        <w:rPr>
          <w:rFonts w:ascii="Arial" w:hAnsi="Arial" w:cs="Arial"/>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5"/>
        <w:gridCol w:w="2231"/>
        <w:gridCol w:w="2301"/>
        <w:gridCol w:w="3423"/>
      </w:tblGrid>
      <w:tr w:rsidR="00C13430" w14:paraId="4CFF876A" w14:textId="77777777" w:rsidTr="00C13430">
        <w:trPr>
          <w:trHeight w:val="300"/>
        </w:trPr>
        <w:tc>
          <w:tcPr>
            <w:tcW w:w="1425" w:type="dxa"/>
            <w:tcBorders>
              <w:top w:val="single" w:sz="8" w:space="0" w:color="auto"/>
              <w:left w:val="single" w:sz="8" w:space="0" w:color="auto"/>
              <w:bottom w:val="single" w:sz="8" w:space="0" w:color="auto"/>
              <w:right w:val="single" w:sz="8" w:space="0" w:color="auto"/>
            </w:tcBorders>
            <w:vAlign w:val="center"/>
            <w:hideMark/>
          </w:tcPr>
          <w:p w14:paraId="1567D29C" w14:textId="77777777" w:rsidR="00C13430" w:rsidRDefault="00C13430">
            <w:pPr>
              <w:spacing w:line="252" w:lineRule="auto"/>
              <w:rPr>
                <w:rFonts w:ascii="Arial" w:hAnsi="Arial" w:cs="Arial"/>
                <w:sz w:val="24"/>
                <w:szCs w:val="24"/>
              </w:rPr>
            </w:pPr>
            <w:r>
              <w:rPr>
                <w:rFonts w:ascii="Arial" w:hAnsi="Arial" w:cs="Arial"/>
                <w:b/>
                <w:bCs/>
                <w:sz w:val="24"/>
                <w:szCs w:val="24"/>
              </w:rPr>
              <w:t>Area</w:t>
            </w:r>
            <w:r>
              <w:rPr>
                <w:rFonts w:ascii="Arial" w:hAnsi="Arial" w:cs="Arial"/>
                <w:sz w:val="24"/>
                <w:szCs w:val="24"/>
              </w:rPr>
              <w:t xml:space="preserve"> </w:t>
            </w:r>
          </w:p>
        </w:tc>
        <w:tc>
          <w:tcPr>
            <w:tcW w:w="2520" w:type="dxa"/>
            <w:tcBorders>
              <w:top w:val="single" w:sz="8" w:space="0" w:color="auto"/>
              <w:left w:val="nil"/>
              <w:bottom w:val="single" w:sz="8" w:space="0" w:color="auto"/>
              <w:right w:val="single" w:sz="8" w:space="0" w:color="auto"/>
            </w:tcBorders>
            <w:vAlign w:val="center"/>
            <w:hideMark/>
          </w:tcPr>
          <w:p w14:paraId="4B0771B4" w14:textId="77777777" w:rsidR="00C13430" w:rsidRDefault="00C13430">
            <w:pPr>
              <w:spacing w:line="252" w:lineRule="auto"/>
              <w:rPr>
                <w:rFonts w:ascii="Arial" w:hAnsi="Arial" w:cs="Arial"/>
                <w:sz w:val="24"/>
                <w:szCs w:val="24"/>
              </w:rPr>
            </w:pPr>
            <w:r>
              <w:rPr>
                <w:rFonts w:ascii="Arial" w:hAnsi="Arial" w:cs="Arial"/>
                <w:b/>
                <w:bCs/>
                <w:sz w:val="24"/>
                <w:szCs w:val="24"/>
              </w:rPr>
              <w:t>Primary</w:t>
            </w:r>
            <w:r>
              <w:rPr>
                <w:rFonts w:ascii="Arial" w:hAnsi="Arial" w:cs="Arial"/>
                <w:sz w:val="24"/>
                <w:szCs w:val="24"/>
              </w:rPr>
              <w:t xml:space="preserve"> </w:t>
            </w:r>
          </w:p>
        </w:tc>
        <w:tc>
          <w:tcPr>
            <w:tcW w:w="2610" w:type="dxa"/>
            <w:tcBorders>
              <w:top w:val="single" w:sz="8" w:space="0" w:color="auto"/>
              <w:left w:val="nil"/>
              <w:bottom w:val="single" w:sz="8" w:space="0" w:color="auto"/>
              <w:right w:val="single" w:sz="8" w:space="0" w:color="auto"/>
            </w:tcBorders>
            <w:vAlign w:val="center"/>
            <w:hideMark/>
          </w:tcPr>
          <w:p w14:paraId="77A1E7B8" w14:textId="77777777" w:rsidR="00C13430" w:rsidRDefault="00C13430">
            <w:pPr>
              <w:spacing w:line="252" w:lineRule="auto"/>
              <w:rPr>
                <w:rFonts w:ascii="Arial" w:hAnsi="Arial" w:cs="Arial"/>
                <w:sz w:val="24"/>
                <w:szCs w:val="24"/>
              </w:rPr>
            </w:pPr>
            <w:r>
              <w:rPr>
                <w:rFonts w:ascii="Arial" w:hAnsi="Arial" w:cs="Arial"/>
                <w:b/>
                <w:bCs/>
                <w:sz w:val="24"/>
                <w:szCs w:val="24"/>
              </w:rPr>
              <w:t>Alternate</w:t>
            </w:r>
            <w:r>
              <w:rPr>
                <w:rFonts w:ascii="Arial" w:hAnsi="Arial" w:cs="Arial"/>
                <w:sz w:val="24"/>
                <w:szCs w:val="24"/>
              </w:rPr>
              <w:t xml:space="preserve"> </w:t>
            </w:r>
          </w:p>
        </w:tc>
        <w:tc>
          <w:tcPr>
            <w:tcW w:w="3510" w:type="dxa"/>
            <w:tcBorders>
              <w:top w:val="single" w:sz="8" w:space="0" w:color="auto"/>
              <w:left w:val="nil"/>
              <w:bottom w:val="single" w:sz="8" w:space="0" w:color="auto"/>
              <w:right w:val="single" w:sz="8" w:space="0" w:color="auto"/>
            </w:tcBorders>
            <w:vAlign w:val="center"/>
            <w:hideMark/>
          </w:tcPr>
          <w:p w14:paraId="19437C2D" w14:textId="77777777" w:rsidR="00C13430" w:rsidRDefault="00C13430">
            <w:pPr>
              <w:spacing w:line="252" w:lineRule="auto"/>
              <w:rPr>
                <w:rFonts w:ascii="Arial" w:hAnsi="Arial" w:cs="Arial"/>
                <w:sz w:val="24"/>
                <w:szCs w:val="24"/>
              </w:rPr>
            </w:pPr>
            <w:r>
              <w:rPr>
                <w:rFonts w:ascii="Arial" w:hAnsi="Arial" w:cs="Arial"/>
                <w:b/>
                <w:bCs/>
                <w:sz w:val="24"/>
                <w:szCs w:val="24"/>
              </w:rPr>
              <w:t>E-mail</w:t>
            </w:r>
            <w:r>
              <w:rPr>
                <w:rFonts w:ascii="Arial" w:hAnsi="Arial" w:cs="Arial"/>
                <w:sz w:val="24"/>
                <w:szCs w:val="24"/>
              </w:rPr>
              <w:t xml:space="preserve"> </w:t>
            </w:r>
          </w:p>
        </w:tc>
      </w:tr>
      <w:tr w:rsidR="00C13430" w14:paraId="70F38454" w14:textId="77777777" w:rsidTr="00C13430">
        <w:trPr>
          <w:trHeight w:val="375"/>
        </w:trPr>
        <w:tc>
          <w:tcPr>
            <w:tcW w:w="1425" w:type="dxa"/>
            <w:tcBorders>
              <w:top w:val="nil"/>
              <w:left w:val="single" w:sz="8" w:space="0" w:color="auto"/>
              <w:bottom w:val="single" w:sz="8" w:space="0" w:color="auto"/>
              <w:right w:val="single" w:sz="8" w:space="0" w:color="auto"/>
            </w:tcBorders>
            <w:vAlign w:val="center"/>
            <w:hideMark/>
          </w:tcPr>
          <w:p w14:paraId="01FAC8C6" w14:textId="77777777" w:rsidR="00C13430" w:rsidRDefault="00C13430">
            <w:pPr>
              <w:spacing w:line="252" w:lineRule="auto"/>
              <w:rPr>
                <w:rFonts w:ascii="Arial" w:hAnsi="Arial" w:cs="Arial"/>
                <w:sz w:val="24"/>
                <w:szCs w:val="24"/>
              </w:rPr>
            </w:pPr>
            <w:r>
              <w:rPr>
                <w:rFonts w:ascii="Arial" w:hAnsi="Arial" w:cs="Arial"/>
                <w:sz w:val="24"/>
                <w:szCs w:val="24"/>
              </w:rPr>
              <w:t xml:space="preserve">Northeast </w:t>
            </w:r>
          </w:p>
        </w:tc>
        <w:tc>
          <w:tcPr>
            <w:tcW w:w="2520" w:type="dxa"/>
            <w:tcBorders>
              <w:top w:val="nil"/>
              <w:left w:val="nil"/>
              <w:bottom w:val="single" w:sz="8" w:space="0" w:color="auto"/>
              <w:right w:val="single" w:sz="8" w:space="0" w:color="auto"/>
            </w:tcBorders>
            <w:vAlign w:val="center"/>
            <w:hideMark/>
          </w:tcPr>
          <w:p w14:paraId="0CF5108D" w14:textId="77777777" w:rsidR="00C13430" w:rsidRDefault="00C13430">
            <w:pPr>
              <w:spacing w:line="252" w:lineRule="auto"/>
              <w:rPr>
                <w:rFonts w:ascii="Arial" w:hAnsi="Arial" w:cs="Arial"/>
                <w:sz w:val="24"/>
                <w:szCs w:val="24"/>
              </w:rPr>
            </w:pPr>
            <w:proofErr w:type="spellStart"/>
            <w:r>
              <w:rPr>
                <w:rFonts w:ascii="Arial" w:hAnsi="Arial" w:cs="Arial"/>
                <w:sz w:val="24"/>
                <w:szCs w:val="24"/>
              </w:rPr>
              <w:t>Latrese</w:t>
            </w:r>
            <w:proofErr w:type="spellEnd"/>
            <w:r>
              <w:rPr>
                <w:rFonts w:ascii="Arial" w:hAnsi="Arial" w:cs="Arial"/>
                <w:sz w:val="24"/>
                <w:szCs w:val="24"/>
              </w:rPr>
              <w:t xml:space="preserve"> Thompson </w:t>
            </w:r>
            <w:r>
              <w:rPr>
                <w:rFonts w:ascii="Arial" w:hAnsi="Arial" w:cs="Arial"/>
                <w:sz w:val="24"/>
                <w:szCs w:val="24"/>
              </w:rPr>
              <w:br/>
              <w:t xml:space="preserve">(326-405, 301) </w:t>
            </w:r>
          </w:p>
          <w:p w14:paraId="3088A2AE" w14:textId="77777777" w:rsidR="00C13430" w:rsidRDefault="00C13430">
            <w:pPr>
              <w:spacing w:line="252" w:lineRule="auto"/>
              <w:rPr>
                <w:rFonts w:ascii="Arial" w:hAnsi="Arial" w:cs="Arial"/>
                <w:sz w:val="24"/>
                <w:szCs w:val="24"/>
              </w:rPr>
            </w:pPr>
            <w:r>
              <w:rPr>
                <w:rFonts w:ascii="Arial" w:hAnsi="Arial" w:cs="Arial"/>
                <w:sz w:val="24"/>
                <w:szCs w:val="24"/>
              </w:rPr>
              <w:t xml:space="preserve">Qiana Smith </w:t>
            </w:r>
            <w:r>
              <w:rPr>
                <w:rFonts w:ascii="Arial" w:hAnsi="Arial" w:cs="Arial"/>
                <w:sz w:val="24"/>
                <w:szCs w:val="24"/>
              </w:rPr>
              <w:br/>
              <w:t xml:space="preserve">(304-325, 460) </w:t>
            </w:r>
          </w:p>
        </w:tc>
        <w:tc>
          <w:tcPr>
            <w:tcW w:w="2610" w:type="dxa"/>
            <w:tcBorders>
              <w:top w:val="nil"/>
              <w:left w:val="nil"/>
              <w:bottom w:val="single" w:sz="8" w:space="0" w:color="auto"/>
              <w:right w:val="single" w:sz="8" w:space="0" w:color="auto"/>
            </w:tcBorders>
            <w:vAlign w:val="center"/>
            <w:hideMark/>
          </w:tcPr>
          <w:p w14:paraId="04D5B330" w14:textId="77777777" w:rsidR="00C13430" w:rsidRDefault="00C13430">
            <w:pPr>
              <w:spacing w:line="252" w:lineRule="auto"/>
              <w:rPr>
                <w:rFonts w:ascii="Arial" w:hAnsi="Arial" w:cs="Arial"/>
                <w:sz w:val="24"/>
                <w:szCs w:val="24"/>
              </w:rPr>
            </w:pPr>
            <w:r>
              <w:rPr>
                <w:rFonts w:ascii="Arial" w:hAnsi="Arial" w:cs="Arial"/>
                <w:sz w:val="24"/>
                <w:szCs w:val="24"/>
              </w:rPr>
              <w:t xml:space="preserve">Veronica Brown </w:t>
            </w:r>
          </w:p>
          <w:p w14:paraId="1547F5B2" w14:textId="77777777" w:rsidR="00C13430" w:rsidRDefault="00C13430">
            <w:pPr>
              <w:spacing w:line="252" w:lineRule="auto"/>
              <w:rPr>
                <w:rFonts w:ascii="Arial" w:hAnsi="Arial" w:cs="Arial"/>
                <w:sz w:val="24"/>
                <w:szCs w:val="24"/>
              </w:rPr>
            </w:pPr>
            <w:r>
              <w:rPr>
                <w:rFonts w:ascii="Arial" w:hAnsi="Arial" w:cs="Arial"/>
                <w:sz w:val="24"/>
                <w:szCs w:val="24"/>
              </w:rPr>
              <w:t xml:space="preserve">(If </w:t>
            </w:r>
            <w:proofErr w:type="spellStart"/>
            <w:r>
              <w:rPr>
                <w:rFonts w:ascii="Arial" w:hAnsi="Arial" w:cs="Arial"/>
                <w:sz w:val="24"/>
                <w:szCs w:val="24"/>
              </w:rPr>
              <w:t>Latrese</w:t>
            </w:r>
            <w:proofErr w:type="spellEnd"/>
            <w:r>
              <w:rPr>
                <w:rFonts w:ascii="Arial" w:hAnsi="Arial" w:cs="Arial"/>
                <w:sz w:val="24"/>
                <w:szCs w:val="24"/>
              </w:rPr>
              <w:t xml:space="preserve"> and Qiana are not available) </w:t>
            </w:r>
          </w:p>
        </w:tc>
        <w:tc>
          <w:tcPr>
            <w:tcW w:w="3510" w:type="dxa"/>
            <w:tcBorders>
              <w:top w:val="nil"/>
              <w:left w:val="nil"/>
              <w:bottom w:val="single" w:sz="8" w:space="0" w:color="auto"/>
              <w:right w:val="single" w:sz="8" w:space="0" w:color="auto"/>
            </w:tcBorders>
            <w:vAlign w:val="center"/>
            <w:hideMark/>
          </w:tcPr>
          <w:p w14:paraId="04A960CE" w14:textId="77777777" w:rsidR="00C13430" w:rsidRDefault="00C13430">
            <w:pPr>
              <w:spacing w:line="252" w:lineRule="auto"/>
              <w:rPr>
                <w:rFonts w:ascii="Arial" w:hAnsi="Arial" w:cs="Arial"/>
                <w:sz w:val="24"/>
                <w:szCs w:val="24"/>
              </w:rPr>
            </w:pPr>
            <w:hyperlink r:id="rId5" w:tgtFrame="_blank" w:history="1">
              <w:r>
                <w:rPr>
                  <w:rStyle w:val="Hyperlink"/>
                  <w:rFonts w:ascii="Arial" w:hAnsi="Arial" w:cs="Arial"/>
                  <w:sz w:val="24"/>
                  <w:szCs w:val="24"/>
                </w:rPr>
                <w:t>VAVBAWAS/CO/VRE/NE</w:t>
              </w:r>
            </w:hyperlink>
            <w:r>
              <w:rPr>
                <w:rFonts w:ascii="Arial" w:hAnsi="Arial" w:cs="Arial"/>
                <w:sz w:val="24"/>
                <w:szCs w:val="24"/>
              </w:rPr>
              <w:t xml:space="preserve"> </w:t>
            </w:r>
          </w:p>
        </w:tc>
      </w:tr>
      <w:tr w:rsidR="00C13430" w14:paraId="0213DC60" w14:textId="77777777" w:rsidTr="00C13430">
        <w:trPr>
          <w:trHeight w:val="330"/>
        </w:trPr>
        <w:tc>
          <w:tcPr>
            <w:tcW w:w="1425" w:type="dxa"/>
            <w:tcBorders>
              <w:top w:val="nil"/>
              <w:left w:val="single" w:sz="8" w:space="0" w:color="auto"/>
              <w:bottom w:val="single" w:sz="8" w:space="0" w:color="auto"/>
              <w:right w:val="single" w:sz="8" w:space="0" w:color="auto"/>
            </w:tcBorders>
            <w:vAlign w:val="center"/>
            <w:hideMark/>
          </w:tcPr>
          <w:p w14:paraId="492889A2" w14:textId="77777777" w:rsidR="00C13430" w:rsidRDefault="00C13430">
            <w:pPr>
              <w:spacing w:line="252" w:lineRule="auto"/>
              <w:rPr>
                <w:rFonts w:ascii="Arial" w:hAnsi="Arial" w:cs="Arial"/>
                <w:sz w:val="24"/>
                <w:szCs w:val="24"/>
              </w:rPr>
            </w:pPr>
            <w:r>
              <w:rPr>
                <w:rFonts w:ascii="Arial" w:hAnsi="Arial" w:cs="Arial"/>
                <w:sz w:val="24"/>
                <w:szCs w:val="24"/>
              </w:rPr>
              <w:t xml:space="preserve">Southeast </w:t>
            </w:r>
          </w:p>
        </w:tc>
        <w:tc>
          <w:tcPr>
            <w:tcW w:w="2520" w:type="dxa"/>
            <w:tcBorders>
              <w:top w:val="nil"/>
              <w:left w:val="nil"/>
              <w:bottom w:val="single" w:sz="8" w:space="0" w:color="auto"/>
              <w:right w:val="single" w:sz="8" w:space="0" w:color="auto"/>
            </w:tcBorders>
            <w:vAlign w:val="center"/>
            <w:hideMark/>
          </w:tcPr>
          <w:p w14:paraId="3334D881" w14:textId="77777777" w:rsidR="00C13430" w:rsidRDefault="00C13430">
            <w:pPr>
              <w:spacing w:line="252" w:lineRule="auto"/>
              <w:rPr>
                <w:rFonts w:ascii="Arial" w:hAnsi="Arial" w:cs="Arial"/>
                <w:sz w:val="24"/>
                <w:szCs w:val="24"/>
              </w:rPr>
            </w:pPr>
            <w:r>
              <w:rPr>
                <w:rFonts w:ascii="Arial" w:hAnsi="Arial" w:cs="Arial"/>
                <w:sz w:val="24"/>
                <w:szCs w:val="24"/>
              </w:rPr>
              <w:t xml:space="preserve">Veronica Brown  </w:t>
            </w:r>
          </w:p>
        </w:tc>
        <w:tc>
          <w:tcPr>
            <w:tcW w:w="2610" w:type="dxa"/>
            <w:tcBorders>
              <w:top w:val="nil"/>
              <w:left w:val="nil"/>
              <w:bottom w:val="single" w:sz="8" w:space="0" w:color="auto"/>
              <w:right w:val="single" w:sz="8" w:space="0" w:color="auto"/>
            </w:tcBorders>
            <w:vAlign w:val="center"/>
            <w:hideMark/>
          </w:tcPr>
          <w:p w14:paraId="0D629FBD" w14:textId="77777777" w:rsidR="00C13430" w:rsidRDefault="00C13430">
            <w:pPr>
              <w:spacing w:line="252" w:lineRule="auto"/>
              <w:rPr>
                <w:rFonts w:ascii="Arial" w:hAnsi="Arial" w:cs="Arial"/>
                <w:sz w:val="24"/>
                <w:szCs w:val="24"/>
              </w:rPr>
            </w:pPr>
            <w:proofErr w:type="spellStart"/>
            <w:r>
              <w:rPr>
                <w:rFonts w:ascii="Arial" w:hAnsi="Arial" w:cs="Arial"/>
                <w:sz w:val="24"/>
                <w:szCs w:val="24"/>
              </w:rPr>
              <w:t>Latrese</w:t>
            </w:r>
            <w:proofErr w:type="spellEnd"/>
            <w:r>
              <w:rPr>
                <w:rFonts w:ascii="Arial" w:hAnsi="Arial" w:cs="Arial"/>
                <w:sz w:val="24"/>
                <w:szCs w:val="24"/>
              </w:rPr>
              <w:t xml:space="preserve"> Thompson </w:t>
            </w:r>
          </w:p>
        </w:tc>
        <w:tc>
          <w:tcPr>
            <w:tcW w:w="3510" w:type="dxa"/>
            <w:tcBorders>
              <w:top w:val="nil"/>
              <w:left w:val="nil"/>
              <w:bottom w:val="single" w:sz="8" w:space="0" w:color="auto"/>
              <w:right w:val="single" w:sz="8" w:space="0" w:color="auto"/>
            </w:tcBorders>
            <w:vAlign w:val="center"/>
            <w:hideMark/>
          </w:tcPr>
          <w:p w14:paraId="1B96C518" w14:textId="77777777" w:rsidR="00C13430" w:rsidRDefault="00C13430">
            <w:pPr>
              <w:spacing w:line="252" w:lineRule="auto"/>
              <w:rPr>
                <w:rFonts w:ascii="Arial" w:hAnsi="Arial" w:cs="Arial"/>
                <w:sz w:val="24"/>
                <w:szCs w:val="24"/>
              </w:rPr>
            </w:pPr>
            <w:hyperlink r:id="rId6" w:tgtFrame="_blank" w:history="1">
              <w:r>
                <w:rPr>
                  <w:rStyle w:val="Hyperlink"/>
                  <w:rFonts w:ascii="Arial" w:hAnsi="Arial" w:cs="Arial"/>
                  <w:sz w:val="24"/>
                  <w:szCs w:val="24"/>
                </w:rPr>
                <w:t>VAVBAWAS/CO/VRE/SE</w:t>
              </w:r>
            </w:hyperlink>
            <w:r>
              <w:rPr>
                <w:rFonts w:ascii="Arial" w:hAnsi="Arial" w:cs="Arial"/>
                <w:sz w:val="24"/>
                <w:szCs w:val="24"/>
              </w:rPr>
              <w:t xml:space="preserve"> </w:t>
            </w:r>
          </w:p>
        </w:tc>
      </w:tr>
      <w:tr w:rsidR="00C13430" w14:paraId="0C3890C3" w14:textId="77777777" w:rsidTr="00C13430">
        <w:trPr>
          <w:trHeight w:val="345"/>
        </w:trPr>
        <w:tc>
          <w:tcPr>
            <w:tcW w:w="1425" w:type="dxa"/>
            <w:tcBorders>
              <w:top w:val="nil"/>
              <w:left w:val="single" w:sz="8" w:space="0" w:color="auto"/>
              <w:bottom w:val="single" w:sz="8" w:space="0" w:color="auto"/>
              <w:right w:val="single" w:sz="8" w:space="0" w:color="auto"/>
            </w:tcBorders>
            <w:vAlign w:val="center"/>
            <w:hideMark/>
          </w:tcPr>
          <w:p w14:paraId="4EF9FA42" w14:textId="77777777" w:rsidR="00C13430" w:rsidRDefault="00C13430">
            <w:pPr>
              <w:spacing w:line="252" w:lineRule="auto"/>
              <w:rPr>
                <w:rFonts w:ascii="Arial" w:hAnsi="Arial" w:cs="Arial"/>
                <w:sz w:val="24"/>
                <w:szCs w:val="24"/>
              </w:rPr>
            </w:pPr>
            <w:r>
              <w:rPr>
                <w:rFonts w:ascii="Arial" w:hAnsi="Arial" w:cs="Arial"/>
                <w:sz w:val="24"/>
                <w:szCs w:val="24"/>
              </w:rPr>
              <w:t xml:space="preserve">Continental </w:t>
            </w:r>
          </w:p>
        </w:tc>
        <w:tc>
          <w:tcPr>
            <w:tcW w:w="2520" w:type="dxa"/>
            <w:tcBorders>
              <w:top w:val="nil"/>
              <w:left w:val="nil"/>
              <w:bottom w:val="single" w:sz="8" w:space="0" w:color="auto"/>
              <w:right w:val="single" w:sz="8" w:space="0" w:color="auto"/>
            </w:tcBorders>
            <w:vAlign w:val="center"/>
            <w:hideMark/>
          </w:tcPr>
          <w:p w14:paraId="67029656" w14:textId="77777777" w:rsidR="00C13430" w:rsidRDefault="00C13430">
            <w:pPr>
              <w:spacing w:line="252" w:lineRule="auto"/>
              <w:rPr>
                <w:rFonts w:ascii="Arial" w:hAnsi="Arial" w:cs="Arial"/>
                <w:sz w:val="24"/>
                <w:szCs w:val="24"/>
              </w:rPr>
            </w:pPr>
            <w:proofErr w:type="spellStart"/>
            <w:r>
              <w:rPr>
                <w:rFonts w:ascii="Arial" w:hAnsi="Arial" w:cs="Arial"/>
                <w:sz w:val="24"/>
                <w:szCs w:val="24"/>
              </w:rPr>
              <w:t>LeGuster</w:t>
            </w:r>
            <w:proofErr w:type="spellEnd"/>
            <w:r>
              <w:rPr>
                <w:rFonts w:ascii="Arial" w:hAnsi="Arial" w:cs="Arial"/>
                <w:sz w:val="24"/>
                <w:szCs w:val="24"/>
              </w:rPr>
              <w:t xml:space="preserve"> Seawright </w:t>
            </w:r>
          </w:p>
        </w:tc>
        <w:tc>
          <w:tcPr>
            <w:tcW w:w="2610" w:type="dxa"/>
            <w:tcBorders>
              <w:top w:val="nil"/>
              <w:left w:val="nil"/>
              <w:bottom w:val="single" w:sz="8" w:space="0" w:color="auto"/>
              <w:right w:val="single" w:sz="8" w:space="0" w:color="auto"/>
            </w:tcBorders>
            <w:vAlign w:val="center"/>
            <w:hideMark/>
          </w:tcPr>
          <w:p w14:paraId="694E4259" w14:textId="77777777" w:rsidR="00C13430" w:rsidRDefault="00C13430">
            <w:pPr>
              <w:spacing w:line="252" w:lineRule="auto"/>
              <w:rPr>
                <w:rFonts w:ascii="Arial" w:hAnsi="Arial" w:cs="Arial"/>
                <w:sz w:val="24"/>
                <w:szCs w:val="24"/>
              </w:rPr>
            </w:pPr>
            <w:r>
              <w:rPr>
                <w:rFonts w:ascii="Arial" w:hAnsi="Arial" w:cs="Arial"/>
                <w:sz w:val="24"/>
                <w:szCs w:val="24"/>
              </w:rPr>
              <w:t xml:space="preserve">Lynn </w:t>
            </w:r>
            <w:proofErr w:type="spellStart"/>
            <w:r>
              <w:rPr>
                <w:rFonts w:ascii="Arial" w:hAnsi="Arial" w:cs="Arial"/>
                <w:sz w:val="24"/>
                <w:szCs w:val="24"/>
              </w:rPr>
              <w:t>Horwatt</w:t>
            </w:r>
            <w:proofErr w:type="spellEnd"/>
            <w:r>
              <w:rPr>
                <w:rFonts w:ascii="Arial" w:hAnsi="Arial" w:cs="Arial"/>
                <w:sz w:val="24"/>
                <w:szCs w:val="24"/>
              </w:rPr>
              <w:t xml:space="preserve"> </w:t>
            </w:r>
          </w:p>
        </w:tc>
        <w:tc>
          <w:tcPr>
            <w:tcW w:w="3510" w:type="dxa"/>
            <w:tcBorders>
              <w:top w:val="nil"/>
              <w:left w:val="nil"/>
              <w:bottom w:val="single" w:sz="8" w:space="0" w:color="auto"/>
              <w:right w:val="single" w:sz="8" w:space="0" w:color="auto"/>
            </w:tcBorders>
            <w:vAlign w:val="center"/>
            <w:hideMark/>
          </w:tcPr>
          <w:p w14:paraId="7A5439C1" w14:textId="77777777" w:rsidR="00C13430" w:rsidRDefault="00C13430">
            <w:pPr>
              <w:spacing w:line="252" w:lineRule="auto"/>
              <w:rPr>
                <w:rFonts w:ascii="Arial" w:hAnsi="Arial" w:cs="Arial"/>
                <w:sz w:val="24"/>
                <w:szCs w:val="24"/>
              </w:rPr>
            </w:pPr>
            <w:hyperlink r:id="rId7" w:tgtFrame="_blank" w:history="1">
              <w:r>
                <w:rPr>
                  <w:rStyle w:val="Hyperlink"/>
                  <w:rFonts w:ascii="Arial" w:hAnsi="Arial" w:cs="Arial"/>
                  <w:sz w:val="24"/>
                  <w:szCs w:val="24"/>
                </w:rPr>
                <w:t>VAVBAWAS/CO/VRE/CONT</w:t>
              </w:r>
            </w:hyperlink>
            <w:r>
              <w:rPr>
                <w:rFonts w:ascii="Arial" w:hAnsi="Arial" w:cs="Arial"/>
                <w:sz w:val="24"/>
                <w:szCs w:val="24"/>
              </w:rPr>
              <w:t xml:space="preserve"> </w:t>
            </w:r>
          </w:p>
        </w:tc>
      </w:tr>
      <w:tr w:rsidR="00C13430" w14:paraId="63D8690F" w14:textId="77777777" w:rsidTr="00C13430">
        <w:trPr>
          <w:trHeight w:val="330"/>
        </w:trPr>
        <w:tc>
          <w:tcPr>
            <w:tcW w:w="1425" w:type="dxa"/>
            <w:tcBorders>
              <w:top w:val="nil"/>
              <w:left w:val="single" w:sz="8" w:space="0" w:color="auto"/>
              <w:bottom w:val="single" w:sz="8" w:space="0" w:color="auto"/>
              <w:right w:val="single" w:sz="8" w:space="0" w:color="auto"/>
            </w:tcBorders>
            <w:vAlign w:val="center"/>
            <w:hideMark/>
          </w:tcPr>
          <w:p w14:paraId="71162ED3" w14:textId="77777777" w:rsidR="00C13430" w:rsidRDefault="00C13430">
            <w:pPr>
              <w:spacing w:line="252" w:lineRule="auto"/>
              <w:rPr>
                <w:rFonts w:ascii="Arial" w:hAnsi="Arial" w:cs="Arial"/>
                <w:sz w:val="24"/>
                <w:szCs w:val="24"/>
              </w:rPr>
            </w:pPr>
            <w:r>
              <w:rPr>
                <w:rFonts w:ascii="Arial" w:hAnsi="Arial" w:cs="Arial"/>
                <w:sz w:val="24"/>
                <w:szCs w:val="24"/>
              </w:rPr>
              <w:t xml:space="preserve">Pacific </w:t>
            </w:r>
          </w:p>
        </w:tc>
        <w:tc>
          <w:tcPr>
            <w:tcW w:w="2520" w:type="dxa"/>
            <w:tcBorders>
              <w:top w:val="nil"/>
              <w:left w:val="nil"/>
              <w:bottom w:val="single" w:sz="8" w:space="0" w:color="auto"/>
              <w:right w:val="single" w:sz="8" w:space="0" w:color="auto"/>
            </w:tcBorders>
            <w:vAlign w:val="center"/>
            <w:hideMark/>
          </w:tcPr>
          <w:p w14:paraId="7B0F585F" w14:textId="77777777" w:rsidR="00C13430" w:rsidRDefault="00C13430">
            <w:pPr>
              <w:spacing w:line="252" w:lineRule="auto"/>
              <w:rPr>
                <w:rFonts w:ascii="Arial" w:hAnsi="Arial" w:cs="Arial"/>
                <w:sz w:val="24"/>
                <w:szCs w:val="24"/>
              </w:rPr>
            </w:pPr>
            <w:r>
              <w:rPr>
                <w:rFonts w:ascii="Arial" w:hAnsi="Arial" w:cs="Arial"/>
                <w:sz w:val="24"/>
                <w:szCs w:val="24"/>
              </w:rPr>
              <w:t xml:space="preserve">Lynn </w:t>
            </w:r>
            <w:proofErr w:type="spellStart"/>
            <w:r>
              <w:rPr>
                <w:rFonts w:ascii="Arial" w:hAnsi="Arial" w:cs="Arial"/>
                <w:sz w:val="24"/>
                <w:szCs w:val="24"/>
              </w:rPr>
              <w:t>Horwatt</w:t>
            </w:r>
            <w:proofErr w:type="spellEnd"/>
            <w:r>
              <w:rPr>
                <w:rFonts w:ascii="Arial" w:hAnsi="Arial" w:cs="Arial"/>
                <w:sz w:val="24"/>
                <w:szCs w:val="24"/>
              </w:rPr>
              <w:t xml:space="preserve"> </w:t>
            </w:r>
          </w:p>
        </w:tc>
        <w:tc>
          <w:tcPr>
            <w:tcW w:w="2610" w:type="dxa"/>
            <w:tcBorders>
              <w:top w:val="nil"/>
              <w:left w:val="nil"/>
              <w:bottom w:val="single" w:sz="8" w:space="0" w:color="auto"/>
              <w:right w:val="single" w:sz="8" w:space="0" w:color="auto"/>
            </w:tcBorders>
            <w:vAlign w:val="center"/>
            <w:hideMark/>
          </w:tcPr>
          <w:p w14:paraId="16BE414E" w14:textId="77777777" w:rsidR="00C13430" w:rsidRDefault="00C13430">
            <w:pPr>
              <w:spacing w:line="252" w:lineRule="auto"/>
              <w:rPr>
                <w:rFonts w:ascii="Arial" w:hAnsi="Arial" w:cs="Arial"/>
                <w:sz w:val="24"/>
                <w:szCs w:val="24"/>
              </w:rPr>
            </w:pPr>
            <w:proofErr w:type="spellStart"/>
            <w:r>
              <w:rPr>
                <w:rFonts w:ascii="Arial" w:hAnsi="Arial" w:cs="Arial"/>
                <w:sz w:val="24"/>
                <w:szCs w:val="24"/>
              </w:rPr>
              <w:t>LeGuster</w:t>
            </w:r>
            <w:proofErr w:type="spellEnd"/>
            <w:r>
              <w:rPr>
                <w:rFonts w:ascii="Arial" w:hAnsi="Arial" w:cs="Arial"/>
                <w:sz w:val="24"/>
                <w:szCs w:val="24"/>
              </w:rPr>
              <w:t xml:space="preserve"> Seawright </w:t>
            </w:r>
          </w:p>
        </w:tc>
        <w:tc>
          <w:tcPr>
            <w:tcW w:w="3510" w:type="dxa"/>
            <w:tcBorders>
              <w:top w:val="nil"/>
              <w:left w:val="nil"/>
              <w:bottom w:val="single" w:sz="8" w:space="0" w:color="auto"/>
              <w:right w:val="single" w:sz="8" w:space="0" w:color="auto"/>
            </w:tcBorders>
            <w:vAlign w:val="center"/>
            <w:hideMark/>
          </w:tcPr>
          <w:p w14:paraId="1BDC0C81" w14:textId="77777777" w:rsidR="00C13430" w:rsidRDefault="00C13430">
            <w:pPr>
              <w:spacing w:line="252" w:lineRule="auto"/>
              <w:rPr>
                <w:rFonts w:ascii="Arial" w:hAnsi="Arial" w:cs="Arial"/>
                <w:sz w:val="24"/>
                <w:szCs w:val="24"/>
              </w:rPr>
            </w:pPr>
            <w:hyperlink r:id="rId8" w:tgtFrame="_blank" w:history="1">
              <w:r>
                <w:rPr>
                  <w:rStyle w:val="Hyperlink"/>
                  <w:rFonts w:ascii="Arial" w:hAnsi="Arial" w:cs="Arial"/>
                  <w:sz w:val="24"/>
                  <w:szCs w:val="24"/>
                </w:rPr>
                <w:t>VAVBAWAS/CO/VRE/PA</w:t>
              </w:r>
            </w:hyperlink>
            <w:r>
              <w:rPr>
                <w:rFonts w:ascii="Arial" w:hAnsi="Arial" w:cs="Arial"/>
                <w:sz w:val="24"/>
                <w:szCs w:val="24"/>
              </w:rPr>
              <w:t xml:space="preserve"> </w:t>
            </w:r>
          </w:p>
        </w:tc>
      </w:tr>
    </w:tbl>
    <w:p w14:paraId="00434722" w14:textId="77777777" w:rsidR="00C13430" w:rsidRDefault="00C13430" w:rsidP="00C13430">
      <w:pPr>
        <w:rPr>
          <w:rFonts w:ascii="Arial" w:hAnsi="Arial" w:cs="Arial"/>
          <w:sz w:val="24"/>
          <w:szCs w:val="24"/>
        </w:rPr>
      </w:pPr>
    </w:p>
    <w:p w14:paraId="300C9F4C" w14:textId="77777777" w:rsidR="00C13430" w:rsidRDefault="00C13430" w:rsidP="00C13430">
      <w:pPr>
        <w:rPr>
          <w:rFonts w:ascii="Arial" w:hAnsi="Arial" w:cs="Arial"/>
          <w:sz w:val="24"/>
          <w:szCs w:val="24"/>
        </w:rPr>
      </w:pPr>
      <w:r>
        <w:rPr>
          <w:rFonts w:ascii="Arial" w:hAnsi="Arial" w:cs="Arial"/>
          <w:sz w:val="24"/>
          <w:szCs w:val="24"/>
        </w:rPr>
        <w:t>Thank you,</w:t>
      </w:r>
    </w:p>
    <w:p w14:paraId="6F47E613" w14:textId="77777777" w:rsidR="00C13430" w:rsidRDefault="00C13430" w:rsidP="00C13430">
      <w:pPr>
        <w:rPr>
          <w:rFonts w:ascii="Arial" w:hAnsi="Arial" w:cs="Arial"/>
          <w:sz w:val="24"/>
          <w:szCs w:val="24"/>
        </w:rPr>
      </w:pPr>
    </w:p>
    <w:p w14:paraId="3452495C" w14:textId="77777777" w:rsidR="00C13430" w:rsidRDefault="00C13430" w:rsidP="00C13430">
      <w:pPr>
        <w:rPr>
          <w:rFonts w:ascii="Arial" w:hAnsi="Arial" w:cs="Arial"/>
          <w:sz w:val="24"/>
          <w:szCs w:val="24"/>
        </w:rPr>
      </w:pPr>
      <w:r>
        <w:rPr>
          <w:rFonts w:ascii="Arial" w:hAnsi="Arial" w:cs="Arial"/>
          <w:sz w:val="24"/>
          <w:szCs w:val="24"/>
        </w:rPr>
        <w:t xml:space="preserve">VR&amp;E Service </w:t>
      </w:r>
    </w:p>
    <w:p w14:paraId="53D51BF9" w14:textId="77777777" w:rsidR="00C13430" w:rsidRDefault="00C13430" w:rsidP="00C13430">
      <w:pPr>
        <w:rPr>
          <w:rFonts w:ascii="Arial" w:hAnsi="Arial" w:cs="Arial"/>
          <w:sz w:val="24"/>
          <w:szCs w:val="24"/>
        </w:rPr>
      </w:pPr>
    </w:p>
    <w:p w14:paraId="4DB2349B" w14:textId="49528ED8" w:rsidR="00F6451D" w:rsidRPr="00C13430" w:rsidRDefault="00C13430">
      <w:pPr>
        <w:rPr>
          <w:sz w:val="28"/>
          <w:szCs w:val="28"/>
        </w:rPr>
      </w:pPr>
      <w:r>
        <w:rPr>
          <w:noProof/>
        </w:rPr>
        <w:lastRenderedPageBreak/>
        <w:drawing>
          <wp:inline distT="0" distB="0" distL="0" distR="0" wp14:anchorId="0549B8CE" wp14:editId="01DE4D76">
            <wp:extent cx="221932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a:ln>
                      <a:noFill/>
                    </a:ln>
                  </pic:spPr>
                </pic:pic>
              </a:graphicData>
            </a:graphic>
          </wp:inline>
        </w:drawing>
      </w:r>
    </w:p>
    <w:sectPr w:rsidR="00F6451D" w:rsidRPr="00C13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30"/>
    <w:rsid w:val="00C13430"/>
    <w:rsid w:val="00F6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9545"/>
  <w15:chartTrackingRefBased/>
  <w15:docId w15:val="{2F8D670A-38C1-45D2-988C-CA1A2FA5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4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VBAWAS/CO/VRE/PA" TargetMode="External"/><Relationship Id="rId3" Type="http://schemas.openxmlformats.org/officeDocument/2006/relationships/webSettings" Target="webSettings.xml"/><Relationship Id="rId7" Type="http://schemas.openxmlformats.org/officeDocument/2006/relationships/hyperlink" Target="mailto:VAVBAWAS/CO/VRE/CO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VBAWAS/CO/VRE/SE" TargetMode="External"/><Relationship Id="rId11" Type="http://schemas.openxmlformats.org/officeDocument/2006/relationships/fontTable" Target="fontTable.xml"/><Relationship Id="rId5" Type="http://schemas.openxmlformats.org/officeDocument/2006/relationships/hyperlink" Target="mailto:VAVBAWAS/CO/VRE/NE" TargetMode="External"/><Relationship Id="rId10" Type="http://schemas.openxmlformats.org/officeDocument/2006/relationships/image" Target="cid:image001.png@01D82EDC.D8E3CC00" TargetMode="External"/><Relationship Id="rId4" Type="http://schemas.openxmlformats.org/officeDocument/2006/relationships/hyperlink" Target="mailto:kgonzalez@bncollege.com"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Barnes and Noble Follett Bookstores</vt:lpstr>
    </vt:vector>
  </TitlesOfParts>
  <Company>Veterans Benefits Administration</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Barnes and Noble Follett Bookstores</dc:title>
  <dc:subject/>
  <dc:creator>Department of Veterans Affairs, Veterans Benefits Administration, Veteran Readiness &amp; Employment Service, STAFF</dc:creator>
  <cp:keywords/>
  <dc:description/>
  <cp:lastModifiedBy>Kathy Poole</cp:lastModifiedBy>
  <cp:revision>1</cp:revision>
  <dcterms:created xsi:type="dcterms:W3CDTF">2022-05-04T17:41:00Z</dcterms:created>
  <dcterms:modified xsi:type="dcterms:W3CDTF">2022-05-04T17:44:00Z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