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BF59" w14:textId="77777777" w:rsidR="0046038D" w:rsidRDefault="0046038D" w:rsidP="0046038D">
      <w:pPr>
        <w:pStyle w:val="VBAILTCoverService"/>
      </w:pPr>
      <w:r>
        <w:t>Pension and Fiduciary Service</w:t>
      </w:r>
    </w:p>
    <w:p w14:paraId="63F89EA3" w14:textId="77777777" w:rsidR="0046038D" w:rsidRPr="00CC5FFF" w:rsidRDefault="0046038D" w:rsidP="0046038D">
      <w:pPr>
        <w:pStyle w:val="VBAILTCoverdoctypecourse"/>
        <w:spacing w:after="0" w:line="240" w:lineRule="auto"/>
        <w:rPr>
          <w:rFonts w:ascii="Times New Roman" w:eastAsia="Times New Roman" w:hAnsi="Times New Roman" w:cs="Times New Roman"/>
          <w:szCs w:val="48"/>
        </w:rPr>
      </w:pPr>
      <w:r w:rsidRPr="00CC5FFF">
        <w:rPr>
          <w:szCs w:val="48"/>
        </w:rPr>
        <w:t>PMC VSR Intermediate Core Course</w:t>
      </w:r>
      <w:r w:rsidRPr="00CC5FFF">
        <w:rPr>
          <w:rFonts w:ascii="Times New Roman" w:eastAsia="Times New Roman" w:hAnsi="Times New Roman" w:cs="Times New Roman"/>
          <w:szCs w:val="48"/>
        </w:rPr>
        <w:t xml:space="preserve"> </w:t>
      </w:r>
    </w:p>
    <w:p w14:paraId="53EAB3DF" w14:textId="77777777" w:rsidR="0046038D" w:rsidRPr="00CC5FFF" w:rsidRDefault="0046038D" w:rsidP="0046038D">
      <w:pPr>
        <w:pStyle w:val="VBAILTCoverdoctypecourse"/>
        <w:spacing w:before="0" w:after="0" w:line="240" w:lineRule="auto"/>
        <w:rPr>
          <w:szCs w:val="48"/>
        </w:rPr>
      </w:pPr>
      <w:r w:rsidRPr="00CC5FFF">
        <w:rPr>
          <w:szCs w:val="48"/>
        </w:rPr>
        <w:t>Phase 5: Proficiency Development</w:t>
      </w:r>
    </w:p>
    <w:p w14:paraId="6E0357FD" w14:textId="77777777" w:rsidR="0046038D" w:rsidRPr="00CC5FFF" w:rsidRDefault="0046038D" w:rsidP="0046038D">
      <w:pPr>
        <w:pStyle w:val="VBAILTCoverLessonTitle"/>
        <w:rPr>
          <w:b w:val="0"/>
          <w:bCs/>
          <w:sz w:val="48"/>
          <w:szCs w:val="48"/>
        </w:rPr>
      </w:pPr>
      <w:r w:rsidRPr="00CC5FFF">
        <w:rPr>
          <w:b w:val="0"/>
          <w:bCs/>
          <w:sz w:val="48"/>
          <w:szCs w:val="48"/>
        </w:rPr>
        <w:t xml:space="preserve">Part 3: Promulgation </w:t>
      </w:r>
    </w:p>
    <w:p w14:paraId="115366EB" w14:textId="77777777" w:rsidR="0046038D" w:rsidRDefault="0046038D" w:rsidP="0046038D">
      <w:pPr>
        <w:pStyle w:val="VBAILTCoverLessonTitle"/>
      </w:pPr>
    </w:p>
    <w:p w14:paraId="47A00F53" w14:textId="77777777" w:rsidR="0046038D" w:rsidRDefault="0046038D" w:rsidP="0046038D">
      <w:pPr>
        <w:pStyle w:val="VBAILTCoverLessonTitle"/>
      </w:pPr>
      <w:r>
        <w:t>Introduction to 800 Series Work Items</w:t>
      </w:r>
    </w:p>
    <w:p w14:paraId="6278C7B4" w14:textId="63A6525B" w:rsidR="0046038D" w:rsidRDefault="0046038D" w:rsidP="0046038D">
      <w:pPr>
        <w:pStyle w:val="VBAILTCoverdoctypecourse"/>
      </w:pPr>
      <w:r>
        <w:t>Trainee Guide</w:t>
      </w:r>
    </w:p>
    <w:p w14:paraId="4E923B73" w14:textId="00913386" w:rsidR="0046038D" w:rsidRPr="00603F9C" w:rsidRDefault="00184AAC" w:rsidP="0046038D">
      <w:pPr>
        <w:pStyle w:val="VBAILTBody"/>
        <w:jc w:val="center"/>
        <w:rPr>
          <w:sz w:val="48"/>
          <w:szCs w:val="48"/>
        </w:rPr>
      </w:pPr>
      <w:r>
        <w:rPr>
          <w:sz w:val="48"/>
          <w:szCs w:val="48"/>
        </w:rPr>
        <w:t>May 2024</w:t>
      </w:r>
    </w:p>
    <w:p w14:paraId="5AFF9CAB" w14:textId="77777777" w:rsidR="0046038D" w:rsidRDefault="0046038D" w:rsidP="0046038D">
      <w:pPr>
        <w:pStyle w:val="VBAILTCoverMisc"/>
        <w:rPr>
          <w:sz w:val="72"/>
          <w:szCs w:val="72"/>
        </w:rPr>
      </w:pPr>
      <w:r>
        <w:br w:type="page"/>
      </w:r>
    </w:p>
    <w:p w14:paraId="1B2A298F" w14:textId="77777777" w:rsidR="0046038D" w:rsidRDefault="0046038D" w:rsidP="0046038D">
      <w:pPr>
        <w:pStyle w:val="VBAILTHeading1"/>
      </w:pPr>
      <w:r>
        <w:lastRenderedPageBreak/>
        <w:t>Introduction to 800 Series Work Items</w:t>
      </w:r>
    </w:p>
    <w:p w14:paraId="3B8919D5" w14:textId="77777777" w:rsidR="0046038D" w:rsidRPr="00C214A9" w:rsidRDefault="0046038D" w:rsidP="0046038D">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46038D" w14:paraId="4AEBA83F" w14:textId="77777777" w:rsidTr="001F66DE">
        <w:trPr>
          <w:cantSplit/>
          <w:tblHeader/>
          <w:jc w:val="center"/>
        </w:trPr>
        <w:tc>
          <w:tcPr>
            <w:tcW w:w="1908" w:type="dxa"/>
            <w:shd w:val="clear" w:color="auto" w:fill="B4C6E7" w:themeFill="accent1" w:themeFillTint="66"/>
          </w:tcPr>
          <w:p w14:paraId="15B0D3C7" w14:textId="77777777" w:rsidR="0046038D" w:rsidRDefault="0046038D" w:rsidP="001F66DE">
            <w:pPr>
              <w:pStyle w:val="VBAILTTableHeading1"/>
            </w:pPr>
            <w:r>
              <w:t>Topic</w:t>
            </w:r>
          </w:p>
        </w:tc>
        <w:tc>
          <w:tcPr>
            <w:tcW w:w="7452" w:type="dxa"/>
            <w:shd w:val="clear" w:color="auto" w:fill="B4C6E7" w:themeFill="accent1" w:themeFillTint="66"/>
          </w:tcPr>
          <w:p w14:paraId="3BB93323" w14:textId="77777777" w:rsidR="0046038D" w:rsidRDefault="0046038D" w:rsidP="001F66DE">
            <w:pPr>
              <w:pStyle w:val="VBAILTTableHeading1"/>
            </w:pPr>
            <w:r>
              <w:t>Description</w:t>
            </w:r>
          </w:p>
        </w:tc>
      </w:tr>
      <w:tr w:rsidR="0046038D" w14:paraId="0A0CA0E6" w14:textId="77777777" w:rsidTr="001F66DE">
        <w:trPr>
          <w:cantSplit/>
          <w:jc w:val="center"/>
        </w:trPr>
        <w:tc>
          <w:tcPr>
            <w:tcW w:w="1908" w:type="dxa"/>
          </w:tcPr>
          <w:p w14:paraId="4DA24D41" w14:textId="77777777" w:rsidR="0046038D" w:rsidRDefault="0046038D" w:rsidP="001F66DE">
            <w:pPr>
              <w:pStyle w:val="VBAILTBody"/>
            </w:pPr>
            <w:r>
              <w:t>Time Estimate:</w:t>
            </w:r>
          </w:p>
        </w:tc>
        <w:tc>
          <w:tcPr>
            <w:tcW w:w="7452" w:type="dxa"/>
          </w:tcPr>
          <w:p w14:paraId="667AA4AE" w14:textId="77777777" w:rsidR="0046038D" w:rsidRDefault="0046038D" w:rsidP="001F66DE">
            <w:pPr>
              <w:pStyle w:val="VBAILTBody"/>
            </w:pPr>
            <w:r>
              <w:t>1 hour</w:t>
            </w:r>
          </w:p>
        </w:tc>
      </w:tr>
      <w:tr w:rsidR="0046038D" w14:paraId="40A60F08" w14:textId="77777777" w:rsidTr="001F66DE">
        <w:trPr>
          <w:cantSplit/>
          <w:jc w:val="center"/>
        </w:trPr>
        <w:tc>
          <w:tcPr>
            <w:tcW w:w="1908" w:type="dxa"/>
          </w:tcPr>
          <w:p w14:paraId="21854A6F" w14:textId="77777777" w:rsidR="0046038D" w:rsidRDefault="0046038D" w:rsidP="001F66DE">
            <w:pPr>
              <w:pStyle w:val="VBAILTBody"/>
            </w:pPr>
            <w:r>
              <w:t>Purpose of the Lesson:</w:t>
            </w:r>
          </w:p>
        </w:tc>
        <w:tc>
          <w:tcPr>
            <w:tcW w:w="7452" w:type="dxa"/>
          </w:tcPr>
          <w:p w14:paraId="1185449E" w14:textId="77777777" w:rsidR="0046038D" w:rsidRDefault="0046038D" w:rsidP="001F66DE">
            <w:pPr>
              <w:pStyle w:val="VBAILTBody"/>
            </w:pPr>
            <w:r>
              <w:t xml:space="preserve">This lesson is part of the entry-level course for PMC VSRs. Although positioned within the Intermediate Phase, this course remains an entry-level course and its purpose is to introduce PMC VSRs to the 800 Series Work Items. </w:t>
            </w:r>
          </w:p>
        </w:tc>
      </w:tr>
      <w:tr w:rsidR="0046038D" w14:paraId="414FDACB" w14:textId="77777777" w:rsidTr="001F66DE">
        <w:trPr>
          <w:cantSplit/>
          <w:jc w:val="center"/>
        </w:trPr>
        <w:tc>
          <w:tcPr>
            <w:tcW w:w="1908" w:type="dxa"/>
          </w:tcPr>
          <w:p w14:paraId="3D9B7122" w14:textId="77777777" w:rsidR="0046038D" w:rsidRDefault="0046038D" w:rsidP="001F66DE">
            <w:pPr>
              <w:pStyle w:val="VBAILTBody"/>
            </w:pPr>
            <w:r>
              <w:t>Prerequisite Training Requirements:</w:t>
            </w:r>
          </w:p>
        </w:tc>
        <w:tc>
          <w:tcPr>
            <w:tcW w:w="7452" w:type="dxa"/>
          </w:tcPr>
          <w:p w14:paraId="0F500D48" w14:textId="77777777" w:rsidR="0046038D" w:rsidRDefault="0046038D" w:rsidP="001F66DE">
            <w:pPr>
              <w:pStyle w:val="VBAILTBody"/>
            </w:pPr>
            <w:r w:rsidRPr="007261B7">
              <w:t xml:space="preserve">Prior to taking the </w:t>
            </w:r>
            <w:r w:rsidRPr="00D6105F">
              <w:rPr>
                <w:b/>
                <w:bCs/>
              </w:rPr>
              <w:t xml:space="preserve">Introduction to </w:t>
            </w:r>
            <w:r>
              <w:rPr>
                <w:b/>
                <w:bCs/>
              </w:rPr>
              <w:t>800 Series Work Items</w:t>
            </w:r>
            <w:r>
              <w:t xml:space="preserve"> </w:t>
            </w:r>
            <w:r w:rsidRPr="007261B7">
              <w:t>lesson, trainees must complet</w:t>
            </w:r>
            <w:r>
              <w:t xml:space="preserve">e the entry-level courses: </w:t>
            </w:r>
          </w:p>
          <w:p w14:paraId="0D1A342A" w14:textId="77777777" w:rsidR="0046038D" w:rsidRDefault="0046038D" w:rsidP="0046038D">
            <w:pPr>
              <w:pStyle w:val="VBAILTBody"/>
              <w:numPr>
                <w:ilvl w:val="0"/>
                <w:numId w:val="2"/>
              </w:numPr>
            </w:pPr>
            <w:r>
              <w:t>Phases 1-5.2</w:t>
            </w:r>
          </w:p>
        </w:tc>
      </w:tr>
      <w:tr w:rsidR="0046038D" w14:paraId="593A53C7" w14:textId="77777777" w:rsidTr="001F66DE">
        <w:trPr>
          <w:cantSplit/>
          <w:jc w:val="center"/>
        </w:trPr>
        <w:tc>
          <w:tcPr>
            <w:tcW w:w="1908" w:type="dxa"/>
          </w:tcPr>
          <w:p w14:paraId="2F8965AE" w14:textId="77777777" w:rsidR="0046038D" w:rsidRDefault="0046038D" w:rsidP="001F66DE">
            <w:pPr>
              <w:pStyle w:val="VBAILTBody"/>
            </w:pPr>
            <w:r>
              <w:t>Target Audience:</w:t>
            </w:r>
          </w:p>
        </w:tc>
        <w:tc>
          <w:tcPr>
            <w:tcW w:w="7452" w:type="dxa"/>
          </w:tcPr>
          <w:p w14:paraId="450E8613" w14:textId="77777777" w:rsidR="0046038D" w:rsidRDefault="0046038D" w:rsidP="001F66DE">
            <w:pPr>
              <w:pStyle w:val="VBAILTBody"/>
            </w:pPr>
            <w:r w:rsidRPr="007F4916">
              <w:t xml:space="preserve">This lesson is for </w:t>
            </w:r>
            <w:r w:rsidRPr="006D2D46">
              <w:t>entry-level</w:t>
            </w:r>
            <w:r>
              <w:t xml:space="preserve"> PMC VSRs.</w:t>
            </w:r>
          </w:p>
        </w:tc>
      </w:tr>
      <w:tr w:rsidR="00FF7C04" w14:paraId="60D4BC2A" w14:textId="77777777" w:rsidTr="001F66DE">
        <w:trPr>
          <w:jc w:val="center"/>
        </w:trPr>
        <w:tc>
          <w:tcPr>
            <w:tcW w:w="1908" w:type="dxa"/>
          </w:tcPr>
          <w:p w14:paraId="2DACE112" w14:textId="77777777" w:rsidR="00FF7C04" w:rsidRDefault="00FF7C04" w:rsidP="00FF7C04">
            <w:pPr>
              <w:pStyle w:val="VBAILTBody"/>
            </w:pPr>
            <w:r>
              <w:t>Lesson References:</w:t>
            </w:r>
          </w:p>
        </w:tc>
        <w:tc>
          <w:tcPr>
            <w:tcW w:w="7452" w:type="dxa"/>
          </w:tcPr>
          <w:p w14:paraId="4E175800" w14:textId="77777777" w:rsidR="00FF7C04" w:rsidRDefault="00FF7C04" w:rsidP="00FF7C04">
            <w:pPr>
              <w:pStyle w:val="VBAILTbullet1"/>
              <w:numPr>
                <w:ilvl w:val="0"/>
                <w:numId w:val="1"/>
              </w:numPr>
            </w:pPr>
            <w:r w:rsidRPr="00650448">
              <w:t>M21-1 II.i.</w:t>
            </w:r>
            <w:r>
              <w:t>2</w:t>
            </w:r>
            <w:r w:rsidRPr="00650448">
              <w:t>.</w:t>
            </w:r>
            <w:r>
              <w:t>C</w:t>
            </w:r>
            <w:r w:rsidRPr="00650448">
              <w:t>.2.</w:t>
            </w:r>
            <w:r>
              <w:t>d.</w:t>
            </w:r>
            <w:r w:rsidRPr="00650448">
              <w:t xml:space="preserve"> (Placing Claims and 800 Series</w:t>
            </w:r>
            <w:r>
              <w:t xml:space="preserve"> Work Items Under EP Control) </w:t>
            </w:r>
          </w:p>
          <w:p w14:paraId="7097DA61" w14:textId="77777777" w:rsidR="00FF7C04" w:rsidRDefault="00FF7C04" w:rsidP="00FF7C04">
            <w:pPr>
              <w:pStyle w:val="VBAILTbullet1"/>
              <w:numPr>
                <w:ilvl w:val="0"/>
                <w:numId w:val="1"/>
              </w:numPr>
            </w:pPr>
            <w:r w:rsidRPr="00B463EF">
              <w:t xml:space="preserve">M21-1 </w:t>
            </w:r>
            <w:r>
              <w:t>II.i.2.C.6.d.</w:t>
            </w:r>
            <w:r w:rsidRPr="00B463EF">
              <w:t xml:space="preserve"> (Procedure for Obtaining a Correct Address for Undeliverable Essential</w:t>
            </w:r>
            <w:r>
              <w:t xml:space="preserve"> </w:t>
            </w:r>
            <w:r w:rsidRPr="00B463EF">
              <w:t>Mail)</w:t>
            </w:r>
          </w:p>
          <w:p w14:paraId="0CA1A80A" w14:textId="77777777" w:rsidR="00FF7C04" w:rsidRDefault="00FF7C04" w:rsidP="00FF7C04">
            <w:pPr>
              <w:pStyle w:val="VBAILTbullet1"/>
              <w:numPr>
                <w:ilvl w:val="0"/>
                <w:numId w:val="1"/>
              </w:numPr>
            </w:pPr>
            <w:r w:rsidRPr="00650448">
              <w:t xml:space="preserve">M21-1 </w:t>
            </w:r>
            <w:r>
              <w:t>II.i.2.C.6.k.</w:t>
            </w:r>
            <w:r w:rsidRPr="00650448">
              <w:t xml:space="preserve"> (Processing 800 Series Work Items Commonly Related to Lack of a C</w:t>
            </w:r>
            <w:r>
              <w:t xml:space="preserve">orrect Address) </w:t>
            </w:r>
          </w:p>
          <w:p w14:paraId="30B83138" w14:textId="77777777" w:rsidR="00FF7C04" w:rsidRDefault="00FF7C04" w:rsidP="00FF7C04">
            <w:pPr>
              <w:pStyle w:val="VBAILTbullet1"/>
              <w:numPr>
                <w:ilvl w:val="0"/>
                <w:numId w:val="1"/>
              </w:numPr>
            </w:pPr>
            <w:r w:rsidRPr="00650448">
              <w:t>M21-</w:t>
            </w:r>
            <w:r>
              <w:t xml:space="preserve">4 Appendix B. Section 3. (800 Series Work Items) </w:t>
            </w:r>
          </w:p>
          <w:p w14:paraId="254503EB" w14:textId="77777777" w:rsidR="00FF7C04" w:rsidRDefault="00FF7C04" w:rsidP="00FF7C04">
            <w:pPr>
              <w:pStyle w:val="VBAILTbullet1"/>
              <w:numPr>
                <w:ilvl w:val="0"/>
                <w:numId w:val="1"/>
              </w:numPr>
            </w:pPr>
            <w:r w:rsidRPr="00650448">
              <w:t>M21-</w:t>
            </w:r>
            <w:r>
              <w:t>4 Appendix B. Section 4</w:t>
            </w:r>
            <w:r w:rsidRPr="00650448">
              <w:t xml:space="preserve"> (Proc</w:t>
            </w:r>
            <w:r>
              <w:t xml:space="preserve">essing 800 Series Work Items) </w:t>
            </w:r>
          </w:p>
          <w:p w14:paraId="4A70B4CB" w14:textId="40A6EFCC" w:rsidR="00FF7C04" w:rsidRDefault="00FF7C04" w:rsidP="00FF7C04">
            <w:pPr>
              <w:pStyle w:val="VBAILTbullet1"/>
              <w:numPr>
                <w:ilvl w:val="0"/>
                <w:numId w:val="1"/>
              </w:numPr>
            </w:pPr>
            <w:r w:rsidRPr="00650448">
              <w:t xml:space="preserve">M21-4 Appendix C, Section </w:t>
            </w:r>
            <w:r>
              <w:t>1</w:t>
            </w:r>
            <w:r w:rsidRPr="00650448">
              <w:t>.b (Index of Claim Labels)</w:t>
            </w:r>
          </w:p>
        </w:tc>
      </w:tr>
      <w:tr w:rsidR="0046038D" w14:paraId="2BCBEDAC" w14:textId="77777777" w:rsidTr="001F66DE">
        <w:trPr>
          <w:cantSplit/>
          <w:jc w:val="center"/>
        </w:trPr>
        <w:tc>
          <w:tcPr>
            <w:tcW w:w="1908" w:type="dxa"/>
          </w:tcPr>
          <w:p w14:paraId="5C439117" w14:textId="77777777" w:rsidR="0046038D" w:rsidRDefault="0046038D" w:rsidP="001F66DE">
            <w:pPr>
              <w:pStyle w:val="VBAILTBody"/>
            </w:pPr>
            <w:r>
              <w:t>Technical Competencies:</w:t>
            </w:r>
          </w:p>
        </w:tc>
        <w:tc>
          <w:tcPr>
            <w:tcW w:w="7452" w:type="dxa"/>
          </w:tcPr>
          <w:p w14:paraId="27220689" w14:textId="77777777" w:rsidR="0046038D" w:rsidRDefault="0046038D" w:rsidP="0046038D">
            <w:pPr>
              <w:pStyle w:val="VBAILTbullet1"/>
            </w:pPr>
            <w:r w:rsidRPr="00B13026">
              <w:t>Program Benefi</w:t>
            </w:r>
            <w:r>
              <w:t>ts and Eligibility (PMC VSR)</w:t>
            </w:r>
          </w:p>
          <w:p w14:paraId="37BEBFAC" w14:textId="77777777" w:rsidR="0046038D" w:rsidRDefault="0046038D" w:rsidP="0046038D">
            <w:pPr>
              <w:pStyle w:val="VBAILTbullet1"/>
            </w:pPr>
            <w:r w:rsidRPr="00B13026">
              <w:t>VBA Applications (PMC VSR)</w:t>
            </w:r>
          </w:p>
        </w:tc>
      </w:tr>
      <w:tr w:rsidR="00184AAC" w14:paraId="5BE3173B" w14:textId="77777777" w:rsidTr="001F66DE">
        <w:trPr>
          <w:cantSplit/>
          <w:jc w:val="center"/>
        </w:trPr>
        <w:tc>
          <w:tcPr>
            <w:tcW w:w="1908" w:type="dxa"/>
          </w:tcPr>
          <w:p w14:paraId="6FD30E40" w14:textId="297F2F94" w:rsidR="00184AAC" w:rsidRDefault="00184AAC" w:rsidP="001F66DE">
            <w:pPr>
              <w:pStyle w:val="VBAILTBody"/>
            </w:pPr>
            <w:r>
              <w:t>Knowledge Check</w:t>
            </w:r>
          </w:p>
        </w:tc>
        <w:tc>
          <w:tcPr>
            <w:tcW w:w="7452" w:type="dxa"/>
          </w:tcPr>
          <w:p w14:paraId="0ED6A776" w14:textId="3B894AFA" w:rsidR="00184AAC" w:rsidRPr="00B13026" w:rsidRDefault="00184AAC" w:rsidP="00184AAC">
            <w:pPr>
              <w:pStyle w:val="VBAILTbullet1"/>
            </w:pPr>
            <w:r>
              <w:t>Phase 5.3 Introduction to 800 Series Work Items Knowledge Check</w:t>
            </w:r>
          </w:p>
        </w:tc>
      </w:tr>
      <w:tr w:rsidR="0046038D" w14:paraId="5A0F9F9F" w14:textId="77777777" w:rsidTr="001F66DE">
        <w:trPr>
          <w:cantSplit/>
          <w:jc w:val="center"/>
        </w:trPr>
        <w:tc>
          <w:tcPr>
            <w:tcW w:w="1908" w:type="dxa"/>
          </w:tcPr>
          <w:p w14:paraId="49699E33" w14:textId="77777777" w:rsidR="0046038D" w:rsidRPr="003440F2" w:rsidRDefault="0046038D" w:rsidP="001F66DE">
            <w:pPr>
              <w:pStyle w:val="VBAILTBody"/>
            </w:pPr>
            <w:r>
              <w:lastRenderedPageBreak/>
              <w:t>Lesson Objectives:</w:t>
            </w:r>
          </w:p>
        </w:tc>
        <w:tc>
          <w:tcPr>
            <w:tcW w:w="7452" w:type="dxa"/>
          </w:tcPr>
          <w:p w14:paraId="73E6E5A3" w14:textId="77777777" w:rsidR="0046038D" w:rsidRPr="003477B4" w:rsidRDefault="0046038D" w:rsidP="001F66DE">
            <w:pPr>
              <w:pStyle w:val="VBAILTbullet1"/>
              <w:ind w:left="360" w:hanging="360"/>
            </w:pPr>
            <w:r w:rsidRPr="003477B4">
              <w:t xml:space="preserve">By the end of this course, you </w:t>
            </w:r>
            <w:r>
              <w:t>the trainee will</w:t>
            </w:r>
            <w:r w:rsidRPr="003477B4">
              <w:t xml:space="preserve"> be able to:</w:t>
            </w:r>
          </w:p>
          <w:p w14:paraId="7C04999E" w14:textId="77777777" w:rsidR="002F196E" w:rsidRPr="003477B4" w:rsidRDefault="00000000" w:rsidP="0046038D">
            <w:pPr>
              <w:pStyle w:val="VBAILTBullet2"/>
              <w:numPr>
                <w:ilvl w:val="0"/>
                <w:numId w:val="3"/>
              </w:numPr>
            </w:pPr>
            <w:r w:rsidRPr="003477B4">
              <w:t>Define the 800 series Work Items (WI)</w:t>
            </w:r>
          </w:p>
          <w:p w14:paraId="578648E5" w14:textId="77777777" w:rsidR="002F196E" w:rsidRPr="003477B4" w:rsidRDefault="00000000" w:rsidP="0046038D">
            <w:pPr>
              <w:pStyle w:val="VBAILTBullet2"/>
              <w:numPr>
                <w:ilvl w:val="0"/>
                <w:numId w:val="3"/>
              </w:numPr>
            </w:pPr>
            <w:r w:rsidRPr="003477B4">
              <w:t>Describe WI categories</w:t>
            </w:r>
          </w:p>
          <w:p w14:paraId="55A754D4" w14:textId="77777777" w:rsidR="002F196E" w:rsidRPr="003477B4" w:rsidRDefault="00000000" w:rsidP="0046038D">
            <w:pPr>
              <w:pStyle w:val="VBAILTBullet2"/>
              <w:numPr>
                <w:ilvl w:val="0"/>
                <w:numId w:val="3"/>
              </w:numPr>
            </w:pPr>
            <w:r w:rsidRPr="003477B4">
              <w:t xml:space="preserve">Determine which the type of WI received </w:t>
            </w:r>
          </w:p>
          <w:p w14:paraId="0F6E287A" w14:textId="77777777" w:rsidR="002F196E" w:rsidRPr="003477B4" w:rsidRDefault="00000000" w:rsidP="0046038D">
            <w:pPr>
              <w:pStyle w:val="VBAILTBullet2"/>
              <w:numPr>
                <w:ilvl w:val="0"/>
                <w:numId w:val="3"/>
              </w:numPr>
            </w:pPr>
            <w:r w:rsidRPr="003477B4">
              <w:t>Identify the reason for the WI</w:t>
            </w:r>
          </w:p>
          <w:p w14:paraId="10139389" w14:textId="77777777" w:rsidR="0046038D" w:rsidRDefault="00000000" w:rsidP="0046038D">
            <w:pPr>
              <w:pStyle w:val="VBAILTBullet2"/>
              <w:numPr>
                <w:ilvl w:val="0"/>
                <w:numId w:val="3"/>
              </w:numPr>
            </w:pPr>
            <w:r w:rsidRPr="003477B4">
              <w:t>Identify the appropriate steps to take upon receipt of a WI</w:t>
            </w:r>
          </w:p>
        </w:tc>
      </w:tr>
      <w:tr w:rsidR="0046038D" w14:paraId="6A2A0538" w14:textId="77777777" w:rsidTr="001F66DE">
        <w:trPr>
          <w:jc w:val="center"/>
        </w:trPr>
        <w:tc>
          <w:tcPr>
            <w:tcW w:w="1908" w:type="dxa"/>
          </w:tcPr>
          <w:p w14:paraId="246B8116" w14:textId="77777777" w:rsidR="0046038D" w:rsidRDefault="0046038D" w:rsidP="001F66DE">
            <w:pPr>
              <w:pStyle w:val="VBAILTBody"/>
            </w:pPr>
            <w:r>
              <w:t>What You Need:</w:t>
            </w:r>
          </w:p>
        </w:tc>
        <w:tc>
          <w:tcPr>
            <w:tcW w:w="7452" w:type="dxa"/>
          </w:tcPr>
          <w:p w14:paraId="4B43F92A" w14:textId="3E6F9D51" w:rsidR="0046038D" w:rsidRDefault="0046038D" w:rsidP="00FF7C04">
            <w:pPr>
              <w:pStyle w:val="VBAILTBullet2"/>
              <w:numPr>
                <w:ilvl w:val="0"/>
                <w:numId w:val="1"/>
              </w:numPr>
            </w:pPr>
            <w:r>
              <w:t>Trainee Guide</w:t>
            </w:r>
          </w:p>
          <w:p w14:paraId="6703265D" w14:textId="1DD961AD" w:rsidR="00FF7C04" w:rsidRDefault="00FF7C04" w:rsidP="00FF7C04">
            <w:pPr>
              <w:pStyle w:val="VBAILTBullet2"/>
              <w:numPr>
                <w:ilvl w:val="0"/>
                <w:numId w:val="1"/>
              </w:numPr>
            </w:pPr>
            <w:r>
              <w:t>Paper and Pencil</w:t>
            </w:r>
          </w:p>
          <w:p w14:paraId="7F0BEC3E" w14:textId="6F72572C" w:rsidR="00FF7C04" w:rsidRDefault="00FF7C04" w:rsidP="00FF7C04">
            <w:pPr>
              <w:pStyle w:val="VBAILTBullet2"/>
              <w:numPr>
                <w:ilvl w:val="0"/>
                <w:numId w:val="1"/>
              </w:numPr>
            </w:pPr>
            <w:r>
              <w:t>Access to VBMS</w:t>
            </w:r>
          </w:p>
          <w:p w14:paraId="2ACCAC54" w14:textId="3F369500" w:rsidR="00FF7C04" w:rsidRDefault="00FF7C04" w:rsidP="00FF7C04">
            <w:pPr>
              <w:pStyle w:val="VBAILTBullet2"/>
              <w:numPr>
                <w:ilvl w:val="0"/>
                <w:numId w:val="1"/>
              </w:numPr>
            </w:pPr>
            <w:r>
              <w:t>Access to SHARE</w:t>
            </w:r>
          </w:p>
          <w:p w14:paraId="38A22EA8" w14:textId="77777777" w:rsidR="0046038D" w:rsidRDefault="0046038D" w:rsidP="00FF7C04">
            <w:pPr>
              <w:pStyle w:val="VBAILTBullet2"/>
              <w:numPr>
                <w:ilvl w:val="0"/>
                <w:numId w:val="1"/>
              </w:numPr>
            </w:pPr>
            <w:r w:rsidRPr="00890939">
              <w:rPr>
                <w:rStyle w:val="Strong"/>
              </w:rPr>
              <w:t xml:space="preserve">Access to </w:t>
            </w:r>
            <w:r>
              <w:rPr>
                <w:rStyle w:val="Strong"/>
                <w:b w:val="0"/>
              </w:rPr>
              <w:t>t</w:t>
            </w:r>
            <w:r w:rsidRPr="003477B4">
              <w:rPr>
                <w:rStyle w:val="Strong"/>
                <w:b w:val="0"/>
                <w:bCs w:val="0"/>
              </w:rPr>
              <w:t>he</w:t>
            </w:r>
            <w:r>
              <w:t xml:space="preserve"> VSR Assistant to access job aids the following job aid</w:t>
            </w:r>
          </w:p>
          <w:p w14:paraId="40E4AF15" w14:textId="77777777" w:rsidR="0046038D" w:rsidRDefault="0046038D" w:rsidP="0046038D">
            <w:pPr>
              <w:pStyle w:val="VBAILTBullet2"/>
            </w:pPr>
            <w:r w:rsidRPr="00BE0B2E">
              <w:rPr>
                <w:rStyle w:val="Strong"/>
              </w:rPr>
              <w:t xml:space="preserve">Processing </w:t>
            </w:r>
            <w:r>
              <w:rPr>
                <w:rStyle w:val="Strong"/>
              </w:rPr>
              <w:t>an Award Adjustment</w:t>
            </w:r>
            <w:r>
              <w:t xml:space="preserve"> job aid </w:t>
            </w:r>
          </w:p>
          <w:p w14:paraId="201DA07B" w14:textId="77777777" w:rsidR="0046038D" w:rsidRDefault="0046038D" w:rsidP="0046038D">
            <w:pPr>
              <w:pStyle w:val="VBAILTBullet2"/>
              <w:rPr>
                <w:rStyle w:val="Strong"/>
                <w:b w:val="0"/>
                <w:bCs w:val="0"/>
              </w:rPr>
            </w:pPr>
            <w:r>
              <w:rPr>
                <w:rStyle w:val="Strong"/>
              </w:rPr>
              <w:t xml:space="preserve">Prepare the Decision Notification </w:t>
            </w:r>
            <w:r w:rsidRPr="003477B4">
              <w:rPr>
                <w:rStyle w:val="Strong"/>
                <w:b w:val="0"/>
                <w:bCs w:val="0"/>
              </w:rPr>
              <w:t>job aid</w:t>
            </w:r>
          </w:p>
          <w:p w14:paraId="2BA25F15" w14:textId="77777777" w:rsidR="0046038D" w:rsidRDefault="0046038D" w:rsidP="0046038D">
            <w:pPr>
              <w:pStyle w:val="VBAILTBullet2"/>
              <w:rPr>
                <w:rStyle w:val="Strong"/>
                <w:b w:val="0"/>
                <w:bCs w:val="0"/>
              </w:rPr>
            </w:pPr>
            <w:r>
              <w:rPr>
                <w:rStyle w:val="Strong"/>
              </w:rPr>
              <w:t xml:space="preserve">Language Notification </w:t>
            </w:r>
            <w:r w:rsidRPr="003477B4">
              <w:rPr>
                <w:rStyle w:val="Strong"/>
                <w:b w:val="0"/>
                <w:bCs w:val="0"/>
              </w:rPr>
              <w:t>job aid</w:t>
            </w:r>
          </w:p>
          <w:p w14:paraId="2671788A" w14:textId="0F267EA6" w:rsidR="0046038D" w:rsidRDefault="0046038D" w:rsidP="0046038D">
            <w:pPr>
              <w:pStyle w:val="VBAILTBullet2"/>
            </w:pPr>
            <w:r>
              <w:rPr>
                <w:rStyle w:val="Strong"/>
              </w:rPr>
              <w:t xml:space="preserve">Due Process </w:t>
            </w:r>
            <w:r w:rsidRPr="003E3C89">
              <w:rPr>
                <w:rStyle w:val="Strong"/>
                <w:b w:val="0"/>
                <w:bCs w:val="0"/>
              </w:rPr>
              <w:t>job aid</w:t>
            </w:r>
          </w:p>
        </w:tc>
      </w:tr>
    </w:tbl>
    <w:p w14:paraId="3EC98B14" w14:textId="77777777" w:rsidR="0046038D" w:rsidRPr="0024084E" w:rsidRDefault="0046038D" w:rsidP="0046038D">
      <w:pPr>
        <w:pStyle w:val="VBAILTBody"/>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40"/>
        <w:gridCol w:w="5940"/>
      </w:tblGrid>
      <w:tr w:rsidR="0046038D" w14:paraId="2857806C" w14:textId="77777777" w:rsidTr="001F66DE">
        <w:trPr>
          <w:cantSplit/>
          <w:tblHeader/>
          <w:jc w:val="center"/>
        </w:trPr>
        <w:tc>
          <w:tcPr>
            <w:tcW w:w="4140" w:type="dxa"/>
            <w:tcBorders>
              <w:right w:val="dashSmallGap" w:sz="4" w:space="0" w:color="auto"/>
            </w:tcBorders>
            <w:shd w:val="clear" w:color="auto" w:fill="B4C6E7" w:themeFill="accent1" w:themeFillTint="66"/>
          </w:tcPr>
          <w:p w14:paraId="54E94140" w14:textId="77777777" w:rsidR="0046038D" w:rsidRPr="006E54AE" w:rsidRDefault="0046038D" w:rsidP="001F66DE">
            <w:pPr>
              <w:pStyle w:val="VBAILTTableHeading1"/>
            </w:pPr>
            <w:bookmarkStart w:id="0" w:name="_Hlk105576166"/>
            <w:r>
              <w:t>PowerPoint Slides</w:t>
            </w:r>
          </w:p>
        </w:tc>
        <w:tc>
          <w:tcPr>
            <w:tcW w:w="5940" w:type="dxa"/>
            <w:tcBorders>
              <w:left w:val="dashSmallGap" w:sz="4" w:space="0" w:color="auto"/>
            </w:tcBorders>
            <w:shd w:val="clear" w:color="auto" w:fill="B4C6E7" w:themeFill="accent1" w:themeFillTint="66"/>
          </w:tcPr>
          <w:p w14:paraId="13791CEE" w14:textId="0174C1F4" w:rsidR="0046038D" w:rsidRDefault="0046038D" w:rsidP="001F66DE">
            <w:pPr>
              <w:pStyle w:val="VBAILTTableHeading1"/>
            </w:pPr>
            <w:r>
              <w:t>Notes</w:t>
            </w:r>
          </w:p>
        </w:tc>
      </w:tr>
      <w:bookmarkEnd w:id="0"/>
      <w:tr w:rsidR="0046038D" w14:paraId="57E8C4DC" w14:textId="77777777" w:rsidTr="001F66DE">
        <w:trPr>
          <w:cantSplit/>
          <w:jc w:val="center"/>
        </w:trPr>
        <w:tc>
          <w:tcPr>
            <w:tcW w:w="4140" w:type="dxa"/>
            <w:tcBorders>
              <w:right w:val="dashSmallGap" w:sz="4" w:space="0" w:color="auto"/>
            </w:tcBorders>
          </w:tcPr>
          <w:p w14:paraId="3FE67E49" w14:textId="77777777" w:rsidR="0046038D" w:rsidRDefault="0046038D" w:rsidP="001F66DE">
            <w:pPr>
              <w:pStyle w:val="VBAILTBodyStrong"/>
            </w:pPr>
            <w:r>
              <w:t>Introduction to 800 Series Work Items</w:t>
            </w:r>
          </w:p>
          <w:p w14:paraId="08878233" w14:textId="77777777" w:rsidR="0046038D" w:rsidRPr="00891BC1" w:rsidRDefault="0046038D" w:rsidP="001F66DE"/>
        </w:tc>
        <w:tc>
          <w:tcPr>
            <w:tcW w:w="5940" w:type="dxa"/>
            <w:tcBorders>
              <w:left w:val="dashSmallGap" w:sz="4" w:space="0" w:color="auto"/>
            </w:tcBorders>
          </w:tcPr>
          <w:p w14:paraId="16D72D12" w14:textId="77416C94" w:rsidR="0046038D" w:rsidRDefault="0046038D" w:rsidP="001F66DE">
            <w:pPr>
              <w:pStyle w:val="VBAILTBody"/>
            </w:pPr>
          </w:p>
        </w:tc>
      </w:tr>
      <w:tr w:rsidR="0046038D" w:rsidRPr="002912BA" w14:paraId="6657F52B" w14:textId="77777777" w:rsidTr="002D511A">
        <w:trPr>
          <w:cantSplit/>
          <w:trHeight w:val="4310"/>
          <w:jc w:val="center"/>
        </w:trPr>
        <w:tc>
          <w:tcPr>
            <w:tcW w:w="4140" w:type="dxa"/>
            <w:tcBorders>
              <w:right w:val="dashSmallGap" w:sz="4" w:space="0" w:color="auto"/>
            </w:tcBorders>
          </w:tcPr>
          <w:p w14:paraId="17D5040A" w14:textId="77777777" w:rsidR="0046038D" w:rsidRDefault="0046038D" w:rsidP="001F66DE">
            <w:pPr>
              <w:pStyle w:val="VBAILTBodyStrong"/>
            </w:pPr>
            <w:r>
              <w:lastRenderedPageBreak/>
              <w:t xml:space="preserve">Lesson Objectives </w:t>
            </w:r>
          </w:p>
          <w:p w14:paraId="6208BE7C" w14:textId="77777777" w:rsidR="0046038D" w:rsidRPr="00577A58" w:rsidRDefault="0046038D" w:rsidP="001F66DE">
            <w:pPr>
              <w:pStyle w:val="VBAILTbullet1"/>
            </w:pPr>
            <w:r w:rsidRPr="00577A58">
              <w:t>By the end of this course, you will be able to:</w:t>
            </w:r>
          </w:p>
          <w:p w14:paraId="0480867F" w14:textId="77777777" w:rsidR="002F196E" w:rsidRPr="00577A58" w:rsidRDefault="00000000" w:rsidP="002D511A">
            <w:pPr>
              <w:pStyle w:val="VBAILTbullet1"/>
              <w:numPr>
                <w:ilvl w:val="0"/>
                <w:numId w:val="10"/>
              </w:numPr>
            </w:pPr>
            <w:r w:rsidRPr="00577A58">
              <w:t>Define the 800 series Work Items (WI)</w:t>
            </w:r>
          </w:p>
          <w:p w14:paraId="51B47BBF" w14:textId="77777777" w:rsidR="002F196E" w:rsidRPr="00577A58" w:rsidRDefault="00000000" w:rsidP="002D511A">
            <w:pPr>
              <w:pStyle w:val="VBAILTbullet1"/>
              <w:numPr>
                <w:ilvl w:val="0"/>
                <w:numId w:val="10"/>
              </w:numPr>
            </w:pPr>
            <w:r w:rsidRPr="00577A58">
              <w:t>Describe WI categories</w:t>
            </w:r>
          </w:p>
          <w:p w14:paraId="13FC1E6A" w14:textId="77777777" w:rsidR="002F196E" w:rsidRPr="00577A58" w:rsidRDefault="00000000" w:rsidP="002D511A">
            <w:pPr>
              <w:pStyle w:val="VBAILTbullet1"/>
              <w:numPr>
                <w:ilvl w:val="0"/>
                <w:numId w:val="10"/>
              </w:numPr>
            </w:pPr>
            <w:r w:rsidRPr="00577A58">
              <w:t xml:space="preserve">Determine which the type of WI received </w:t>
            </w:r>
          </w:p>
          <w:p w14:paraId="4A277BAF" w14:textId="77777777" w:rsidR="002F196E" w:rsidRPr="00577A58" w:rsidRDefault="00000000" w:rsidP="002D511A">
            <w:pPr>
              <w:pStyle w:val="VBAILTbullet1"/>
              <w:numPr>
                <w:ilvl w:val="0"/>
                <w:numId w:val="10"/>
              </w:numPr>
            </w:pPr>
            <w:r w:rsidRPr="00577A58">
              <w:t>Identify the reason for the WI</w:t>
            </w:r>
          </w:p>
          <w:p w14:paraId="69484A2B" w14:textId="3951D19C" w:rsidR="0046038D" w:rsidRPr="0027277C" w:rsidRDefault="00000000" w:rsidP="002D511A">
            <w:pPr>
              <w:pStyle w:val="VBAILTbullet1"/>
              <w:numPr>
                <w:ilvl w:val="0"/>
                <w:numId w:val="10"/>
              </w:numPr>
            </w:pPr>
            <w:r w:rsidRPr="00577A58">
              <w:t>Identify the appropriate steps to take upon receipt of a WI</w:t>
            </w:r>
          </w:p>
        </w:tc>
        <w:tc>
          <w:tcPr>
            <w:tcW w:w="5940" w:type="dxa"/>
            <w:tcBorders>
              <w:left w:val="dashSmallGap" w:sz="4" w:space="0" w:color="auto"/>
            </w:tcBorders>
          </w:tcPr>
          <w:p w14:paraId="32684CD2" w14:textId="23EF59C9" w:rsidR="0046038D" w:rsidRPr="002912BA" w:rsidRDefault="0046038D" w:rsidP="0046038D">
            <w:pPr>
              <w:pStyle w:val="VBAILTbullet1"/>
              <w:ind w:left="360" w:hanging="360"/>
              <w:rPr>
                <w:rStyle w:val="Strong"/>
                <w:b w:val="0"/>
                <w:bCs w:val="0"/>
              </w:rPr>
            </w:pPr>
          </w:p>
        </w:tc>
      </w:tr>
      <w:tr w:rsidR="0046038D" w:rsidRPr="002912BA" w14:paraId="50A7A7FD" w14:textId="77777777" w:rsidTr="001F66DE">
        <w:trPr>
          <w:cantSplit/>
          <w:jc w:val="center"/>
        </w:trPr>
        <w:tc>
          <w:tcPr>
            <w:tcW w:w="4140" w:type="dxa"/>
            <w:tcBorders>
              <w:right w:val="dashSmallGap" w:sz="4" w:space="0" w:color="auto"/>
            </w:tcBorders>
          </w:tcPr>
          <w:p w14:paraId="57656D81" w14:textId="77777777" w:rsidR="0046038D" w:rsidRDefault="0046038D" w:rsidP="001F66DE">
            <w:pPr>
              <w:pStyle w:val="VBAILTBodyStrong"/>
            </w:pPr>
            <w:r>
              <w:t>Why It Matters!</w:t>
            </w:r>
          </w:p>
          <w:p w14:paraId="6926C381" w14:textId="77777777" w:rsidR="0046038D" w:rsidRPr="00125324" w:rsidRDefault="0046038D" w:rsidP="001F66DE">
            <w:pPr>
              <w:pStyle w:val="VBAILTBody"/>
            </w:pPr>
            <w:r w:rsidRPr="00577A58">
              <w:t xml:space="preserve">The </w:t>
            </w:r>
            <w:r w:rsidRPr="00577A58">
              <w:rPr>
                <w:b/>
                <w:bCs/>
              </w:rPr>
              <w:t xml:space="preserve">Introduction to the 800 Series Work Items </w:t>
            </w:r>
            <w:r w:rsidRPr="00577A58">
              <w:t xml:space="preserve">course is important because PMCs must consistently prioritize work items that potentially result in an underpayment, overpayment, or potential financial hardship.    </w:t>
            </w:r>
          </w:p>
        </w:tc>
        <w:tc>
          <w:tcPr>
            <w:tcW w:w="5940" w:type="dxa"/>
            <w:tcBorders>
              <w:left w:val="dashSmallGap" w:sz="4" w:space="0" w:color="auto"/>
            </w:tcBorders>
          </w:tcPr>
          <w:p w14:paraId="009E36C4" w14:textId="30544851" w:rsidR="0046038D" w:rsidRPr="002912BA" w:rsidRDefault="0046038D" w:rsidP="001F66DE">
            <w:pPr>
              <w:pStyle w:val="VBAILTBody"/>
              <w:rPr>
                <w:rStyle w:val="Strong"/>
                <w:b w:val="0"/>
                <w:bCs w:val="0"/>
              </w:rPr>
            </w:pPr>
          </w:p>
        </w:tc>
      </w:tr>
      <w:tr w:rsidR="0046038D" w14:paraId="3430ED46" w14:textId="77777777" w:rsidTr="001F66DE">
        <w:trPr>
          <w:cantSplit/>
          <w:jc w:val="center"/>
        </w:trPr>
        <w:tc>
          <w:tcPr>
            <w:tcW w:w="4140" w:type="dxa"/>
            <w:tcBorders>
              <w:right w:val="dashSmallGap" w:sz="4" w:space="0" w:color="auto"/>
            </w:tcBorders>
          </w:tcPr>
          <w:p w14:paraId="4AE463E3" w14:textId="77777777" w:rsidR="0046038D" w:rsidRDefault="0046038D" w:rsidP="001F66DE">
            <w:pPr>
              <w:pStyle w:val="VBAILTBodyStrong"/>
            </w:pPr>
            <w:r>
              <w:t>Definitions</w:t>
            </w:r>
          </w:p>
          <w:p w14:paraId="36D8CBA4" w14:textId="77777777" w:rsidR="002F196E" w:rsidRPr="008E772E" w:rsidRDefault="00000000" w:rsidP="002D511A">
            <w:pPr>
              <w:pStyle w:val="VBAILTbullet1"/>
              <w:numPr>
                <w:ilvl w:val="0"/>
                <w:numId w:val="11"/>
              </w:numPr>
            </w:pPr>
            <w:r w:rsidRPr="008E772E">
              <w:t>An </w:t>
            </w:r>
            <w:r w:rsidRPr="008E772E">
              <w:rPr>
                <w:b/>
                <w:bCs/>
                <w:i/>
                <w:iCs/>
              </w:rPr>
              <w:t>800 series work item</w:t>
            </w:r>
            <w:r w:rsidRPr="008E772E">
              <w:t xml:space="preserve"> is a system-generated message designed to PMCs with identifying and tracking cases that require follow-up action.  </w:t>
            </w:r>
          </w:p>
          <w:p w14:paraId="360913B1" w14:textId="77777777" w:rsidR="0046038D" w:rsidRPr="008E772E" w:rsidRDefault="0046038D" w:rsidP="0046038D">
            <w:pPr>
              <w:pStyle w:val="VBAILTBullet2"/>
            </w:pPr>
            <w:r w:rsidRPr="008E772E">
              <w:t>Each 800 series work item has a descriptive claim label indicating the nature of the review required.</w:t>
            </w:r>
          </w:p>
          <w:p w14:paraId="15454139" w14:textId="77777777" w:rsidR="002F196E" w:rsidRPr="008E772E" w:rsidRDefault="00000000" w:rsidP="002D511A">
            <w:pPr>
              <w:pStyle w:val="VBAILTBullet2"/>
              <w:numPr>
                <w:ilvl w:val="0"/>
                <w:numId w:val="1"/>
              </w:numPr>
            </w:pPr>
            <w:r w:rsidRPr="008E772E">
              <w:rPr>
                <w:b/>
                <w:bCs/>
                <w:i/>
                <w:iCs/>
              </w:rPr>
              <w:t>Work item</w:t>
            </w:r>
            <w:r w:rsidRPr="008E772E">
              <w:t> refers to tasks that must be completed.</w:t>
            </w:r>
          </w:p>
          <w:p w14:paraId="1CE3EBF8" w14:textId="77777777" w:rsidR="0046038D" w:rsidRDefault="0046038D" w:rsidP="001F66DE">
            <w:pPr>
              <w:pStyle w:val="VBAILTBullet2"/>
              <w:numPr>
                <w:ilvl w:val="0"/>
                <w:numId w:val="0"/>
              </w:numPr>
              <w:ind w:left="1080" w:hanging="360"/>
            </w:pPr>
          </w:p>
        </w:tc>
        <w:tc>
          <w:tcPr>
            <w:tcW w:w="5940" w:type="dxa"/>
            <w:tcBorders>
              <w:left w:val="dashSmallGap" w:sz="4" w:space="0" w:color="auto"/>
            </w:tcBorders>
          </w:tcPr>
          <w:p w14:paraId="584D9A9A" w14:textId="2C670C2A" w:rsidR="0046038D" w:rsidRPr="009F361E" w:rsidRDefault="0046038D" w:rsidP="001F66DE">
            <w:pPr>
              <w:spacing w:before="120" w:after="120" w:line="276" w:lineRule="auto"/>
              <w:rPr>
                <w:rStyle w:val="Strong"/>
              </w:rPr>
            </w:pPr>
          </w:p>
        </w:tc>
      </w:tr>
      <w:tr w:rsidR="0046038D" w14:paraId="478D7462" w14:textId="77777777" w:rsidTr="001F66DE">
        <w:trPr>
          <w:jc w:val="center"/>
        </w:trPr>
        <w:tc>
          <w:tcPr>
            <w:tcW w:w="4140" w:type="dxa"/>
            <w:tcBorders>
              <w:right w:val="dashSmallGap" w:sz="4" w:space="0" w:color="auto"/>
            </w:tcBorders>
          </w:tcPr>
          <w:p w14:paraId="540B5C69" w14:textId="77777777" w:rsidR="0046038D" w:rsidRDefault="0046038D" w:rsidP="001F66DE">
            <w:pPr>
              <w:pStyle w:val="VBAILTBodyStrong"/>
            </w:pPr>
            <w:r>
              <w:lastRenderedPageBreak/>
              <w:br w:type="page"/>
              <w:t xml:space="preserve">Types of 800 Series Work Items </w:t>
            </w:r>
          </w:p>
          <w:p w14:paraId="52E51B02" w14:textId="77777777" w:rsidR="0046038D" w:rsidRPr="009F2FE9" w:rsidRDefault="0046038D" w:rsidP="002D511A">
            <w:pPr>
              <w:pStyle w:val="VBAILTBullet2"/>
              <w:numPr>
                <w:ilvl w:val="0"/>
                <w:numId w:val="1"/>
              </w:numPr>
              <w:rPr>
                <w:noProof/>
              </w:rPr>
            </w:pPr>
            <w:r w:rsidRPr="009F2FE9">
              <w:rPr>
                <w:noProof/>
              </w:rPr>
              <w:t>Work Item 810 (810WI), </w:t>
            </w:r>
            <w:r w:rsidRPr="009F2FE9">
              <w:rPr>
                <w:i/>
                <w:iCs/>
                <w:noProof/>
              </w:rPr>
              <w:t>Notice of Benefit Payment Transaction</w:t>
            </w:r>
            <w:r w:rsidRPr="009F2FE9">
              <w:rPr>
                <w:noProof/>
              </w:rPr>
              <w:t>, prompts review of payments of benefits such as in the case of returned and undeliverable payments, verification of income or dependency, and review of the necessity for scheduled future exams that could result in a change of payments.</w:t>
            </w:r>
          </w:p>
          <w:p w14:paraId="3A4A0706" w14:textId="77777777" w:rsidR="0046038D" w:rsidRPr="009F2FE9" w:rsidRDefault="0046038D" w:rsidP="002D511A">
            <w:pPr>
              <w:pStyle w:val="VBAILTBullet2"/>
              <w:numPr>
                <w:ilvl w:val="0"/>
                <w:numId w:val="1"/>
              </w:numPr>
              <w:rPr>
                <w:noProof/>
              </w:rPr>
            </w:pPr>
            <w:r w:rsidRPr="009F2FE9">
              <w:rPr>
                <w:noProof/>
              </w:rPr>
              <w:t>Work Item 820 (820WI),</w:t>
            </w:r>
            <w:r w:rsidRPr="009F2FE9">
              <w:rPr>
                <w:i/>
                <w:iCs/>
                <w:noProof/>
              </w:rPr>
              <w:t> Explanation of Audit Message</w:t>
            </w:r>
            <w:r w:rsidRPr="009F2FE9">
              <w:rPr>
                <w:noProof/>
              </w:rPr>
              <w:t>, is a work item that provides an explanatory message related to case audits and prompts review. </w:t>
            </w:r>
          </w:p>
          <w:p w14:paraId="44FC4F37" w14:textId="77777777" w:rsidR="0046038D" w:rsidRPr="009F2FE9" w:rsidRDefault="0046038D" w:rsidP="002D511A">
            <w:pPr>
              <w:pStyle w:val="VBAILTBullet2"/>
              <w:numPr>
                <w:ilvl w:val="0"/>
                <w:numId w:val="1"/>
              </w:numPr>
              <w:rPr>
                <w:noProof/>
              </w:rPr>
            </w:pPr>
            <w:r w:rsidRPr="009F2FE9">
              <w:rPr>
                <w:noProof/>
              </w:rPr>
              <w:t>Work Item 830 (830WI),</w:t>
            </w:r>
            <w:r w:rsidRPr="009F2FE9">
              <w:rPr>
                <w:i/>
                <w:iCs/>
                <w:noProof/>
              </w:rPr>
              <w:t> Miscellaneous</w:t>
            </w:r>
            <w:r w:rsidRPr="009F2FE9">
              <w:rPr>
                <w:noProof/>
              </w:rPr>
              <w:t>, is a work item reserved for miscellaneous applications. </w:t>
            </w:r>
          </w:p>
          <w:p w14:paraId="1E77C940" w14:textId="77777777" w:rsidR="0046038D" w:rsidRDefault="0046038D" w:rsidP="002D511A">
            <w:pPr>
              <w:pStyle w:val="VBAILTbullet1"/>
              <w:numPr>
                <w:ilvl w:val="0"/>
                <w:numId w:val="1"/>
              </w:numPr>
            </w:pPr>
            <w:r w:rsidRPr="009F2FE9">
              <w:rPr>
                <w:noProof/>
              </w:rPr>
              <w:t>The 840WI may be used for reviews necessitated by prison and return to active duty matches.</w:t>
            </w:r>
          </w:p>
        </w:tc>
        <w:tc>
          <w:tcPr>
            <w:tcW w:w="5940" w:type="dxa"/>
            <w:tcBorders>
              <w:left w:val="dashSmallGap" w:sz="4" w:space="0" w:color="auto"/>
            </w:tcBorders>
          </w:tcPr>
          <w:p w14:paraId="1AC9B766" w14:textId="084A7EB4" w:rsidR="0046038D" w:rsidRPr="004B35AD" w:rsidRDefault="0046038D" w:rsidP="001F66DE">
            <w:pPr>
              <w:pStyle w:val="VBAILTBody"/>
              <w:rPr>
                <w:rStyle w:val="Strong"/>
                <w:b w:val="0"/>
                <w:bCs w:val="0"/>
              </w:rPr>
            </w:pPr>
          </w:p>
        </w:tc>
      </w:tr>
      <w:tr w:rsidR="0046038D" w14:paraId="4072CF5C" w14:textId="77777777" w:rsidTr="001F66DE">
        <w:trPr>
          <w:cantSplit/>
          <w:jc w:val="center"/>
        </w:trPr>
        <w:tc>
          <w:tcPr>
            <w:tcW w:w="4140" w:type="dxa"/>
            <w:tcBorders>
              <w:right w:val="dashSmallGap" w:sz="4" w:space="0" w:color="auto"/>
            </w:tcBorders>
          </w:tcPr>
          <w:p w14:paraId="18B6B383" w14:textId="77777777" w:rsidR="0046038D" w:rsidRDefault="0046038D" w:rsidP="001F66DE">
            <w:pPr>
              <w:pStyle w:val="VBAILTBodyStrong"/>
            </w:pPr>
            <w:r>
              <w:lastRenderedPageBreak/>
              <w:t>Viewing 800 Series WI</w:t>
            </w:r>
          </w:p>
          <w:p w14:paraId="34116F40" w14:textId="77777777" w:rsidR="0046038D" w:rsidRPr="009F2FE9" w:rsidRDefault="0046038D" w:rsidP="001F66DE">
            <w:pPr>
              <w:pStyle w:val="VBAILTbullet1"/>
            </w:pPr>
            <w:r w:rsidRPr="009F2FE9">
              <w:t>To view individual 800 series work items, take the following steps:</w:t>
            </w:r>
          </w:p>
          <w:p w14:paraId="1BE5A8BE" w14:textId="77777777" w:rsidR="0046038D" w:rsidRDefault="0046038D" w:rsidP="001F66DE">
            <w:pPr>
              <w:pStyle w:val="VBAILTbullet1"/>
              <w:ind w:left="360" w:hanging="360"/>
            </w:pPr>
            <w:r>
              <w:rPr>
                <w:noProof/>
              </w:rPr>
              <w:drawing>
                <wp:inline distT="0" distB="0" distL="0" distR="0" wp14:anchorId="75556AA9" wp14:editId="68E9CB08">
                  <wp:extent cx="2482850" cy="16136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9240" cy="1617800"/>
                          </a:xfrm>
                          <a:prstGeom prst="rect">
                            <a:avLst/>
                          </a:prstGeom>
                        </pic:spPr>
                      </pic:pic>
                    </a:graphicData>
                  </a:graphic>
                </wp:inline>
              </w:drawing>
            </w:r>
          </w:p>
        </w:tc>
        <w:tc>
          <w:tcPr>
            <w:tcW w:w="5940" w:type="dxa"/>
            <w:tcBorders>
              <w:left w:val="dashSmallGap" w:sz="4" w:space="0" w:color="auto"/>
            </w:tcBorders>
          </w:tcPr>
          <w:p w14:paraId="4BF2E61D" w14:textId="2CEB71E5" w:rsidR="0046038D" w:rsidRPr="009F361E" w:rsidRDefault="0046038D" w:rsidP="001F66DE">
            <w:pPr>
              <w:pStyle w:val="VBAILTBody"/>
              <w:rPr>
                <w:rStyle w:val="Strong"/>
              </w:rPr>
            </w:pPr>
            <w:r>
              <w:rPr>
                <w:rStyle w:val="Strong"/>
              </w:rPr>
              <w:t xml:space="preserve"> </w:t>
            </w:r>
          </w:p>
        </w:tc>
      </w:tr>
      <w:tr w:rsidR="0046038D" w14:paraId="1A2826D1" w14:textId="77777777" w:rsidTr="001F66DE">
        <w:trPr>
          <w:jc w:val="center"/>
        </w:trPr>
        <w:tc>
          <w:tcPr>
            <w:tcW w:w="4140" w:type="dxa"/>
            <w:tcBorders>
              <w:right w:val="dashSmallGap" w:sz="4" w:space="0" w:color="auto"/>
            </w:tcBorders>
          </w:tcPr>
          <w:p w14:paraId="0F89DAAF" w14:textId="77777777" w:rsidR="0046038D" w:rsidRDefault="0046038D" w:rsidP="001F66DE">
            <w:pPr>
              <w:pStyle w:val="VBAILTBodyStrong"/>
            </w:pPr>
            <w:r>
              <w:br w:type="page"/>
              <w:t>800 Series (WI) – Claims Labels</w:t>
            </w:r>
          </w:p>
          <w:p w14:paraId="36973262" w14:textId="77777777" w:rsidR="0046038D" w:rsidRPr="007C331E" w:rsidRDefault="0046038D" w:rsidP="001F66DE">
            <w:pPr>
              <w:pStyle w:val="VBAILTBody"/>
              <w:keepNext/>
            </w:pPr>
            <w:r w:rsidRPr="007C331E">
              <w:t>Some claim labels and corresponding codes are as follows (not an exhaustive list):</w:t>
            </w:r>
          </w:p>
          <w:p w14:paraId="6174A607" w14:textId="77777777" w:rsidR="0046038D" w:rsidRPr="00474F01" w:rsidRDefault="0046038D" w:rsidP="001F66DE">
            <w:pPr>
              <w:pStyle w:val="VBAILTBody"/>
              <w:keepNext/>
            </w:pPr>
            <w:r>
              <w:rPr>
                <w:noProof/>
              </w:rPr>
              <w:drawing>
                <wp:inline distT="0" distB="0" distL="0" distR="0" wp14:anchorId="472F983B" wp14:editId="07EFEE85">
                  <wp:extent cx="2482850" cy="10883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2850" cy="1088390"/>
                          </a:xfrm>
                          <a:prstGeom prst="rect">
                            <a:avLst/>
                          </a:prstGeom>
                        </pic:spPr>
                      </pic:pic>
                    </a:graphicData>
                  </a:graphic>
                </wp:inline>
              </w:drawing>
            </w:r>
          </w:p>
        </w:tc>
        <w:tc>
          <w:tcPr>
            <w:tcW w:w="5940" w:type="dxa"/>
            <w:tcBorders>
              <w:left w:val="dashSmallGap" w:sz="4" w:space="0" w:color="auto"/>
            </w:tcBorders>
          </w:tcPr>
          <w:p w14:paraId="001AAB3E" w14:textId="5F7D2200" w:rsidR="0046038D" w:rsidRPr="007C331E" w:rsidRDefault="0046038D" w:rsidP="001F66DE">
            <w:pPr>
              <w:pStyle w:val="VBAILTBody"/>
              <w:rPr>
                <w:rStyle w:val="Strong"/>
              </w:rPr>
            </w:pPr>
          </w:p>
        </w:tc>
      </w:tr>
      <w:tr w:rsidR="0046038D" w14:paraId="24471626" w14:textId="77777777" w:rsidTr="001F66DE">
        <w:trPr>
          <w:cantSplit/>
          <w:jc w:val="center"/>
        </w:trPr>
        <w:tc>
          <w:tcPr>
            <w:tcW w:w="4140" w:type="dxa"/>
            <w:tcBorders>
              <w:right w:val="dashSmallGap" w:sz="4" w:space="0" w:color="auto"/>
            </w:tcBorders>
          </w:tcPr>
          <w:p w14:paraId="1165E9BC" w14:textId="77777777" w:rsidR="0046038D" w:rsidRDefault="0046038D" w:rsidP="001F66DE">
            <w:pPr>
              <w:pStyle w:val="VBAILTBodyStrong"/>
            </w:pPr>
            <w:r>
              <w:lastRenderedPageBreak/>
              <w:t>800 Series WI: Actions to Take</w:t>
            </w:r>
          </w:p>
          <w:p w14:paraId="0DC48FEC" w14:textId="77777777" w:rsidR="002F196E" w:rsidRPr="007C331E" w:rsidRDefault="00000000" w:rsidP="00926832">
            <w:pPr>
              <w:pStyle w:val="VBAILTbullet1"/>
              <w:numPr>
                <w:ilvl w:val="0"/>
                <w:numId w:val="12"/>
              </w:numPr>
            </w:pPr>
            <w:r w:rsidRPr="007C331E">
              <w:t>Once an 800 series work item has been reviewed, and it is determined that no action is required,</w:t>
            </w:r>
          </w:p>
          <w:p w14:paraId="48D2065D" w14:textId="77777777" w:rsidR="002F196E" w:rsidRPr="007C331E" w:rsidRDefault="00000000" w:rsidP="00926832">
            <w:pPr>
              <w:pStyle w:val="VBAILTbullet1"/>
              <w:numPr>
                <w:ilvl w:val="1"/>
                <w:numId w:val="12"/>
              </w:numPr>
            </w:pPr>
            <w:r w:rsidRPr="007C331E">
              <w:rPr>
                <w:i/>
                <w:iCs/>
              </w:rPr>
              <w:t>cancel</w:t>
            </w:r>
            <w:r w:rsidRPr="007C331E">
              <w:t> the 800 series work item using the reason </w:t>
            </w:r>
            <w:r w:rsidRPr="007C331E">
              <w:rPr>
                <w:i/>
                <w:iCs/>
              </w:rPr>
              <w:t>Message Received, No Action Necessary</w:t>
            </w:r>
          </w:p>
          <w:p w14:paraId="3C4B0192" w14:textId="77777777" w:rsidR="002F196E" w:rsidRPr="007C331E" w:rsidRDefault="00000000" w:rsidP="00926832">
            <w:pPr>
              <w:pStyle w:val="VBAILTbullet1"/>
              <w:numPr>
                <w:ilvl w:val="0"/>
                <w:numId w:val="12"/>
              </w:numPr>
            </w:pPr>
            <w:r w:rsidRPr="007C331E">
              <w:t xml:space="preserve">Once an 800 series work item has been reviewed, and it is determined that additional action is required, </w:t>
            </w:r>
          </w:p>
          <w:p w14:paraId="24881DA6" w14:textId="77777777" w:rsidR="002F196E" w:rsidRPr="007C331E" w:rsidRDefault="00000000" w:rsidP="00926832">
            <w:pPr>
              <w:pStyle w:val="VBAILTbullet1"/>
              <w:numPr>
                <w:ilvl w:val="1"/>
                <w:numId w:val="12"/>
              </w:numPr>
            </w:pPr>
            <w:r w:rsidRPr="007C331E">
              <w:rPr>
                <w:i/>
                <w:iCs/>
              </w:rPr>
              <w:t>clear</w:t>
            </w:r>
            <w:r w:rsidRPr="007C331E">
              <w:t> the 800 series work item using the reason </w:t>
            </w:r>
            <w:r w:rsidRPr="007C331E">
              <w:rPr>
                <w:i/>
                <w:iCs/>
              </w:rPr>
              <w:t>Message Received, Worked Under Proper EP</w:t>
            </w:r>
            <w:r w:rsidRPr="007C331E">
              <w:t>, and</w:t>
            </w:r>
          </w:p>
          <w:p w14:paraId="14E63A74" w14:textId="77777777" w:rsidR="0046038D" w:rsidRDefault="00000000" w:rsidP="00926832">
            <w:pPr>
              <w:pStyle w:val="VBAILTbullet1"/>
              <w:numPr>
                <w:ilvl w:val="1"/>
                <w:numId w:val="12"/>
              </w:numPr>
            </w:pPr>
            <w:r w:rsidRPr="007C331E">
              <w:t>take the required action under the proper EP</w:t>
            </w:r>
          </w:p>
        </w:tc>
        <w:tc>
          <w:tcPr>
            <w:tcW w:w="5940" w:type="dxa"/>
            <w:tcBorders>
              <w:left w:val="dashSmallGap" w:sz="4" w:space="0" w:color="auto"/>
            </w:tcBorders>
          </w:tcPr>
          <w:p w14:paraId="1BF1BF5D" w14:textId="77777777" w:rsidR="0046038D" w:rsidRPr="00CA17AA" w:rsidRDefault="0046038D" w:rsidP="0046038D">
            <w:pPr>
              <w:pStyle w:val="VBAILTBody"/>
              <w:rPr>
                <w:rStyle w:val="Strong"/>
                <w:b w:val="0"/>
              </w:rPr>
            </w:pPr>
          </w:p>
        </w:tc>
      </w:tr>
      <w:tr w:rsidR="0046038D" w14:paraId="2E4A9079" w14:textId="77777777" w:rsidTr="001F66DE">
        <w:trPr>
          <w:cantSplit/>
          <w:jc w:val="center"/>
        </w:trPr>
        <w:tc>
          <w:tcPr>
            <w:tcW w:w="4140" w:type="dxa"/>
            <w:tcBorders>
              <w:right w:val="dashSmallGap" w:sz="4" w:space="0" w:color="auto"/>
            </w:tcBorders>
          </w:tcPr>
          <w:p w14:paraId="56296E98" w14:textId="77777777" w:rsidR="0046038D" w:rsidRDefault="0046038D" w:rsidP="001F66DE">
            <w:pPr>
              <w:pStyle w:val="VBAILTBodyStrong"/>
            </w:pPr>
            <w:r>
              <w:lastRenderedPageBreak/>
              <w:t>Handling 800 Series Work Items: End Production and Determining the Effective Date</w:t>
            </w:r>
          </w:p>
          <w:p w14:paraId="10E01DE6" w14:textId="77777777" w:rsidR="002F196E" w:rsidRPr="001B2F25" w:rsidRDefault="00000000" w:rsidP="0046038D">
            <w:pPr>
              <w:pStyle w:val="VBAILTBullet2"/>
              <w:numPr>
                <w:ilvl w:val="0"/>
                <w:numId w:val="5"/>
              </w:numPr>
            </w:pPr>
            <w:r w:rsidRPr="001B2F25">
              <w:t xml:space="preserve">800 series work items are to prompt review for potential action and to assist in tracking.  </w:t>
            </w:r>
          </w:p>
          <w:p w14:paraId="00E7BAA1" w14:textId="77777777" w:rsidR="002F196E" w:rsidRPr="001B2F25" w:rsidRDefault="00000000" w:rsidP="0046038D">
            <w:pPr>
              <w:pStyle w:val="VBAILTBullet2"/>
              <w:numPr>
                <w:ilvl w:val="0"/>
                <w:numId w:val="5"/>
              </w:numPr>
            </w:pPr>
            <w:r w:rsidRPr="001B2F25">
              <w:rPr>
                <w:b/>
                <w:bCs/>
              </w:rPr>
              <w:t xml:space="preserve">Do not </w:t>
            </w:r>
            <w:r w:rsidRPr="001B2F25">
              <w:t>complete any development, rating, or award actions under an 800 series work item.</w:t>
            </w:r>
          </w:p>
          <w:p w14:paraId="54EF5D32" w14:textId="77777777" w:rsidR="002F196E" w:rsidRPr="001B2F25" w:rsidRDefault="00000000" w:rsidP="0046038D">
            <w:pPr>
              <w:pStyle w:val="VBAILTBullet2"/>
              <w:numPr>
                <w:ilvl w:val="1"/>
                <w:numId w:val="5"/>
              </w:numPr>
            </w:pPr>
            <w:r w:rsidRPr="001B2F25">
              <w:t xml:space="preserve">When necessary, certain actions can be taken in connection with review of an 800 series work item without a separate </w:t>
            </w:r>
            <w:proofErr w:type="gramStart"/>
            <w:r w:rsidRPr="001B2F25">
              <w:t>end product</w:t>
            </w:r>
            <w:proofErr w:type="gramEnd"/>
            <w:r w:rsidRPr="001B2F25">
              <w:t xml:space="preserve"> (EP) </w:t>
            </w:r>
          </w:p>
          <w:p w14:paraId="7DD73588" w14:textId="77777777" w:rsidR="002F196E" w:rsidRPr="001B2F25" w:rsidRDefault="00000000" w:rsidP="0046038D">
            <w:pPr>
              <w:pStyle w:val="VBAILTBullet2"/>
              <w:numPr>
                <w:ilvl w:val="0"/>
                <w:numId w:val="5"/>
              </w:numPr>
            </w:pPr>
            <w:r w:rsidRPr="001B2F25">
              <w:t>When action is required, use the date of the 800 series work item as the date of claim for the controlling EP.</w:t>
            </w:r>
          </w:p>
          <w:p w14:paraId="442D9D10" w14:textId="77777777" w:rsidR="0046038D" w:rsidRDefault="0046038D" w:rsidP="001F66DE">
            <w:pPr>
              <w:pStyle w:val="VBAILTBodyStrong"/>
            </w:pPr>
            <w:r w:rsidRPr="001B2F25">
              <w:rPr>
                <w:bCs/>
              </w:rPr>
              <w:t>Do</w:t>
            </w:r>
            <w:r w:rsidRPr="001B2F25">
              <w:rPr>
                <w:bCs/>
                <w:i/>
                <w:iCs/>
              </w:rPr>
              <w:t> </w:t>
            </w:r>
            <w:r w:rsidRPr="001B2F25">
              <w:rPr>
                <w:bCs/>
                <w:i/>
                <w:iCs/>
                <w:u w:val="single"/>
              </w:rPr>
              <w:t>not</w:t>
            </w:r>
            <w:r w:rsidRPr="001B2F25">
              <w:t> use the date of review as the date of claim for the controlling EP</w:t>
            </w:r>
          </w:p>
        </w:tc>
        <w:tc>
          <w:tcPr>
            <w:tcW w:w="5940" w:type="dxa"/>
            <w:tcBorders>
              <w:left w:val="dashSmallGap" w:sz="4" w:space="0" w:color="auto"/>
            </w:tcBorders>
          </w:tcPr>
          <w:p w14:paraId="7E8ACF95" w14:textId="77777777" w:rsidR="0046038D" w:rsidRPr="009F361E" w:rsidRDefault="0046038D" w:rsidP="0046038D">
            <w:pPr>
              <w:pStyle w:val="VBAILTBody"/>
              <w:rPr>
                <w:rStyle w:val="Strong"/>
              </w:rPr>
            </w:pPr>
          </w:p>
        </w:tc>
      </w:tr>
    </w:tbl>
    <w:p w14:paraId="7D9549D8" w14:textId="77777777" w:rsidR="0046038D" w:rsidRDefault="0046038D" w:rsidP="0046038D"/>
    <w:p w14:paraId="633EE624" w14:textId="77777777" w:rsidR="0046038D" w:rsidRDefault="0046038D" w:rsidP="0046038D"/>
    <w:p w14:paraId="7F0FEAE3" w14:textId="77777777" w:rsidR="0046038D" w:rsidRDefault="0046038D" w:rsidP="0046038D"/>
    <w:p w14:paraId="20B2F151" w14:textId="77777777" w:rsidR="0046038D" w:rsidRDefault="0046038D" w:rsidP="0046038D"/>
    <w:p w14:paraId="0BE064CE" w14:textId="77777777" w:rsidR="0046038D" w:rsidRDefault="0046038D" w:rsidP="0046038D"/>
    <w:p w14:paraId="66006777" w14:textId="77777777" w:rsidR="00E60FD9" w:rsidRDefault="00E60FD9" w:rsidP="0046038D"/>
    <w:p w14:paraId="3F262F3A" w14:textId="77777777" w:rsidR="00E60FD9" w:rsidRDefault="00E60FD9" w:rsidP="0046038D"/>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40"/>
        <w:gridCol w:w="5940"/>
      </w:tblGrid>
      <w:tr w:rsidR="0046038D" w14:paraId="3294698C" w14:textId="77777777" w:rsidTr="001F66DE">
        <w:trPr>
          <w:cantSplit/>
          <w:tblHeader/>
          <w:jc w:val="center"/>
        </w:trPr>
        <w:tc>
          <w:tcPr>
            <w:tcW w:w="4140" w:type="dxa"/>
            <w:tcBorders>
              <w:right w:val="dashSmallGap" w:sz="4" w:space="0" w:color="auto"/>
            </w:tcBorders>
            <w:shd w:val="clear" w:color="auto" w:fill="B4C6E7" w:themeFill="accent1" w:themeFillTint="66"/>
          </w:tcPr>
          <w:p w14:paraId="3A87E50A" w14:textId="77777777" w:rsidR="0046038D" w:rsidRPr="006E54AE" w:rsidRDefault="0046038D" w:rsidP="001F66DE">
            <w:pPr>
              <w:pStyle w:val="VBAILTTableHeading1"/>
            </w:pPr>
            <w:r>
              <w:lastRenderedPageBreak/>
              <w:t>PowerPoint Slides</w:t>
            </w:r>
          </w:p>
        </w:tc>
        <w:tc>
          <w:tcPr>
            <w:tcW w:w="5940" w:type="dxa"/>
            <w:tcBorders>
              <w:left w:val="dashSmallGap" w:sz="4" w:space="0" w:color="auto"/>
            </w:tcBorders>
            <w:shd w:val="clear" w:color="auto" w:fill="B4C6E7" w:themeFill="accent1" w:themeFillTint="66"/>
          </w:tcPr>
          <w:p w14:paraId="0A6A7EF0" w14:textId="6B7FA6AB" w:rsidR="0046038D" w:rsidRDefault="0046038D" w:rsidP="001F66DE">
            <w:pPr>
              <w:pStyle w:val="VBAILTTableHeading1"/>
            </w:pPr>
            <w:r>
              <w:t>Notes</w:t>
            </w:r>
          </w:p>
        </w:tc>
      </w:tr>
      <w:tr w:rsidR="0046038D" w14:paraId="32B209CE" w14:textId="77777777" w:rsidTr="001F66DE">
        <w:trPr>
          <w:jc w:val="center"/>
        </w:trPr>
        <w:tc>
          <w:tcPr>
            <w:tcW w:w="4140" w:type="dxa"/>
            <w:tcBorders>
              <w:right w:val="dashSmallGap" w:sz="4" w:space="0" w:color="auto"/>
            </w:tcBorders>
          </w:tcPr>
          <w:p w14:paraId="02A1E7B8" w14:textId="77777777" w:rsidR="0046038D" w:rsidRDefault="0046038D" w:rsidP="001F66DE">
            <w:pPr>
              <w:pStyle w:val="VBAILTBody"/>
              <w:rPr>
                <w:rStyle w:val="Strong"/>
              </w:rPr>
            </w:pPr>
            <w:r>
              <w:br w:type="page"/>
            </w:r>
            <w:r>
              <w:rPr>
                <w:rStyle w:val="Strong"/>
              </w:rPr>
              <w:t xml:space="preserve">Examples of When an EP is NOT Required </w:t>
            </w:r>
          </w:p>
          <w:p w14:paraId="184338BD" w14:textId="77777777" w:rsidR="002F196E" w:rsidRPr="00AA5078" w:rsidRDefault="00000000" w:rsidP="001F66DE">
            <w:pPr>
              <w:pStyle w:val="VBAILTBullet2"/>
              <w:numPr>
                <w:ilvl w:val="0"/>
                <w:numId w:val="0"/>
              </w:numPr>
            </w:pPr>
            <w:r w:rsidRPr="00AA5078">
              <w:t>In some cases, the required action does not require creation of an EP</w:t>
            </w:r>
          </w:p>
          <w:p w14:paraId="65E47BA8" w14:textId="77777777" w:rsidR="002F196E" w:rsidRPr="00AA5078" w:rsidRDefault="00000000" w:rsidP="0046038D">
            <w:pPr>
              <w:pStyle w:val="VBAILTBullet2"/>
              <w:numPr>
                <w:ilvl w:val="0"/>
                <w:numId w:val="4"/>
              </w:numPr>
            </w:pPr>
            <w:r w:rsidRPr="00AA5078">
              <w:t>processing an FNOD using the FNOD command in Share</w:t>
            </w:r>
          </w:p>
          <w:p w14:paraId="0968DA70" w14:textId="77777777" w:rsidR="0046038D" w:rsidRDefault="00000000" w:rsidP="0046038D">
            <w:pPr>
              <w:pStyle w:val="VBAILTBullet2"/>
              <w:numPr>
                <w:ilvl w:val="0"/>
                <w:numId w:val="4"/>
              </w:numPr>
            </w:pPr>
            <w:r w:rsidRPr="00AA5078">
              <w:t>reviewing a claims folder to confirm the accuracy of the results of a records-matching program, and</w:t>
            </w:r>
          </w:p>
          <w:p w14:paraId="1690BE93" w14:textId="77777777" w:rsidR="0046038D" w:rsidRDefault="00000000" w:rsidP="0046038D">
            <w:pPr>
              <w:pStyle w:val="VBAILTBullet2"/>
              <w:numPr>
                <w:ilvl w:val="0"/>
                <w:numId w:val="4"/>
              </w:numPr>
            </w:pPr>
            <w:r w:rsidRPr="00AA5078">
              <w:t>sending a questionnaire or letter due to failure of automatic issuance by the Hines Information Technology Center</w:t>
            </w:r>
          </w:p>
        </w:tc>
        <w:tc>
          <w:tcPr>
            <w:tcW w:w="5940" w:type="dxa"/>
            <w:tcBorders>
              <w:left w:val="dashSmallGap" w:sz="4" w:space="0" w:color="auto"/>
            </w:tcBorders>
          </w:tcPr>
          <w:p w14:paraId="6242AB49" w14:textId="77777777" w:rsidR="0046038D" w:rsidRPr="00CA17AA" w:rsidRDefault="0046038D" w:rsidP="0046038D">
            <w:pPr>
              <w:spacing w:before="120" w:after="120" w:line="276" w:lineRule="auto"/>
              <w:rPr>
                <w:rStyle w:val="Strong"/>
                <w:b w:val="0"/>
              </w:rPr>
            </w:pPr>
          </w:p>
        </w:tc>
      </w:tr>
      <w:tr w:rsidR="0046038D" w14:paraId="0F9A0499" w14:textId="77777777" w:rsidTr="001F66DE">
        <w:trPr>
          <w:cantSplit/>
          <w:jc w:val="center"/>
        </w:trPr>
        <w:tc>
          <w:tcPr>
            <w:tcW w:w="4140" w:type="dxa"/>
            <w:tcBorders>
              <w:right w:val="dashSmallGap" w:sz="4" w:space="0" w:color="auto"/>
            </w:tcBorders>
          </w:tcPr>
          <w:p w14:paraId="732EE818" w14:textId="77777777" w:rsidR="0046038D" w:rsidRDefault="0046038D" w:rsidP="001F66DE">
            <w:pPr>
              <w:pStyle w:val="VBAILTBodyStrong"/>
            </w:pPr>
            <w:r>
              <w:lastRenderedPageBreak/>
              <w:t>800 Series WI: Dependency Verification Letter Not Sent</w:t>
            </w:r>
          </w:p>
          <w:p w14:paraId="698ACCC3" w14:textId="77777777" w:rsidR="0046038D" w:rsidRPr="001B2F25" w:rsidRDefault="0046038D" w:rsidP="0046038D">
            <w:pPr>
              <w:pStyle w:val="VBAILTbullet1"/>
            </w:pPr>
            <w:r w:rsidRPr="001B2F25">
              <w:t>When the Hines ITC </w:t>
            </w:r>
            <w:r w:rsidRPr="001B2F25">
              <w:rPr>
                <w:i/>
                <w:iCs/>
              </w:rPr>
              <w:t>cannot</w:t>
            </w:r>
            <w:r w:rsidRPr="001B2F25">
              <w:t> issue </w:t>
            </w:r>
            <w:hyperlink r:id="rId12" w:history="1">
              <w:r w:rsidRPr="001B2F25">
                <w:rPr>
                  <w:rStyle w:val="Hyperlink"/>
                  <w:b/>
                  <w:bCs/>
                  <w:i/>
                  <w:iCs/>
                </w:rPr>
                <w:t>VA Form 21P-0537 (Marital Status Questionnaire),</w:t>
              </w:r>
            </w:hyperlink>
            <w:hyperlink r:id="rId13" w:history="1">
              <w:r w:rsidRPr="001B2F25">
                <w:rPr>
                  <w:rStyle w:val="Hyperlink"/>
                </w:rPr>
                <w:t xml:space="preserve"> </w:t>
              </w:r>
            </w:hyperlink>
            <w:r w:rsidRPr="001B2F25">
              <w:t>an 800 series work item (labeled </w:t>
            </w:r>
            <w:r w:rsidRPr="001B2F25">
              <w:rPr>
                <w:i/>
                <w:iCs/>
              </w:rPr>
              <w:t>Dependency Verification Letter Not Sent</w:t>
            </w:r>
            <w:r w:rsidRPr="001B2F25">
              <w:t xml:space="preserve">) is generated.  </w:t>
            </w:r>
          </w:p>
          <w:p w14:paraId="0CDE5259" w14:textId="77777777" w:rsidR="0046038D" w:rsidRPr="001B2F25" w:rsidRDefault="0046038D" w:rsidP="0046038D">
            <w:pPr>
              <w:pStyle w:val="VBAILTbullet1"/>
            </w:pPr>
            <w:r w:rsidRPr="001B2F25">
              <w:t xml:space="preserve">When the work item appears in a regional office’s (RO’s) inventory, the RO must </w:t>
            </w:r>
          </w:p>
          <w:p w14:paraId="4809DD53" w14:textId="77777777" w:rsidR="002F196E" w:rsidRPr="001B2F25" w:rsidRDefault="00000000" w:rsidP="0046038D">
            <w:pPr>
              <w:pStyle w:val="VBAILTbullet1"/>
              <w:numPr>
                <w:ilvl w:val="0"/>
                <w:numId w:val="6"/>
              </w:numPr>
            </w:pPr>
            <w:r w:rsidRPr="001B2F25">
              <w:t>send the appropriate form to the beneficiary with a cover letter that includes the content described in </w:t>
            </w:r>
            <w:hyperlink r:id="rId14" w:history="1">
              <w:r w:rsidRPr="001B2F25">
                <w:rPr>
                  <w:rStyle w:val="Hyperlink"/>
                  <w:b/>
                  <w:bCs/>
                </w:rPr>
                <w:t xml:space="preserve">M21-1, Part VII, Subpart </w:t>
              </w:r>
            </w:hyperlink>
            <w:hyperlink r:id="rId15" w:history="1">
              <w:proofErr w:type="spellStart"/>
              <w:r w:rsidRPr="001B2F25">
                <w:rPr>
                  <w:rStyle w:val="Hyperlink"/>
                  <w:b/>
                  <w:bCs/>
                </w:rPr>
                <w:t>i</w:t>
              </w:r>
              <w:proofErr w:type="spellEnd"/>
            </w:hyperlink>
            <w:hyperlink r:id="rId16" w:history="1">
              <w:r w:rsidRPr="001B2F25">
                <w:rPr>
                  <w:rStyle w:val="Hyperlink"/>
                  <w:b/>
                  <w:bCs/>
                </w:rPr>
                <w:t>, 1.B.1.b</w:t>
              </w:r>
            </w:hyperlink>
          </w:p>
          <w:p w14:paraId="3D7C8D72" w14:textId="77777777" w:rsidR="002F196E" w:rsidRPr="001B2F25" w:rsidRDefault="00000000" w:rsidP="0046038D">
            <w:pPr>
              <w:pStyle w:val="VBAILTbullet1"/>
              <w:numPr>
                <w:ilvl w:val="0"/>
                <w:numId w:val="6"/>
              </w:numPr>
            </w:pPr>
            <w:r w:rsidRPr="001B2F25">
              <w:t>establish a diary under diary code 30, </w:t>
            </w:r>
            <w:r w:rsidRPr="001B2F25">
              <w:rPr>
                <w:i/>
                <w:iCs/>
              </w:rPr>
              <w:t>Local Regional Office Special Use</w:t>
            </w:r>
            <w:r w:rsidRPr="001B2F25">
              <w:t>, that expires the month after a 60-day period that begins the </w:t>
            </w:r>
            <w:r w:rsidRPr="001B2F25">
              <w:rPr>
                <w:i/>
                <w:iCs/>
              </w:rPr>
              <w:t>later</w:t>
            </w:r>
            <w:r w:rsidRPr="001B2F25">
              <w:t> of the following dates:</w:t>
            </w:r>
          </w:p>
          <w:p w14:paraId="6E4B3583" w14:textId="77777777" w:rsidR="002F196E" w:rsidRPr="001B2F25" w:rsidRDefault="00000000" w:rsidP="0046038D">
            <w:pPr>
              <w:pStyle w:val="VBAILTbullet1"/>
              <w:numPr>
                <w:ilvl w:val="1"/>
                <w:numId w:val="6"/>
              </w:numPr>
              <w:tabs>
                <w:tab w:val="clear" w:pos="1440"/>
              </w:tabs>
            </w:pPr>
            <w:r w:rsidRPr="001B2F25">
              <w:t>the date the work item was issued to the RO, or</w:t>
            </w:r>
          </w:p>
          <w:p w14:paraId="5650E065" w14:textId="77777777" w:rsidR="002F196E" w:rsidRPr="001B2F25" w:rsidRDefault="00000000" w:rsidP="0046038D">
            <w:pPr>
              <w:pStyle w:val="VBAILTbullet1"/>
              <w:numPr>
                <w:ilvl w:val="1"/>
                <w:numId w:val="6"/>
              </w:numPr>
              <w:tabs>
                <w:tab w:val="clear" w:pos="1440"/>
              </w:tabs>
            </w:pPr>
            <w:r w:rsidRPr="001B2F25">
              <w:t>the date the RO sent the request for completion of the form to the beneficiary, and</w:t>
            </w:r>
          </w:p>
          <w:p w14:paraId="77BD5BA1" w14:textId="77777777" w:rsidR="0046038D" w:rsidRPr="00865BAB" w:rsidRDefault="00000000" w:rsidP="0046038D">
            <w:pPr>
              <w:pStyle w:val="VBAILTbullet1"/>
              <w:numPr>
                <w:ilvl w:val="0"/>
                <w:numId w:val="6"/>
              </w:numPr>
            </w:pPr>
            <w:r w:rsidRPr="001B2F25">
              <w:t>clear the pending 800 series WI</w:t>
            </w:r>
          </w:p>
        </w:tc>
        <w:tc>
          <w:tcPr>
            <w:tcW w:w="5940" w:type="dxa"/>
            <w:tcBorders>
              <w:left w:val="dashSmallGap" w:sz="4" w:space="0" w:color="auto"/>
            </w:tcBorders>
          </w:tcPr>
          <w:p w14:paraId="763CA52F" w14:textId="5E8E4299" w:rsidR="0046038D" w:rsidRPr="001D3005" w:rsidRDefault="0046038D" w:rsidP="001F66DE">
            <w:pPr>
              <w:pStyle w:val="VBAILTBody"/>
              <w:rPr>
                <w:rStyle w:val="Strong"/>
                <w:b w:val="0"/>
              </w:rPr>
            </w:pPr>
            <w:r>
              <w:rPr>
                <w:rStyle w:val="Strong"/>
              </w:rPr>
              <w:t xml:space="preserve"> </w:t>
            </w:r>
          </w:p>
        </w:tc>
      </w:tr>
      <w:tr w:rsidR="0046038D" w14:paraId="79B06BE7" w14:textId="77777777" w:rsidTr="001F66DE">
        <w:trPr>
          <w:cantSplit/>
          <w:jc w:val="center"/>
        </w:trPr>
        <w:tc>
          <w:tcPr>
            <w:tcW w:w="4140" w:type="dxa"/>
            <w:tcBorders>
              <w:right w:val="dashSmallGap" w:sz="4" w:space="0" w:color="auto"/>
            </w:tcBorders>
          </w:tcPr>
          <w:p w14:paraId="22AF1343" w14:textId="77777777" w:rsidR="0046038D" w:rsidRDefault="0046038D" w:rsidP="001F66DE">
            <w:pPr>
              <w:pStyle w:val="VBAILTBodyStrong"/>
            </w:pPr>
            <w:r>
              <w:lastRenderedPageBreak/>
              <w:t>Establishing the 800 Series Work Item – Incarceration</w:t>
            </w:r>
          </w:p>
          <w:p w14:paraId="3182B53A" w14:textId="77777777" w:rsidR="002F196E" w:rsidRPr="0059704D" w:rsidRDefault="00000000" w:rsidP="0046038D">
            <w:pPr>
              <w:pStyle w:val="VBAILTBodyStrong"/>
              <w:numPr>
                <w:ilvl w:val="0"/>
                <w:numId w:val="8"/>
              </w:numPr>
              <w:rPr>
                <w:b w:val="0"/>
                <w:bCs/>
              </w:rPr>
            </w:pPr>
            <w:r w:rsidRPr="0059704D">
              <w:rPr>
                <w:b w:val="0"/>
                <w:bCs/>
              </w:rPr>
              <w:t xml:space="preserve">Each month, a VA computer system compares Social Security numbers (SSNs) in VA pension files against SSNs in SSA’s and BOP’s inmate database.  </w:t>
            </w:r>
          </w:p>
          <w:p w14:paraId="7E6F3B46" w14:textId="77777777" w:rsidR="002F196E" w:rsidRPr="0059704D" w:rsidRDefault="00000000" w:rsidP="0046038D">
            <w:pPr>
              <w:pStyle w:val="VBAILTBodyStrong"/>
              <w:numPr>
                <w:ilvl w:val="0"/>
                <w:numId w:val="8"/>
              </w:numPr>
              <w:rPr>
                <w:b w:val="0"/>
                <w:bCs/>
              </w:rPr>
            </w:pPr>
            <w:r w:rsidRPr="0059704D">
              <w:rPr>
                <w:b w:val="0"/>
                <w:bCs/>
              </w:rPr>
              <w:t>When a match arises, the system generates one of the following worksheets, depending on the database from which the match arose:</w:t>
            </w:r>
          </w:p>
          <w:p w14:paraId="0C41D808" w14:textId="77777777" w:rsidR="002F196E" w:rsidRPr="0059704D" w:rsidRDefault="00000000" w:rsidP="0046038D">
            <w:pPr>
              <w:pStyle w:val="VBAILTBodyStrong"/>
              <w:numPr>
                <w:ilvl w:val="1"/>
                <w:numId w:val="8"/>
              </w:numPr>
              <w:rPr>
                <w:b w:val="0"/>
                <w:bCs/>
              </w:rPr>
            </w:pPr>
            <w:r w:rsidRPr="0059704D">
              <w:rPr>
                <w:b w:val="0"/>
                <w:bCs/>
                <w:i/>
                <w:iCs/>
              </w:rPr>
              <w:t>VA and Federal BOP Computer Match</w:t>
            </w:r>
            <w:r w:rsidRPr="0059704D">
              <w:rPr>
                <w:b w:val="0"/>
                <w:bCs/>
              </w:rPr>
              <w:t xml:space="preserve">, or </w:t>
            </w:r>
            <w:r w:rsidRPr="0059704D">
              <w:rPr>
                <w:b w:val="0"/>
                <w:bCs/>
                <w:i/>
                <w:iCs/>
              </w:rPr>
              <w:t>VA and SSA State Prisoner Computer Match</w:t>
            </w:r>
          </w:p>
          <w:p w14:paraId="55095816" w14:textId="77777777" w:rsidR="002F196E" w:rsidRPr="0059704D" w:rsidRDefault="00000000" w:rsidP="0046038D">
            <w:pPr>
              <w:pStyle w:val="VBAILTBodyStrong"/>
              <w:numPr>
                <w:ilvl w:val="1"/>
                <w:numId w:val="8"/>
              </w:numPr>
              <w:rPr>
                <w:b w:val="0"/>
                <w:bCs/>
              </w:rPr>
            </w:pPr>
            <w:r w:rsidRPr="0059704D">
              <w:rPr>
                <w:b w:val="0"/>
                <w:bCs/>
              </w:rPr>
              <w:t xml:space="preserve">uploads a copy of the worksheet into the appropriate electronic claims folder (eFolder), and </w:t>
            </w:r>
          </w:p>
          <w:p w14:paraId="62853223" w14:textId="77777777" w:rsidR="0046038D" w:rsidRPr="00E513E8" w:rsidRDefault="00000000" w:rsidP="0046038D">
            <w:pPr>
              <w:pStyle w:val="VBAILTBodyStrong"/>
              <w:numPr>
                <w:ilvl w:val="1"/>
                <w:numId w:val="8"/>
              </w:numPr>
            </w:pPr>
            <w:r w:rsidRPr="0059704D">
              <w:rPr>
                <w:b w:val="0"/>
                <w:bCs/>
              </w:rPr>
              <w:t>establishes an 800 series work item</w:t>
            </w:r>
          </w:p>
        </w:tc>
        <w:tc>
          <w:tcPr>
            <w:tcW w:w="5940" w:type="dxa"/>
            <w:tcBorders>
              <w:left w:val="dashSmallGap" w:sz="4" w:space="0" w:color="auto"/>
            </w:tcBorders>
          </w:tcPr>
          <w:p w14:paraId="5487D2D7" w14:textId="77777777" w:rsidR="0046038D" w:rsidRPr="003D2A9B" w:rsidRDefault="0046038D" w:rsidP="0046038D">
            <w:pPr>
              <w:spacing w:before="120" w:after="120" w:line="276" w:lineRule="auto"/>
              <w:rPr>
                <w:rStyle w:val="Strong"/>
                <w:b w:val="0"/>
              </w:rPr>
            </w:pPr>
          </w:p>
        </w:tc>
      </w:tr>
      <w:tr w:rsidR="0046038D" w14:paraId="57EF4756" w14:textId="77777777" w:rsidTr="001F66DE">
        <w:trPr>
          <w:cantSplit/>
          <w:jc w:val="center"/>
        </w:trPr>
        <w:tc>
          <w:tcPr>
            <w:tcW w:w="4140" w:type="dxa"/>
            <w:tcBorders>
              <w:right w:val="dashSmallGap" w:sz="4" w:space="0" w:color="auto"/>
            </w:tcBorders>
          </w:tcPr>
          <w:p w14:paraId="684257F5" w14:textId="77777777" w:rsidR="0046038D" w:rsidRDefault="0046038D" w:rsidP="001F66DE">
            <w:pPr>
              <w:pStyle w:val="VBAILTBodyStrong"/>
              <w:rPr>
                <w:bCs/>
              </w:rPr>
            </w:pPr>
            <w:r w:rsidRPr="001314C0">
              <w:rPr>
                <w:bCs/>
              </w:rPr>
              <w:t>What’s Next?</w:t>
            </w:r>
          </w:p>
          <w:p w14:paraId="54352FF7" w14:textId="6D7C0CEA" w:rsidR="0046038D" w:rsidRPr="00F44550" w:rsidRDefault="0046038D" w:rsidP="0046038D">
            <w:pPr>
              <w:pStyle w:val="VBAILTbullet1"/>
              <w:rPr>
                <w:rStyle w:val="Strong"/>
                <w:bCs w:val="0"/>
              </w:rPr>
            </w:pPr>
            <w:r w:rsidRPr="00F44550">
              <w:t xml:space="preserve">Complete </w:t>
            </w:r>
            <w:r w:rsidRPr="00F44550">
              <w:rPr>
                <w:b/>
                <w:bCs/>
              </w:rPr>
              <w:t>Introduction to 800 Series Work Item</w:t>
            </w:r>
            <w:r w:rsidRPr="00F44550">
              <w:t xml:space="preserve"> course evaluation: </w:t>
            </w:r>
            <w:r w:rsidRPr="002D511A">
              <w:rPr>
                <w:b/>
                <w:bCs/>
              </w:rPr>
              <w:t xml:space="preserve">TMS ID #: </w:t>
            </w:r>
            <w:r w:rsidR="002D511A" w:rsidRPr="002D511A">
              <w:rPr>
                <w:b/>
                <w:bCs/>
              </w:rPr>
              <w:t>4649125</w:t>
            </w:r>
          </w:p>
        </w:tc>
        <w:tc>
          <w:tcPr>
            <w:tcW w:w="5940" w:type="dxa"/>
            <w:tcBorders>
              <w:left w:val="dashSmallGap" w:sz="4" w:space="0" w:color="auto"/>
            </w:tcBorders>
          </w:tcPr>
          <w:p w14:paraId="7DE511F8" w14:textId="77777777" w:rsidR="0046038D" w:rsidRPr="009452F8" w:rsidRDefault="0046038D" w:rsidP="0046038D">
            <w:pPr>
              <w:pStyle w:val="VBAILTBody"/>
              <w:rPr>
                <w:rStyle w:val="Strong"/>
                <w:b w:val="0"/>
                <w:bCs w:val="0"/>
              </w:rPr>
            </w:pPr>
          </w:p>
        </w:tc>
      </w:tr>
    </w:tbl>
    <w:p w14:paraId="11908BFB" w14:textId="29AA90F9" w:rsidR="002D511A" w:rsidRDefault="002D511A" w:rsidP="0046038D"/>
    <w:p w14:paraId="0F88768E" w14:textId="77777777" w:rsidR="002D511A" w:rsidRDefault="002D511A">
      <w:pPr>
        <w:spacing w:after="160" w:line="259" w:lineRule="auto"/>
        <w:ind w:left="0" w:right="0" w:firstLine="0"/>
      </w:pPr>
      <w:r>
        <w:br w:type="page"/>
      </w:r>
    </w:p>
    <w:p w14:paraId="02C05357" w14:textId="77777777" w:rsidR="0046038D" w:rsidRDefault="0046038D" w:rsidP="0046038D">
      <w:pPr>
        <w:pStyle w:val="Heading1"/>
        <w:spacing w:after="0"/>
        <w:ind w:left="-5"/>
        <w:jc w:val="center"/>
      </w:pPr>
      <w:r>
        <w:lastRenderedPageBreak/>
        <w:t>Appendix</w:t>
      </w:r>
    </w:p>
    <w:p w14:paraId="2749EE6C" w14:textId="77777777" w:rsidR="0046038D" w:rsidRDefault="0046038D" w:rsidP="0046038D">
      <w:pPr>
        <w:spacing w:after="0" w:line="259" w:lineRule="auto"/>
        <w:ind w:left="0" w:right="0" w:firstLine="0"/>
        <w:jc w:val="both"/>
      </w:pPr>
    </w:p>
    <w:p w14:paraId="62B02F56" w14:textId="77777777" w:rsidR="0046038D" w:rsidRPr="0046038D" w:rsidRDefault="0046038D" w:rsidP="0046038D">
      <w:pPr>
        <w:rPr>
          <w:b/>
          <w:bCs/>
        </w:rPr>
      </w:pPr>
      <w:r w:rsidRPr="0046038D">
        <w:rPr>
          <w:b/>
          <w:bCs/>
        </w:rPr>
        <w:t>To view individual 800 series work items, take the following steps:</w:t>
      </w:r>
    </w:p>
    <w:p w14:paraId="420AA28B" w14:textId="0931805F" w:rsidR="0040651F" w:rsidRDefault="0046038D">
      <w:pPr>
        <w:rPr>
          <w:noProof/>
        </w:rPr>
      </w:pPr>
      <w:r>
        <w:rPr>
          <w:noProof/>
        </w:rPr>
        <w:drawing>
          <wp:inline distT="0" distB="0" distL="0" distR="0" wp14:anchorId="58B8D460" wp14:editId="0B24432B">
            <wp:extent cx="5943600" cy="23533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353310"/>
                    </a:xfrm>
                    <a:prstGeom prst="rect">
                      <a:avLst/>
                    </a:prstGeom>
                  </pic:spPr>
                </pic:pic>
              </a:graphicData>
            </a:graphic>
          </wp:inline>
        </w:drawing>
      </w:r>
    </w:p>
    <w:p w14:paraId="4B167562" w14:textId="37A20545" w:rsidR="0046038D" w:rsidRDefault="0046038D" w:rsidP="0046038D">
      <w:pPr>
        <w:rPr>
          <w:noProof/>
        </w:rPr>
      </w:pPr>
    </w:p>
    <w:p w14:paraId="69A294CF" w14:textId="77777777" w:rsidR="0046038D" w:rsidRPr="0046038D" w:rsidRDefault="0046038D" w:rsidP="0046038D">
      <w:pPr>
        <w:rPr>
          <w:b/>
          <w:bCs/>
        </w:rPr>
      </w:pPr>
      <w:r w:rsidRPr="0046038D">
        <w:rPr>
          <w:b/>
          <w:bCs/>
        </w:rPr>
        <w:t>Some claim labels and corresponding codes are as follows (not an exhaustive list):</w:t>
      </w:r>
    </w:p>
    <w:p w14:paraId="5DB10BA5" w14:textId="42958F2E" w:rsidR="0046038D" w:rsidRPr="0046038D" w:rsidRDefault="0046038D" w:rsidP="0046038D">
      <w:r>
        <w:rPr>
          <w:noProof/>
        </w:rPr>
        <w:drawing>
          <wp:inline distT="0" distB="0" distL="0" distR="0" wp14:anchorId="7EA2AD20" wp14:editId="7E66CB42">
            <wp:extent cx="5943600" cy="25565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556510"/>
                    </a:xfrm>
                    <a:prstGeom prst="rect">
                      <a:avLst/>
                    </a:prstGeom>
                  </pic:spPr>
                </pic:pic>
              </a:graphicData>
            </a:graphic>
          </wp:inline>
        </w:drawing>
      </w:r>
    </w:p>
    <w:sectPr w:rsidR="0046038D" w:rsidRPr="0046038D" w:rsidSect="00393A00">
      <w:headerReference w:type="default" r:id="rId19"/>
      <w:footerReference w:type="default" r:id="rId20"/>
      <w:headerReference w:type="first" r:id="rId2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0AEC7" w14:textId="77777777" w:rsidR="001C2E3C" w:rsidRDefault="001C2E3C" w:rsidP="0046038D">
      <w:pPr>
        <w:spacing w:after="0" w:line="240" w:lineRule="auto"/>
      </w:pPr>
      <w:r>
        <w:separator/>
      </w:r>
    </w:p>
  </w:endnote>
  <w:endnote w:type="continuationSeparator" w:id="0">
    <w:p w14:paraId="344C666D" w14:textId="77777777" w:rsidR="001C2E3C" w:rsidRDefault="001C2E3C" w:rsidP="0046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50B1" w14:textId="1FEE6B3F" w:rsidR="002F196E" w:rsidRPr="00C214A9" w:rsidRDefault="00184AAC" w:rsidP="0024084E">
    <w:pPr>
      <w:pStyle w:val="VBAILTFooter"/>
    </w:pPr>
    <w:r>
      <w:t>May 2024</w:t>
    </w:r>
    <w:r>
      <w:tab/>
    </w:r>
    <w:r w:rsidRPr="00C214A9">
      <w:fldChar w:fldCharType="begin"/>
    </w:r>
    <w:r w:rsidRPr="00C214A9">
      <w:instrText xml:space="preserve"> PAGE   \* MERGEFORMAT </w:instrText>
    </w:r>
    <w:r w:rsidRPr="00C214A9">
      <w:fldChar w:fldCharType="separate"/>
    </w:r>
    <w:r w:rsidRPr="00BE231E">
      <w:rPr>
        <w:b/>
        <w:bCs/>
        <w:noProof/>
      </w:rPr>
      <w:t>47</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B17B" w14:textId="77777777" w:rsidR="001C2E3C" w:rsidRDefault="001C2E3C" w:rsidP="0046038D">
      <w:pPr>
        <w:spacing w:after="0" w:line="240" w:lineRule="auto"/>
      </w:pPr>
      <w:r>
        <w:separator/>
      </w:r>
    </w:p>
  </w:footnote>
  <w:footnote w:type="continuationSeparator" w:id="0">
    <w:p w14:paraId="4B98A3EA" w14:textId="77777777" w:rsidR="001C2E3C" w:rsidRDefault="001C2E3C" w:rsidP="0046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7CED" w14:textId="77777777" w:rsidR="002F196E" w:rsidRPr="002D1DCE" w:rsidRDefault="00000000" w:rsidP="002D1DCE">
    <w:pPr>
      <w:pStyle w:val="VBAILTHeader"/>
    </w:pPr>
    <w:r>
      <w:t>Introduction to 800 Series Work Items</w:t>
    </w:r>
  </w:p>
  <w:p w14:paraId="4A987088" w14:textId="7084D11D" w:rsidR="002F196E" w:rsidRPr="002D1DCE" w:rsidRDefault="0046038D"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641B" w14:textId="77777777" w:rsidR="002F196E" w:rsidRDefault="00000000">
    <w:pPr>
      <w:pStyle w:val="Header"/>
    </w:pPr>
    <w:r>
      <w:rPr>
        <w:noProof/>
      </w:rPr>
      <w:drawing>
        <wp:anchor distT="0" distB="0" distL="114300" distR="114300" simplePos="0" relativeHeight="251659264" behindDoc="1" locked="0" layoutInCell="1" allowOverlap="1" wp14:anchorId="639A6E46" wp14:editId="36855F54">
          <wp:simplePos x="0" y="0"/>
          <wp:positionH relativeFrom="column">
            <wp:posOffset>-904875</wp:posOffset>
          </wp:positionH>
          <wp:positionV relativeFrom="paragraph">
            <wp:posOffset>-447675</wp:posOffset>
          </wp:positionV>
          <wp:extent cx="7780020" cy="5836920"/>
          <wp:effectExtent l="0" t="0" r="0" b="0"/>
          <wp:wrapNone/>
          <wp:docPr id="23" name="Picture 2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E96"/>
    <w:multiLevelType w:val="hybridMultilevel"/>
    <w:tmpl w:val="1E6EB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A1557"/>
    <w:multiLevelType w:val="hybridMultilevel"/>
    <w:tmpl w:val="A40AC750"/>
    <w:lvl w:ilvl="0" w:tplc="05641A3A">
      <w:start w:val="1"/>
      <w:numFmt w:val="bullet"/>
      <w:lvlText w:val="•"/>
      <w:lvlJc w:val="left"/>
      <w:pPr>
        <w:tabs>
          <w:tab w:val="num" w:pos="720"/>
        </w:tabs>
        <w:ind w:left="720" w:hanging="360"/>
      </w:pPr>
      <w:rPr>
        <w:rFonts w:ascii="Arial" w:hAnsi="Arial" w:hint="default"/>
      </w:rPr>
    </w:lvl>
    <w:lvl w:ilvl="1" w:tplc="73CCC3B8">
      <w:numFmt w:val="bullet"/>
      <w:lvlText w:val="o"/>
      <w:lvlJc w:val="left"/>
      <w:pPr>
        <w:tabs>
          <w:tab w:val="num" w:pos="1440"/>
        </w:tabs>
        <w:ind w:left="1440" w:hanging="360"/>
      </w:pPr>
      <w:rPr>
        <w:rFonts w:ascii="Courier New" w:hAnsi="Courier New" w:hint="default"/>
      </w:rPr>
    </w:lvl>
    <w:lvl w:ilvl="2" w:tplc="191CAC50" w:tentative="1">
      <w:start w:val="1"/>
      <w:numFmt w:val="bullet"/>
      <w:lvlText w:val="•"/>
      <w:lvlJc w:val="left"/>
      <w:pPr>
        <w:tabs>
          <w:tab w:val="num" w:pos="2160"/>
        </w:tabs>
        <w:ind w:left="2160" w:hanging="360"/>
      </w:pPr>
      <w:rPr>
        <w:rFonts w:ascii="Arial" w:hAnsi="Arial" w:hint="default"/>
      </w:rPr>
    </w:lvl>
    <w:lvl w:ilvl="3" w:tplc="E6443A44" w:tentative="1">
      <w:start w:val="1"/>
      <w:numFmt w:val="bullet"/>
      <w:lvlText w:val="•"/>
      <w:lvlJc w:val="left"/>
      <w:pPr>
        <w:tabs>
          <w:tab w:val="num" w:pos="2880"/>
        </w:tabs>
        <w:ind w:left="2880" w:hanging="360"/>
      </w:pPr>
      <w:rPr>
        <w:rFonts w:ascii="Arial" w:hAnsi="Arial" w:hint="default"/>
      </w:rPr>
    </w:lvl>
    <w:lvl w:ilvl="4" w:tplc="C400E4A0" w:tentative="1">
      <w:start w:val="1"/>
      <w:numFmt w:val="bullet"/>
      <w:lvlText w:val="•"/>
      <w:lvlJc w:val="left"/>
      <w:pPr>
        <w:tabs>
          <w:tab w:val="num" w:pos="3600"/>
        </w:tabs>
        <w:ind w:left="3600" w:hanging="360"/>
      </w:pPr>
      <w:rPr>
        <w:rFonts w:ascii="Arial" w:hAnsi="Arial" w:hint="default"/>
      </w:rPr>
    </w:lvl>
    <w:lvl w:ilvl="5" w:tplc="5C94F398" w:tentative="1">
      <w:start w:val="1"/>
      <w:numFmt w:val="bullet"/>
      <w:lvlText w:val="•"/>
      <w:lvlJc w:val="left"/>
      <w:pPr>
        <w:tabs>
          <w:tab w:val="num" w:pos="4320"/>
        </w:tabs>
        <w:ind w:left="4320" w:hanging="360"/>
      </w:pPr>
      <w:rPr>
        <w:rFonts w:ascii="Arial" w:hAnsi="Arial" w:hint="default"/>
      </w:rPr>
    </w:lvl>
    <w:lvl w:ilvl="6" w:tplc="A664B49A" w:tentative="1">
      <w:start w:val="1"/>
      <w:numFmt w:val="bullet"/>
      <w:lvlText w:val="•"/>
      <w:lvlJc w:val="left"/>
      <w:pPr>
        <w:tabs>
          <w:tab w:val="num" w:pos="5040"/>
        </w:tabs>
        <w:ind w:left="5040" w:hanging="360"/>
      </w:pPr>
      <w:rPr>
        <w:rFonts w:ascii="Arial" w:hAnsi="Arial" w:hint="default"/>
      </w:rPr>
    </w:lvl>
    <w:lvl w:ilvl="7" w:tplc="F2B25C5C" w:tentative="1">
      <w:start w:val="1"/>
      <w:numFmt w:val="bullet"/>
      <w:lvlText w:val="•"/>
      <w:lvlJc w:val="left"/>
      <w:pPr>
        <w:tabs>
          <w:tab w:val="num" w:pos="5760"/>
        </w:tabs>
        <w:ind w:left="5760" w:hanging="360"/>
      </w:pPr>
      <w:rPr>
        <w:rFonts w:ascii="Arial" w:hAnsi="Arial" w:hint="default"/>
      </w:rPr>
    </w:lvl>
    <w:lvl w:ilvl="8" w:tplc="A0348B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8F6A36A6"/>
    <w:lvl w:ilvl="0" w:tplc="04090001">
      <w:start w:val="1"/>
      <w:numFmt w:val="bullet"/>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D0C0A"/>
    <w:multiLevelType w:val="hybridMultilevel"/>
    <w:tmpl w:val="FDAC3F10"/>
    <w:lvl w:ilvl="0" w:tplc="D1346F74">
      <w:start w:val="1"/>
      <w:numFmt w:val="bullet"/>
      <w:lvlText w:val="o"/>
      <w:lvlJc w:val="left"/>
      <w:pPr>
        <w:tabs>
          <w:tab w:val="num" w:pos="720"/>
        </w:tabs>
        <w:ind w:left="720" w:hanging="360"/>
      </w:pPr>
      <w:rPr>
        <w:rFonts w:ascii="Courier New" w:hAnsi="Courier New" w:hint="default"/>
      </w:rPr>
    </w:lvl>
    <w:lvl w:ilvl="1" w:tplc="3B2A4E12" w:tentative="1">
      <w:start w:val="1"/>
      <w:numFmt w:val="bullet"/>
      <w:lvlText w:val="o"/>
      <w:lvlJc w:val="left"/>
      <w:pPr>
        <w:tabs>
          <w:tab w:val="num" w:pos="1440"/>
        </w:tabs>
        <w:ind w:left="1440" w:hanging="360"/>
      </w:pPr>
      <w:rPr>
        <w:rFonts w:ascii="Courier New" w:hAnsi="Courier New" w:hint="default"/>
      </w:rPr>
    </w:lvl>
    <w:lvl w:ilvl="2" w:tplc="6A92E0EC" w:tentative="1">
      <w:start w:val="1"/>
      <w:numFmt w:val="bullet"/>
      <w:lvlText w:val="o"/>
      <w:lvlJc w:val="left"/>
      <w:pPr>
        <w:tabs>
          <w:tab w:val="num" w:pos="2160"/>
        </w:tabs>
        <w:ind w:left="2160" w:hanging="360"/>
      </w:pPr>
      <w:rPr>
        <w:rFonts w:ascii="Courier New" w:hAnsi="Courier New" w:hint="default"/>
      </w:rPr>
    </w:lvl>
    <w:lvl w:ilvl="3" w:tplc="6518CC26" w:tentative="1">
      <w:start w:val="1"/>
      <w:numFmt w:val="bullet"/>
      <w:lvlText w:val="o"/>
      <w:lvlJc w:val="left"/>
      <w:pPr>
        <w:tabs>
          <w:tab w:val="num" w:pos="2880"/>
        </w:tabs>
        <w:ind w:left="2880" w:hanging="360"/>
      </w:pPr>
      <w:rPr>
        <w:rFonts w:ascii="Courier New" w:hAnsi="Courier New" w:hint="default"/>
      </w:rPr>
    </w:lvl>
    <w:lvl w:ilvl="4" w:tplc="81DE9582" w:tentative="1">
      <w:start w:val="1"/>
      <w:numFmt w:val="bullet"/>
      <w:lvlText w:val="o"/>
      <w:lvlJc w:val="left"/>
      <w:pPr>
        <w:tabs>
          <w:tab w:val="num" w:pos="3600"/>
        </w:tabs>
        <w:ind w:left="3600" w:hanging="360"/>
      </w:pPr>
      <w:rPr>
        <w:rFonts w:ascii="Courier New" w:hAnsi="Courier New" w:hint="default"/>
      </w:rPr>
    </w:lvl>
    <w:lvl w:ilvl="5" w:tplc="025CCFB8" w:tentative="1">
      <w:start w:val="1"/>
      <w:numFmt w:val="bullet"/>
      <w:lvlText w:val="o"/>
      <w:lvlJc w:val="left"/>
      <w:pPr>
        <w:tabs>
          <w:tab w:val="num" w:pos="4320"/>
        </w:tabs>
        <w:ind w:left="4320" w:hanging="360"/>
      </w:pPr>
      <w:rPr>
        <w:rFonts w:ascii="Courier New" w:hAnsi="Courier New" w:hint="default"/>
      </w:rPr>
    </w:lvl>
    <w:lvl w:ilvl="6" w:tplc="4DFADCC0" w:tentative="1">
      <w:start w:val="1"/>
      <w:numFmt w:val="bullet"/>
      <w:lvlText w:val="o"/>
      <w:lvlJc w:val="left"/>
      <w:pPr>
        <w:tabs>
          <w:tab w:val="num" w:pos="5040"/>
        </w:tabs>
        <w:ind w:left="5040" w:hanging="360"/>
      </w:pPr>
      <w:rPr>
        <w:rFonts w:ascii="Courier New" w:hAnsi="Courier New" w:hint="default"/>
      </w:rPr>
    </w:lvl>
    <w:lvl w:ilvl="7" w:tplc="62781424" w:tentative="1">
      <w:start w:val="1"/>
      <w:numFmt w:val="bullet"/>
      <w:lvlText w:val="o"/>
      <w:lvlJc w:val="left"/>
      <w:pPr>
        <w:tabs>
          <w:tab w:val="num" w:pos="5760"/>
        </w:tabs>
        <w:ind w:left="5760" w:hanging="360"/>
      </w:pPr>
      <w:rPr>
        <w:rFonts w:ascii="Courier New" w:hAnsi="Courier New" w:hint="default"/>
      </w:rPr>
    </w:lvl>
    <w:lvl w:ilvl="8" w:tplc="17B61F10"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5466383"/>
    <w:multiLevelType w:val="hybridMultilevel"/>
    <w:tmpl w:val="4216A208"/>
    <w:lvl w:ilvl="0" w:tplc="D9D67320">
      <w:start w:val="1"/>
      <w:numFmt w:val="bullet"/>
      <w:lvlText w:val="•"/>
      <w:lvlJc w:val="left"/>
      <w:pPr>
        <w:tabs>
          <w:tab w:val="num" w:pos="360"/>
        </w:tabs>
        <w:ind w:left="360" w:hanging="360"/>
      </w:pPr>
      <w:rPr>
        <w:rFonts w:ascii="Arial" w:hAnsi="Arial" w:hint="default"/>
      </w:rPr>
    </w:lvl>
    <w:lvl w:ilvl="1" w:tplc="34588770">
      <w:numFmt w:val="bullet"/>
      <w:lvlText w:val="o"/>
      <w:lvlJc w:val="left"/>
      <w:pPr>
        <w:tabs>
          <w:tab w:val="num" w:pos="1080"/>
        </w:tabs>
        <w:ind w:left="1080" w:hanging="360"/>
      </w:pPr>
      <w:rPr>
        <w:rFonts w:ascii="Courier New" w:hAnsi="Courier New" w:hint="default"/>
      </w:rPr>
    </w:lvl>
    <w:lvl w:ilvl="2" w:tplc="3B6AA876" w:tentative="1">
      <w:start w:val="1"/>
      <w:numFmt w:val="bullet"/>
      <w:lvlText w:val="•"/>
      <w:lvlJc w:val="left"/>
      <w:pPr>
        <w:tabs>
          <w:tab w:val="num" w:pos="1800"/>
        </w:tabs>
        <w:ind w:left="1800" w:hanging="360"/>
      </w:pPr>
      <w:rPr>
        <w:rFonts w:ascii="Arial" w:hAnsi="Arial" w:hint="default"/>
      </w:rPr>
    </w:lvl>
    <w:lvl w:ilvl="3" w:tplc="417A30A2" w:tentative="1">
      <w:start w:val="1"/>
      <w:numFmt w:val="bullet"/>
      <w:lvlText w:val="•"/>
      <w:lvlJc w:val="left"/>
      <w:pPr>
        <w:tabs>
          <w:tab w:val="num" w:pos="2520"/>
        </w:tabs>
        <w:ind w:left="2520" w:hanging="360"/>
      </w:pPr>
      <w:rPr>
        <w:rFonts w:ascii="Arial" w:hAnsi="Arial" w:hint="default"/>
      </w:rPr>
    </w:lvl>
    <w:lvl w:ilvl="4" w:tplc="16B6B18A" w:tentative="1">
      <w:start w:val="1"/>
      <w:numFmt w:val="bullet"/>
      <w:lvlText w:val="•"/>
      <w:lvlJc w:val="left"/>
      <w:pPr>
        <w:tabs>
          <w:tab w:val="num" w:pos="3240"/>
        </w:tabs>
        <w:ind w:left="3240" w:hanging="360"/>
      </w:pPr>
      <w:rPr>
        <w:rFonts w:ascii="Arial" w:hAnsi="Arial" w:hint="default"/>
      </w:rPr>
    </w:lvl>
    <w:lvl w:ilvl="5" w:tplc="8B408148" w:tentative="1">
      <w:start w:val="1"/>
      <w:numFmt w:val="bullet"/>
      <w:lvlText w:val="•"/>
      <w:lvlJc w:val="left"/>
      <w:pPr>
        <w:tabs>
          <w:tab w:val="num" w:pos="3960"/>
        </w:tabs>
        <w:ind w:left="3960" w:hanging="360"/>
      </w:pPr>
      <w:rPr>
        <w:rFonts w:ascii="Arial" w:hAnsi="Arial" w:hint="default"/>
      </w:rPr>
    </w:lvl>
    <w:lvl w:ilvl="6" w:tplc="50A4283C" w:tentative="1">
      <w:start w:val="1"/>
      <w:numFmt w:val="bullet"/>
      <w:lvlText w:val="•"/>
      <w:lvlJc w:val="left"/>
      <w:pPr>
        <w:tabs>
          <w:tab w:val="num" w:pos="4680"/>
        </w:tabs>
        <w:ind w:left="4680" w:hanging="360"/>
      </w:pPr>
      <w:rPr>
        <w:rFonts w:ascii="Arial" w:hAnsi="Arial" w:hint="default"/>
      </w:rPr>
    </w:lvl>
    <w:lvl w:ilvl="7" w:tplc="D8584E74" w:tentative="1">
      <w:start w:val="1"/>
      <w:numFmt w:val="bullet"/>
      <w:lvlText w:val="•"/>
      <w:lvlJc w:val="left"/>
      <w:pPr>
        <w:tabs>
          <w:tab w:val="num" w:pos="5400"/>
        </w:tabs>
        <w:ind w:left="5400" w:hanging="360"/>
      </w:pPr>
      <w:rPr>
        <w:rFonts w:ascii="Arial" w:hAnsi="Arial" w:hint="default"/>
      </w:rPr>
    </w:lvl>
    <w:lvl w:ilvl="8" w:tplc="4D0A07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49771F6"/>
    <w:multiLevelType w:val="hybridMultilevel"/>
    <w:tmpl w:val="82A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6411F"/>
    <w:multiLevelType w:val="hybridMultilevel"/>
    <w:tmpl w:val="E3EC5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D86AD3"/>
    <w:multiLevelType w:val="hybridMultilevel"/>
    <w:tmpl w:val="CDF49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63C1A"/>
    <w:multiLevelType w:val="hybridMultilevel"/>
    <w:tmpl w:val="FB8E2D1C"/>
    <w:lvl w:ilvl="0" w:tplc="D996FAF4">
      <w:start w:val="1"/>
      <w:numFmt w:val="bullet"/>
      <w:lvlText w:val="•"/>
      <w:lvlJc w:val="left"/>
      <w:pPr>
        <w:tabs>
          <w:tab w:val="num" w:pos="720"/>
        </w:tabs>
        <w:ind w:left="720" w:hanging="360"/>
      </w:pPr>
      <w:rPr>
        <w:rFonts w:ascii="Arial" w:hAnsi="Arial" w:hint="default"/>
      </w:rPr>
    </w:lvl>
    <w:lvl w:ilvl="1" w:tplc="F2E62268" w:tentative="1">
      <w:start w:val="1"/>
      <w:numFmt w:val="bullet"/>
      <w:lvlText w:val="•"/>
      <w:lvlJc w:val="left"/>
      <w:pPr>
        <w:tabs>
          <w:tab w:val="num" w:pos="1440"/>
        </w:tabs>
        <w:ind w:left="1440" w:hanging="360"/>
      </w:pPr>
      <w:rPr>
        <w:rFonts w:ascii="Arial" w:hAnsi="Arial" w:hint="default"/>
      </w:rPr>
    </w:lvl>
    <w:lvl w:ilvl="2" w:tplc="4CB2A9F8" w:tentative="1">
      <w:start w:val="1"/>
      <w:numFmt w:val="bullet"/>
      <w:lvlText w:val="•"/>
      <w:lvlJc w:val="left"/>
      <w:pPr>
        <w:tabs>
          <w:tab w:val="num" w:pos="2160"/>
        </w:tabs>
        <w:ind w:left="2160" w:hanging="360"/>
      </w:pPr>
      <w:rPr>
        <w:rFonts w:ascii="Arial" w:hAnsi="Arial" w:hint="default"/>
      </w:rPr>
    </w:lvl>
    <w:lvl w:ilvl="3" w:tplc="09F206E8" w:tentative="1">
      <w:start w:val="1"/>
      <w:numFmt w:val="bullet"/>
      <w:lvlText w:val="•"/>
      <w:lvlJc w:val="left"/>
      <w:pPr>
        <w:tabs>
          <w:tab w:val="num" w:pos="2880"/>
        </w:tabs>
        <w:ind w:left="2880" w:hanging="360"/>
      </w:pPr>
      <w:rPr>
        <w:rFonts w:ascii="Arial" w:hAnsi="Arial" w:hint="default"/>
      </w:rPr>
    </w:lvl>
    <w:lvl w:ilvl="4" w:tplc="7416D9F2" w:tentative="1">
      <w:start w:val="1"/>
      <w:numFmt w:val="bullet"/>
      <w:lvlText w:val="•"/>
      <w:lvlJc w:val="left"/>
      <w:pPr>
        <w:tabs>
          <w:tab w:val="num" w:pos="3600"/>
        </w:tabs>
        <w:ind w:left="3600" w:hanging="360"/>
      </w:pPr>
      <w:rPr>
        <w:rFonts w:ascii="Arial" w:hAnsi="Arial" w:hint="default"/>
      </w:rPr>
    </w:lvl>
    <w:lvl w:ilvl="5" w:tplc="9FB21838" w:tentative="1">
      <w:start w:val="1"/>
      <w:numFmt w:val="bullet"/>
      <w:lvlText w:val="•"/>
      <w:lvlJc w:val="left"/>
      <w:pPr>
        <w:tabs>
          <w:tab w:val="num" w:pos="4320"/>
        </w:tabs>
        <w:ind w:left="4320" w:hanging="360"/>
      </w:pPr>
      <w:rPr>
        <w:rFonts w:ascii="Arial" w:hAnsi="Arial" w:hint="default"/>
      </w:rPr>
    </w:lvl>
    <w:lvl w:ilvl="6" w:tplc="9A286D14" w:tentative="1">
      <w:start w:val="1"/>
      <w:numFmt w:val="bullet"/>
      <w:lvlText w:val="•"/>
      <w:lvlJc w:val="left"/>
      <w:pPr>
        <w:tabs>
          <w:tab w:val="num" w:pos="5040"/>
        </w:tabs>
        <w:ind w:left="5040" w:hanging="360"/>
      </w:pPr>
      <w:rPr>
        <w:rFonts w:ascii="Arial" w:hAnsi="Arial" w:hint="default"/>
      </w:rPr>
    </w:lvl>
    <w:lvl w:ilvl="7" w:tplc="F41EA2F0" w:tentative="1">
      <w:start w:val="1"/>
      <w:numFmt w:val="bullet"/>
      <w:lvlText w:val="•"/>
      <w:lvlJc w:val="left"/>
      <w:pPr>
        <w:tabs>
          <w:tab w:val="num" w:pos="5760"/>
        </w:tabs>
        <w:ind w:left="5760" w:hanging="360"/>
      </w:pPr>
      <w:rPr>
        <w:rFonts w:ascii="Arial" w:hAnsi="Arial" w:hint="default"/>
      </w:rPr>
    </w:lvl>
    <w:lvl w:ilvl="8" w:tplc="5900E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A35E40"/>
    <w:multiLevelType w:val="hybridMultilevel"/>
    <w:tmpl w:val="14BCD074"/>
    <w:lvl w:ilvl="0" w:tplc="71DEF4F8">
      <w:start w:val="1"/>
      <w:numFmt w:val="decimal"/>
      <w:lvlText w:val="%1."/>
      <w:lvlJc w:val="left"/>
      <w:pPr>
        <w:tabs>
          <w:tab w:val="num" w:pos="360"/>
        </w:tabs>
        <w:ind w:left="360" w:hanging="360"/>
      </w:pPr>
    </w:lvl>
    <w:lvl w:ilvl="1" w:tplc="7758E2E2">
      <w:numFmt w:val="bullet"/>
      <w:lvlText w:val=""/>
      <w:lvlJc w:val="left"/>
      <w:pPr>
        <w:tabs>
          <w:tab w:val="num" w:pos="1080"/>
        </w:tabs>
        <w:ind w:left="1080" w:hanging="360"/>
      </w:pPr>
      <w:rPr>
        <w:rFonts w:ascii="Symbol" w:hAnsi="Symbol" w:hint="default"/>
      </w:rPr>
    </w:lvl>
    <w:lvl w:ilvl="2" w:tplc="A60EF408" w:tentative="1">
      <w:start w:val="1"/>
      <w:numFmt w:val="decimal"/>
      <w:lvlText w:val="%3."/>
      <w:lvlJc w:val="left"/>
      <w:pPr>
        <w:tabs>
          <w:tab w:val="num" w:pos="1800"/>
        </w:tabs>
        <w:ind w:left="1800" w:hanging="360"/>
      </w:pPr>
    </w:lvl>
    <w:lvl w:ilvl="3" w:tplc="966058DA" w:tentative="1">
      <w:start w:val="1"/>
      <w:numFmt w:val="decimal"/>
      <w:lvlText w:val="%4."/>
      <w:lvlJc w:val="left"/>
      <w:pPr>
        <w:tabs>
          <w:tab w:val="num" w:pos="2520"/>
        </w:tabs>
        <w:ind w:left="2520" w:hanging="360"/>
      </w:pPr>
    </w:lvl>
    <w:lvl w:ilvl="4" w:tplc="2C36A254" w:tentative="1">
      <w:start w:val="1"/>
      <w:numFmt w:val="decimal"/>
      <w:lvlText w:val="%5."/>
      <w:lvlJc w:val="left"/>
      <w:pPr>
        <w:tabs>
          <w:tab w:val="num" w:pos="3240"/>
        </w:tabs>
        <w:ind w:left="3240" w:hanging="360"/>
      </w:pPr>
    </w:lvl>
    <w:lvl w:ilvl="5" w:tplc="06FC70FE" w:tentative="1">
      <w:start w:val="1"/>
      <w:numFmt w:val="decimal"/>
      <w:lvlText w:val="%6."/>
      <w:lvlJc w:val="left"/>
      <w:pPr>
        <w:tabs>
          <w:tab w:val="num" w:pos="3960"/>
        </w:tabs>
        <w:ind w:left="3960" w:hanging="360"/>
      </w:pPr>
    </w:lvl>
    <w:lvl w:ilvl="6" w:tplc="5156A6C2" w:tentative="1">
      <w:start w:val="1"/>
      <w:numFmt w:val="decimal"/>
      <w:lvlText w:val="%7."/>
      <w:lvlJc w:val="left"/>
      <w:pPr>
        <w:tabs>
          <w:tab w:val="num" w:pos="4680"/>
        </w:tabs>
        <w:ind w:left="4680" w:hanging="360"/>
      </w:pPr>
    </w:lvl>
    <w:lvl w:ilvl="7" w:tplc="F618A476" w:tentative="1">
      <w:start w:val="1"/>
      <w:numFmt w:val="decimal"/>
      <w:lvlText w:val="%8."/>
      <w:lvlJc w:val="left"/>
      <w:pPr>
        <w:tabs>
          <w:tab w:val="num" w:pos="5400"/>
        </w:tabs>
        <w:ind w:left="5400" w:hanging="360"/>
      </w:pPr>
    </w:lvl>
    <w:lvl w:ilvl="8" w:tplc="B4A0FE00" w:tentative="1">
      <w:start w:val="1"/>
      <w:numFmt w:val="decimal"/>
      <w:lvlText w:val="%9."/>
      <w:lvlJc w:val="left"/>
      <w:pPr>
        <w:tabs>
          <w:tab w:val="num" w:pos="6120"/>
        </w:tabs>
        <w:ind w:left="6120" w:hanging="360"/>
      </w:pPr>
    </w:lvl>
  </w:abstractNum>
  <w:abstractNum w:abstractNumId="10" w15:restartNumberingAfterBreak="0">
    <w:nsid w:val="5BCD056E"/>
    <w:multiLevelType w:val="hybridMultilevel"/>
    <w:tmpl w:val="E2E62CD8"/>
    <w:lvl w:ilvl="0" w:tplc="E3909064">
      <w:start w:val="1"/>
      <w:numFmt w:val="bullet"/>
      <w:lvlText w:val="•"/>
      <w:lvlJc w:val="left"/>
      <w:pPr>
        <w:tabs>
          <w:tab w:val="num" w:pos="360"/>
        </w:tabs>
        <w:ind w:left="360" w:hanging="360"/>
      </w:pPr>
      <w:rPr>
        <w:rFonts w:ascii="Arial" w:hAnsi="Arial" w:hint="default"/>
      </w:rPr>
    </w:lvl>
    <w:lvl w:ilvl="1" w:tplc="D5E2FD52">
      <w:numFmt w:val="bullet"/>
      <w:lvlText w:val="o"/>
      <w:lvlJc w:val="left"/>
      <w:pPr>
        <w:tabs>
          <w:tab w:val="num" w:pos="1080"/>
        </w:tabs>
        <w:ind w:left="1080" w:hanging="360"/>
      </w:pPr>
      <w:rPr>
        <w:rFonts w:ascii="Courier New" w:hAnsi="Courier New" w:hint="default"/>
      </w:rPr>
    </w:lvl>
    <w:lvl w:ilvl="2" w:tplc="D99020DC" w:tentative="1">
      <w:start w:val="1"/>
      <w:numFmt w:val="bullet"/>
      <w:lvlText w:val="•"/>
      <w:lvlJc w:val="left"/>
      <w:pPr>
        <w:tabs>
          <w:tab w:val="num" w:pos="1800"/>
        </w:tabs>
        <w:ind w:left="1800" w:hanging="360"/>
      </w:pPr>
      <w:rPr>
        <w:rFonts w:ascii="Arial" w:hAnsi="Arial" w:hint="default"/>
      </w:rPr>
    </w:lvl>
    <w:lvl w:ilvl="3" w:tplc="12D03C28" w:tentative="1">
      <w:start w:val="1"/>
      <w:numFmt w:val="bullet"/>
      <w:lvlText w:val="•"/>
      <w:lvlJc w:val="left"/>
      <w:pPr>
        <w:tabs>
          <w:tab w:val="num" w:pos="2520"/>
        </w:tabs>
        <w:ind w:left="2520" w:hanging="360"/>
      </w:pPr>
      <w:rPr>
        <w:rFonts w:ascii="Arial" w:hAnsi="Arial" w:hint="default"/>
      </w:rPr>
    </w:lvl>
    <w:lvl w:ilvl="4" w:tplc="46B2AF46" w:tentative="1">
      <w:start w:val="1"/>
      <w:numFmt w:val="bullet"/>
      <w:lvlText w:val="•"/>
      <w:lvlJc w:val="left"/>
      <w:pPr>
        <w:tabs>
          <w:tab w:val="num" w:pos="3240"/>
        </w:tabs>
        <w:ind w:left="3240" w:hanging="360"/>
      </w:pPr>
      <w:rPr>
        <w:rFonts w:ascii="Arial" w:hAnsi="Arial" w:hint="default"/>
      </w:rPr>
    </w:lvl>
    <w:lvl w:ilvl="5" w:tplc="9412165E" w:tentative="1">
      <w:start w:val="1"/>
      <w:numFmt w:val="bullet"/>
      <w:lvlText w:val="•"/>
      <w:lvlJc w:val="left"/>
      <w:pPr>
        <w:tabs>
          <w:tab w:val="num" w:pos="3960"/>
        </w:tabs>
        <w:ind w:left="3960" w:hanging="360"/>
      </w:pPr>
      <w:rPr>
        <w:rFonts w:ascii="Arial" w:hAnsi="Arial" w:hint="default"/>
      </w:rPr>
    </w:lvl>
    <w:lvl w:ilvl="6" w:tplc="82520CE2" w:tentative="1">
      <w:start w:val="1"/>
      <w:numFmt w:val="bullet"/>
      <w:lvlText w:val="•"/>
      <w:lvlJc w:val="left"/>
      <w:pPr>
        <w:tabs>
          <w:tab w:val="num" w:pos="4680"/>
        </w:tabs>
        <w:ind w:left="4680" w:hanging="360"/>
      </w:pPr>
      <w:rPr>
        <w:rFonts w:ascii="Arial" w:hAnsi="Arial" w:hint="default"/>
      </w:rPr>
    </w:lvl>
    <w:lvl w:ilvl="7" w:tplc="BF06C96C" w:tentative="1">
      <w:start w:val="1"/>
      <w:numFmt w:val="bullet"/>
      <w:lvlText w:val="•"/>
      <w:lvlJc w:val="left"/>
      <w:pPr>
        <w:tabs>
          <w:tab w:val="num" w:pos="5400"/>
        </w:tabs>
        <w:ind w:left="5400" w:hanging="360"/>
      </w:pPr>
      <w:rPr>
        <w:rFonts w:ascii="Arial" w:hAnsi="Arial" w:hint="default"/>
      </w:rPr>
    </w:lvl>
    <w:lvl w:ilvl="8" w:tplc="ADB47D9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7F37253E"/>
    <w:multiLevelType w:val="hybridMultilevel"/>
    <w:tmpl w:val="01BE1C34"/>
    <w:lvl w:ilvl="0" w:tplc="4D82DCCE">
      <w:start w:val="1"/>
      <w:numFmt w:val="bullet"/>
      <w:lvlText w:val="•"/>
      <w:lvlJc w:val="left"/>
      <w:pPr>
        <w:tabs>
          <w:tab w:val="num" w:pos="360"/>
        </w:tabs>
        <w:ind w:left="360" w:hanging="360"/>
      </w:pPr>
      <w:rPr>
        <w:rFonts w:ascii="Arial" w:hAnsi="Arial" w:hint="default"/>
      </w:rPr>
    </w:lvl>
    <w:lvl w:ilvl="1" w:tplc="4844A50C" w:tentative="1">
      <w:start w:val="1"/>
      <w:numFmt w:val="bullet"/>
      <w:lvlText w:val="•"/>
      <w:lvlJc w:val="left"/>
      <w:pPr>
        <w:tabs>
          <w:tab w:val="num" w:pos="1080"/>
        </w:tabs>
        <w:ind w:left="1080" w:hanging="360"/>
      </w:pPr>
      <w:rPr>
        <w:rFonts w:ascii="Arial" w:hAnsi="Arial" w:hint="default"/>
      </w:rPr>
    </w:lvl>
    <w:lvl w:ilvl="2" w:tplc="6D4C5642" w:tentative="1">
      <w:start w:val="1"/>
      <w:numFmt w:val="bullet"/>
      <w:lvlText w:val="•"/>
      <w:lvlJc w:val="left"/>
      <w:pPr>
        <w:tabs>
          <w:tab w:val="num" w:pos="1800"/>
        </w:tabs>
        <w:ind w:left="1800" w:hanging="360"/>
      </w:pPr>
      <w:rPr>
        <w:rFonts w:ascii="Arial" w:hAnsi="Arial" w:hint="default"/>
      </w:rPr>
    </w:lvl>
    <w:lvl w:ilvl="3" w:tplc="A7F4AE22" w:tentative="1">
      <w:start w:val="1"/>
      <w:numFmt w:val="bullet"/>
      <w:lvlText w:val="•"/>
      <w:lvlJc w:val="left"/>
      <w:pPr>
        <w:tabs>
          <w:tab w:val="num" w:pos="2520"/>
        </w:tabs>
        <w:ind w:left="2520" w:hanging="360"/>
      </w:pPr>
      <w:rPr>
        <w:rFonts w:ascii="Arial" w:hAnsi="Arial" w:hint="default"/>
      </w:rPr>
    </w:lvl>
    <w:lvl w:ilvl="4" w:tplc="FB9AC4E4" w:tentative="1">
      <w:start w:val="1"/>
      <w:numFmt w:val="bullet"/>
      <w:lvlText w:val="•"/>
      <w:lvlJc w:val="left"/>
      <w:pPr>
        <w:tabs>
          <w:tab w:val="num" w:pos="3240"/>
        </w:tabs>
        <w:ind w:left="3240" w:hanging="360"/>
      </w:pPr>
      <w:rPr>
        <w:rFonts w:ascii="Arial" w:hAnsi="Arial" w:hint="default"/>
      </w:rPr>
    </w:lvl>
    <w:lvl w:ilvl="5" w:tplc="FE92ABB4" w:tentative="1">
      <w:start w:val="1"/>
      <w:numFmt w:val="bullet"/>
      <w:lvlText w:val="•"/>
      <w:lvlJc w:val="left"/>
      <w:pPr>
        <w:tabs>
          <w:tab w:val="num" w:pos="3960"/>
        </w:tabs>
        <w:ind w:left="3960" w:hanging="360"/>
      </w:pPr>
      <w:rPr>
        <w:rFonts w:ascii="Arial" w:hAnsi="Arial" w:hint="default"/>
      </w:rPr>
    </w:lvl>
    <w:lvl w:ilvl="6" w:tplc="A98A88F6" w:tentative="1">
      <w:start w:val="1"/>
      <w:numFmt w:val="bullet"/>
      <w:lvlText w:val="•"/>
      <w:lvlJc w:val="left"/>
      <w:pPr>
        <w:tabs>
          <w:tab w:val="num" w:pos="4680"/>
        </w:tabs>
        <w:ind w:left="4680" w:hanging="360"/>
      </w:pPr>
      <w:rPr>
        <w:rFonts w:ascii="Arial" w:hAnsi="Arial" w:hint="default"/>
      </w:rPr>
    </w:lvl>
    <w:lvl w:ilvl="7" w:tplc="E926190A" w:tentative="1">
      <w:start w:val="1"/>
      <w:numFmt w:val="bullet"/>
      <w:lvlText w:val="•"/>
      <w:lvlJc w:val="left"/>
      <w:pPr>
        <w:tabs>
          <w:tab w:val="num" w:pos="5400"/>
        </w:tabs>
        <w:ind w:left="5400" w:hanging="360"/>
      </w:pPr>
      <w:rPr>
        <w:rFonts w:ascii="Arial" w:hAnsi="Arial" w:hint="default"/>
      </w:rPr>
    </w:lvl>
    <w:lvl w:ilvl="8" w:tplc="148ECD22" w:tentative="1">
      <w:start w:val="1"/>
      <w:numFmt w:val="bullet"/>
      <w:lvlText w:val="•"/>
      <w:lvlJc w:val="left"/>
      <w:pPr>
        <w:tabs>
          <w:tab w:val="num" w:pos="6120"/>
        </w:tabs>
        <w:ind w:left="6120" w:hanging="360"/>
      </w:pPr>
      <w:rPr>
        <w:rFonts w:ascii="Arial" w:hAnsi="Arial" w:hint="default"/>
      </w:rPr>
    </w:lvl>
  </w:abstractNum>
  <w:num w:numId="1" w16cid:durableId="900095566">
    <w:abstractNumId w:val="2"/>
  </w:num>
  <w:num w:numId="2" w16cid:durableId="299648457">
    <w:abstractNumId w:val="5"/>
  </w:num>
  <w:num w:numId="3" w16cid:durableId="1840073984">
    <w:abstractNumId w:val="11"/>
  </w:num>
  <w:num w:numId="4" w16cid:durableId="1324898440">
    <w:abstractNumId w:val="3"/>
  </w:num>
  <w:num w:numId="5" w16cid:durableId="876897167">
    <w:abstractNumId w:val="4"/>
  </w:num>
  <w:num w:numId="6" w16cid:durableId="578321320">
    <w:abstractNumId w:val="1"/>
  </w:num>
  <w:num w:numId="7" w16cid:durableId="773669814">
    <w:abstractNumId w:val="8"/>
  </w:num>
  <w:num w:numId="8" w16cid:durableId="1499423419">
    <w:abstractNumId w:val="10"/>
  </w:num>
  <w:num w:numId="9" w16cid:durableId="2013138006">
    <w:abstractNumId w:val="9"/>
  </w:num>
  <w:num w:numId="10" w16cid:durableId="215318053">
    <w:abstractNumId w:val="6"/>
  </w:num>
  <w:num w:numId="11" w16cid:durableId="696925685">
    <w:abstractNumId w:val="7"/>
  </w:num>
  <w:num w:numId="12" w16cid:durableId="179162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D"/>
    <w:rsid w:val="00184AAC"/>
    <w:rsid w:val="001C2E3C"/>
    <w:rsid w:val="00220813"/>
    <w:rsid w:val="00251077"/>
    <w:rsid w:val="002D511A"/>
    <w:rsid w:val="002F196E"/>
    <w:rsid w:val="00340B1C"/>
    <w:rsid w:val="0040651F"/>
    <w:rsid w:val="00441861"/>
    <w:rsid w:val="0046038D"/>
    <w:rsid w:val="005A3E88"/>
    <w:rsid w:val="006922B7"/>
    <w:rsid w:val="0072061E"/>
    <w:rsid w:val="00926832"/>
    <w:rsid w:val="00B13735"/>
    <w:rsid w:val="00C757E7"/>
    <w:rsid w:val="00CC5FFF"/>
    <w:rsid w:val="00E60FD9"/>
    <w:rsid w:val="00F200F7"/>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770B"/>
  <w15:chartTrackingRefBased/>
  <w15:docId w15:val="{7C8BBBAE-D024-4229-9DE7-9298088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8D"/>
    <w:pPr>
      <w:spacing w:after="128" w:line="270" w:lineRule="auto"/>
      <w:ind w:left="10" w:right="315" w:hanging="10"/>
    </w:pPr>
    <w:rPr>
      <w:rFonts w:ascii="Verdana" w:eastAsia="Verdana" w:hAnsi="Verdana" w:cs="Verdana"/>
      <w:color w:val="000000"/>
    </w:rPr>
  </w:style>
  <w:style w:type="paragraph" w:styleId="Heading1">
    <w:name w:val="heading 1"/>
    <w:next w:val="Normal"/>
    <w:link w:val="Heading1Char"/>
    <w:uiPriority w:val="9"/>
    <w:qFormat/>
    <w:rsid w:val="0046038D"/>
    <w:pPr>
      <w:keepNext/>
      <w:keepLines/>
      <w:pBdr>
        <w:top w:val="single" w:sz="4" w:space="0" w:color="000000"/>
        <w:bottom w:val="single" w:sz="4" w:space="0" w:color="000000"/>
      </w:pBdr>
      <w:shd w:val="clear" w:color="auto" w:fill="BCD5ED"/>
      <w:spacing w:after="105"/>
      <w:ind w:left="10"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38D"/>
    <w:pPr>
      <w:tabs>
        <w:tab w:val="center" w:pos="4680"/>
        <w:tab w:val="right" w:pos="9360"/>
      </w:tabs>
      <w:spacing w:after="0" w:line="240" w:lineRule="auto"/>
      <w:ind w:left="0" w:righ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46038D"/>
  </w:style>
  <w:style w:type="paragraph" w:customStyle="1" w:styleId="VBAILTBody">
    <w:name w:val="VBAILT Body"/>
    <w:qFormat/>
    <w:rsid w:val="0046038D"/>
    <w:pPr>
      <w:spacing w:before="120" w:after="120" w:line="276" w:lineRule="auto"/>
    </w:pPr>
    <w:rPr>
      <w:rFonts w:ascii="Verdana" w:hAnsi="Verdana"/>
    </w:rPr>
  </w:style>
  <w:style w:type="paragraph" w:customStyle="1" w:styleId="VBAILTBodyStrong">
    <w:name w:val="VBAILT Body Strong"/>
    <w:basedOn w:val="VBAILTBody"/>
    <w:qFormat/>
    <w:rsid w:val="0046038D"/>
    <w:rPr>
      <w:b/>
    </w:rPr>
  </w:style>
  <w:style w:type="paragraph" w:customStyle="1" w:styleId="VBAILTHeading1">
    <w:name w:val="VBAILT Heading 1"/>
    <w:basedOn w:val="VBAILTBody"/>
    <w:next w:val="VBAILTBody"/>
    <w:qFormat/>
    <w:rsid w:val="0046038D"/>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46038D"/>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46038D"/>
    <w:pPr>
      <w:spacing w:after="0"/>
    </w:pPr>
  </w:style>
  <w:style w:type="paragraph" w:customStyle="1" w:styleId="VBAILTBullet2">
    <w:name w:val="VBAILT Bullet 2"/>
    <w:basedOn w:val="VBAILTBody"/>
    <w:qFormat/>
    <w:rsid w:val="0046038D"/>
    <w:pPr>
      <w:numPr>
        <w:ilvl w:val="1"/>
        <w:numId w:val="1"/>
      </w:numPr>
    </w:pPr>
  </w:style>
  <w:style w:type="table" w:styleId="TableGrid">
    <w:name w:val="Table Grid"/>
    <w:basedOn w:val="TableNormal"/>
    <w:uiPriority w:val="59"/>
    <w:rsid w:val="0046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46038D"/>
    <w:pPr>
      <w:spacing w:line="240" w:lineRule="auto"/>
    </w:pPr>
    <w:rPr>
      <w:b/>
      <w:sz w:val="24"/>
      <w:szCs w:val="24"/>
    </w:rPr>
  </w:style>
  <w:style w:type="paragraph" w:customStyle="1" w:styleId="VBAILTHeader">
    <w:name w:val="VBAILT Header"/>
    <w:basedOn w:val="VBAILTBody"/>
    <w:qFormat/>
    <w:rsid w:val="0046038D"/>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46038D"/>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46038D"/>
    <w:rPr>
      <w:b/>
      <w:bCs/>
    </w:rPr>
  </w:style>
  <w:style w:type="paragraph" w:customStyle="1" w:styleId="VBAILTCoverdoctypecourse">
    <w:name w:val="VBAILT Cover doc type &amp; course"/>
    <w:basedOn w:val="VBAILTBody"/>
    <w:next w:val="VBAILTBody"/>
    <w:qFormat/>
    <w:rsid w:val="0046038D"/>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46038D"/>
    <w:pPr>
      <w:jc w:val="center"/>
    </w:pPr>
    <w:rPr>
      <w:b/>
      <w:color w:val="323E4F" w:themeColor="text2" w:themeShade="BF"/>
      <w:sz w:val="56"/>
      <w:szCs w:val="56"/>
    </w:rPr>
  </w:style>
  <w:style w:type="paragraph" w:customStyle="1" w:styleId="VBAILTCoverMisc">
    <w:name w:val="VBAILT Cover Misc"/>
    <w:basedOn w:val="VBAILTBody"/>
    <w:next w:val="VBAILTBody"/>
    <w:qFormat/>
    <w:rsid w:val="0046038D"/>
    <w:pPr>
      <w:jc w:val="center"/>
    </w:pPr>
    <w:rPr>
      <w:sz w:val="28"/>
    </w:rPr>
  </w:style>
  <w:style w:type="paragraph" w:customStyle="1" w:styleId="VBAILTCoverService">
    <w:name w:val="VBAILT Cover Service"/>
    <w:basedOn w:val="VBAILTBody"/>
    <w:next w:val="VBAILTBody"/>
    <w:qFormat/>
    <w:rsid w:val="0046038D"/>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46038D"/>
    <w:rPr>
      <w:color w:val="0563C1" w:themeColor="hyperlink"/>
      <w:u w:val="single"/>
    </w:rPr>
  </w:style>
  <w:style w:type="paragraph" w:styleId="Footer">
    <w:name w:val="footer"/>
    <w:basedOn w:val="Normal"/>
    <w:link w:val="FooterChar"/>
    <w:uiPriority w:val="99"/>
    <w:unhideWhenUsed/>
    <w:rsid w:val="0046038D"/>
    <w:pPr>
      <w:tabs>
        <w:tab w:val="center" w:pos="4680"/>
        <w:tab w:val="right" w:pos="9360"/>
      </w:tabs>
      <w:spacing w:after="0" w:line="240" w:lineRule="auto"/>
      <w:ind w:left="0" w:righ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46038D"/>
  </w:style>
  <w:style w:type="character" w:customStyle="1" w:styleId="Heading1Char">
    <w:name w:val="Heading 1 Char"/>
    <w:basedOn w:val="DefaultParagraphFont"/>
    <w:link w:val="Heading1"/>
    <w:uiPriority w:val="9"/>
    <w:rsid w:val="0046038D"/>
    <w:rPr>
      <w:rFonts w:ascii="Verdana" w:eastAsia="Verdana" w:hAnsi="Verdana" w:cs="Verdana"/>
      <w:b/>
      <w:color w:val="000000"/>
      <w:sz w:val="24"/>
      <w:shd w:val="clear" w:color="auto" w:fill="BCD5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49260">
      <w:bodyDiv w:val="1"/>
      <w:marLeft w:val="0"/>
      <w:marRight w:val="0"/>
      <w:marTop w:val="0"/>
      <w:marBottom w:val="0"/>
      <w:divBdr>
        <w:top w:val="none" w:sz="0" w:space="0" w:color="auto"/>
        <w:left w:val="none" w:sz="0" w:space="0" w:color="auto"/>
        <w:bottom w:val="none" w:sz="0" w:space="0" w:color="auto"/>
        <w:right w:val="none" w:sz="0" w:space="0" w:color="auto"/>
      </w:divBdr>
    </w:div>
    <w:div w:id="5323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baw.vba.va.gov/bl/20/cio/20s5/forms/VBA-21P-0537-ARE.pdf"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vbaw.vba.va.gov/bl/20/cio/20s5/forms/VBA-21P-0537-ARE.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76614/M21-1-Part-VII-Subpart-i-Chapter-1-Section-B-Verification-of-Marital-Status-and-the-Status-of-Dependents?query=800%20ser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vaww.vrm.km.va.gov/system/templates/selfservice/va_kanew/help/agent/locale/en-US/portal/554400000001034/content/554400000176614/M21-1-Part-VII-Subpart-i-Chapter-1-Section-B-Verification-of-Marital-Status-and-the-Status-of-Dependents?query=800%20seri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w.vrm.km.va.gov/system/templates/selfservice/va_kanew/help/agent/locale/en-US/portal/554400000001034/content/554400000176614/M21-1-Part-VII-Subpart-i-Chapter-1-Section-B-Verification-of-Marital-Status-and-the-Status-of-Dependents?query=800%20ser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E7821-0199-489F-AD5C-9C94F04230D7}">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43BCDEB9-EB42-4212-98DC-77E5DF70BAEB}">
  <ds:schemaRefs>
    <ds:schemaRef ds:uri="http://schemas.microsoft.com/sharepoint/v3/contenttype/forms"/>
  </ds:schemaRefs>
</ds:datastoreItem>
</file>

<file path=customXml/itemProps3.xml><?xml version="1.0" encoding="utf-8"?>
<ds:datastoreItem xmlns:ds="http://schemas.openxmlformats.org/officeDocument/2006/customXml" ds:itemID="{12765B56-963D-4B8E-ABBA-F00E3B0EA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Introduction to 800 Series Work Items Trainee Guide</vt:lpstr>
    </vt:vector>
  </TitlesOfParts>
  <Company>Veterans Benefits Administration</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800 Series Work Items Trainee Guide</dc:title>
  <dc:subject/>
  <dc:creator>Department of Veterans Affairs, Veterans Benefits Administration, Pension and Fiduciary Service, STAFF</dc:creator>
  <cp:keywords/>
  <dc:description/>
  <cp:lastModifiedBy>Kathy Poole</cp:lastModifiedBy>
  <cp:revision>2</cp:revision>
  <dcterms:created xsi:type="dcterms:W3CDTF">2024-05-23T15:44:00Z</dcterms:created>
  <dcterms:modified xsi:type="dcterms:W3CDTF">2024-05-23T15:44:00Z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