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C306" w14:textId="22012E33" w:rsidR="000B1CB7" w:rsidRDefault="000B1CB7" w:rsidP="000B1CB7">
      <w:pPr>
        <w:pStyle w:val="VBAILTCoverService"/>
      </w:pPr>
      <w:r>
        <w:t>Pension and fiduciary service</w:t>
      </w:r>
    </w:p>
    <w:p w14:paraId="6B08C307" w14:textId="5BB124C1" w:rsidR="000B1CB7" w:rsidRDefault="000B1CB7" w:rsidP="00513A51">
      <w:pPr>
        <w:pStyle w:val="VBAILTCoverdoctypecourse"/>
        <w:spacing w:before="0" w:after="0"/>
      </w:pPr>
      <w:r>
        <w:t xml:space="preserve">PMC VSR </w:t>
      </w:r>
      <w:r w:rsidR="00957BCA">
        <w:t>Intermediate</w:t>
      </w:r>
      <w:r w:rsidR="006634E5">
        <w:t xml:space="preserve"> </w:t>
      </w:r>
      <w:r>
        <w:t>Core Course</w:t>
      </w:r>
    </w:p>
    <w:p w14:paraId="6B08C308" w14:textId="11D99EA0" w:rsidR="00EF5FF1" w:rsidRDefault="00EF5FF1" w:rsidP="000B1CB7">
      <w:pPr>
        <w:pStyle w:val="VBAILTCoverdoctypecourse"/>
        <w:spacing w:before="0"/>
      </w:pPr>
      <w:r w:rsidRPr="009C3422">
        <w:t>Phase 5</w:t>
      </w:r>
      <w:r w:rsidR="0031386D">
        <w:t>:</w:t>
      </w:r>
      <w:r w:rsidR="00135DF7">
        <w:t xml:space="preserve"> </w:t>
      </w:r>
      <w:r w:rsidR="00957BCA">
        <w:t>Proficiency Development</w:t>
      </w:r>
      <w:r w:rsidR="0031386D">
        <w:br/>
      </w:r>
      <w:r>
        <w:t xml:space="preserve">Part </w:t>
      </w:r>
      <w:r w:rsidR="00400843">
        <w:t>3</w:t>
      </w:r>
      <w:r w:rsidR="0031386D">
        <w:t>:</w:t>
      </w:r>
      <w:r>
        <w:t xml:space="preserve"> </w:t>
      </w:r>
      <w:r w:rsidR="00957BCA">
        <w:t>Promulgation</w:t>
      </w:r>
    </w:p>
    <w:p w14:paraId="7C56F1BA" w14:textId="64A719D1" w:rsidR="00513A51" w:rsidRPr="008F594D" w:rsidRDefault="00513A51" w:rsidP="008F594D">
      <w:pPr>
        <w:pStyle w:val="VBAILTCoverLessonTitle"/>
        <w:spacing w:after="0"/>
        <w:rPr>
          <w:szCs w:val="48"/>
        </w:rPr>
      </w:pPr>
      <w:r w:rsidRPr="008F594D">
        <w:rPr>
          <w:szCs w:val="48"/>
        </w:rPr>
        <w:t>Overview of</w:t>
      </w:r>
      <w:r w:rsidR="005F0126">
        <w:rPr>
          <w:szCs w:val="48"/>
        </w:rPr>
        <w:t xml:space="preserve"> the Award Process</w:t>
      </w:r>
      <w:r w:rsidRPr="008F594D">
        <w:rPr>
          <w:szCs w:val="48"/>
        </w:rPr>
        <w:t xml:space="preserve"> </w:t>
      </w:r>
    </w:p>
    <w:p w14:paraId="0D5017AC" w14:textId="77777777" w:rsidR="00513A51" w:rsidRPr="008F594D" w:rsidRDefault="00513A51" w:rsidP="008F594D">
      <w:pPr>
        <w:pStyle w:val="VBAILTCoverLessonTitle"/>
        <w:spacing w:before="0" w:after="0" w:line="240" w:lineRule="auto"/>
        <w:rPr>
          <w:sz w:val="28"/>
          <w:szCs w:val="28"/>
        </w:rPr>
      </w:pPr>
    </w:p>
    <w:p w14:paraId="71029456" w14:textId="79C964E7" w:rsidR="00513A51" w:rsidRPr="008F594D" w:rsidRDefault="001934F5" w:rsidP="008F594D">
      <w:pPr>
        <w:pStyle w:val="VBAILTCoverLessonTitle"/>
        <w:spacing w:before="0"/>
        <w:rPr>
          <w:b w:val="0"/>
          <w:sz w:val="48"/>
          <w:szCs w:val="48"/>
        </w:rPr>
      </w:pPr>
      <w:r w:rsidRPr="6E0ADAEC">
        <w:rPr>
          <w:b w:val="0"/>
          <w:sz w:val="48"/>
          <w:szCs w:val="48"/>
        </w:rPr>
        <w:t>Trainee Guide</w:t>
      </w:r>
      <w:r w:rsidR="00C30F06" w:rsidRPr="6E0ADAEC">
        <w:rPr>
          <w:b w:val="0"/>
          <w:sz w:val="48"/>
          <w:szCs w:val="48"/>
        </w:rPr>
        <w:t xml:space="preserve"> </w:t>
      </w:r>
    </w:p>
    <w:p w14:paraId="3CA4B37D" w14:textId="77777777" w:rsidR="0042283C" w:rsidRDefault="0042283C" w:rsidP="0042283C">
      <w:pPr>
        <w:pStyle w:val="VBAILTCoverMisc"/>
        <w:spacing w:after="0"/>
      </w:pPr>
    </w:p>
    <w:p w14:paraId="08EAE389" w14:textId="2BE11E41" w:rsidR="00513A51" w:rsidRPr="0042283C" w:rsidRDefault="00957BCA" w:rsidP="0042283C">
      <w:pPr>
        <w:pStyle w:val="VBAILTCoverMisc"/>
      </w:pPr>
      <w:r>
        <w:t>June 2024</w:t>
      </w:r>
    </w:p>
    <w:p w14:paraId="6B08C30C" w14:textId="3627B8C4" w:rsidR="00C30F06" w:rsidRPr="00513A51" w:rsidRDefault="00C30F06" w:rsidP="00513A51">
      <w:pPr>
        <w:pStyle w:val="VBAILTCoverdoctypecourse"/>
        <w:spacing w:before="0" w:after="0" w:line="240" w:lineRule="auto"/>
        <w:rPr>
          <w:sz w:val="24"/>
          <w:szCs w:val="24"/>
        </w:rPr>
      </w:pPr>
      <w:r w:rsidRPr="00513A51">
        <w:rPr>
          <w:sz w:val="24"/>
          <w:szCs w:val="24"/>
        </w:rPr>
        <w:br w:type="page"/>
      </w:r>
    </w:p>
    <w:p w14:paraId="232D8755" w14:textId="35561EDF" w:rsidR="004E2F4B" w:rsidRPr="000F626B" w:rsidRDefault="004E2F4B" w:rsidP="00051DF2">
      <w:pPr>
        <w:pStyle w:val="VBAILTHeading1"/>
      </w:pPr>
      <w:r w:rsidRPr="000F626B">
        <w:lastRenderedPageBreak/>
        <w:t xml:space="preserve">Overview of </w:t>
      </w:r>
      <w:r w:rsidR="008B426B" w:rsidRPr="000F626B">
        <w:t>the Award Process</w:t>
      </w:r>
      <w:r w:rsidRPr="000F626B">
        <w:t xml:space="preserve"> </w:t>
      </w:r>
    </w:p>
    <w:p w14:paraId="6B08C30E" w14:textId="24AD7DD5" w:rsidR="00C214A9" w:rsidRPr="000F626B" w:rsidRDefault="00C214A9" w:rsidP="004E2F4B">
      <w:pPr>
        <w:pStyle w:val="VBAILTHeading2"/>
        <w:spacing w:before="0"/>
      </w:pPr>
      <w:r w:rsidRPr="000F626B">
        <w:t xml:space="preserve">Lesson </w:t>
      </w:r>
      <w:r w:rsidR="002D1DCE" w:rsidRPr="000F626B">
        <w:t>Overview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  <w:tblCaption w:val="Lesson overview table specifying the characteristics of the lesson"/>
      </w:tblPr>
      <w:tblGrid>
        <w:gridCol w:w="1908"/>
        <w:gridCol w:w="7452"/>
      </w:tblGrid>
      <w:tr w:rsidR="000F626B" w:rsidRPr="000F626B" w14:paraId="6B08C311" w14:textId="77777777" w:rsidTr="00EE6ADE">
        <w:trPr>
          <w:cantSplit/>
          <w:tblHeader/>
          <w:jc w:val="center"/>
        </w:trPr>
        <w:tc>
          <w:tcPr>
            <w:tcW w:w="1908" w:type="dxa"/>
            <w:shd w:val="clear" w:color="auto" w:fill="BDD6EE" w:themeFill="accent1" w:themeFillTint="66"/>
          </w:tcPr>
          <w:p w14:paraId="6B08C30F" w14:textId="77777777" w:rsidR="003B118F" w:rsidRPr="000F626B" w:rsidRDefault="003B118F" w:rsidP="003B118F">
            <w:pPr>
              <w:pStyle w:val="VBAILTTableHeading1"/>
            </w:pPr>
            <w:r w:rsidRPr="000F626B">
              <w:t>Topic</w:t>
            </w:r>
          </w:p>
        </w:tc>
        <w:tc>
          <w:tcPr>
            <w:tcW w:w="7452" w:type="dxa"/>
            <w:shd w:val="clear" w:color="auto" w:fill="BDD6EE" w:themeFill="accent1" w:themeFillTint="66"/>
          </w:tcPr>
          <w:p w14:paraId="6B08C310" w14:textId="77777777" w:rsidR="003B118F" w:rsidRPr="000F626B" w:rsidRDefault="003B118F" w:rsidP="003B118F">
            <w:pPr>
              <w:pStyle w:val="VBAILTTableHeading1"/>
            </w:pPr>
            <w:r w:rsidRPr="000F626B">
              <w:t>Description</w:t>
            </w:r>
          </w:p>
        </w:tc>
      </w:tr>
      <w:tr w:rsidR="000F626B" w:rsidRPr="000F626B" w14:paraId="6B08C314" w14:textId="77777777" w:rsidTr="00EE6ADE">
        <w:trPr>
          <w:cantSplit/>
          <w:jc w:val="center"/>
        </w:trPr>
        <w:tc>
          <w:tcPr>
            <w:tcW w:w="1908" w:type="dxa"/>
          </w:tcPr>
          <w:p w14:paraId="6B08C312" w14:textId="77777777" w:rsidR="00267BA2" w:rsidRPr="000F626B" w:rsidRDefault="00267BA2" w:rsidP="008508A5">
            <w:pPr>
              <w:pStyle w:val="VBAILTBody"/>
            </w:pPr>
            <w:r w:rsidRPr="000F626B">
              <w:t>Time Estimate</w:t>
            </w:r>
            <w:r w:rsidR="00077BE7" w:rsidRPr="000F626B">
              <w:t>:</w:t>
            </w:r>
          </w:p>
        </w:tc>
        <w:tc>
          <w:tcPr>
            <w:tcW w:w="7452" w:type="dxa"/>
          </w:tcPr>
          <w:p w14:paraId="6B08C313" w14:textId="0BE19184" w:rsidR="00267BA2" w:rsidRPr="000F626B" w:rsidRDefault="00345D2C" w:rsidP="008508A5">
            <w:pPr>
              <w:pStyle w:val="VBAILTBody"/>
            </w:pPr>
            <w:r w:rsidRPr="000F626B">
              <w:t>2</w:t>
            </w:r>
            <w:r w:rsidR="007F4916" w:rsidRPr="000F626B">
              <w:t xml:space="preserve"> hour</w:t>
            </w:r>
            <w:r w:rsidR="004A6323" w:rsidRPr="000F626B">
              <w:t>s</w:t>
            </w:r>
          </w:p>
        </w:tc>
      </w:tr>
      <w:tr w:rsidR="000F626B" w:rsidRPr="000F626B" w14:paraId="6B08C317" w14:textId="77777777" w:rsidTr="00EE6ADE">
        <w:trPr>
          <w:cantSplit/>
          <w:jc w:val="center"/>
        </w:trPr>
        <w:tc>
          <w:tcPr>
            <w:tcW w:w="1908" w:type="dxa"/>
          </w:tcPr>
          <w:p w14:paraId="6B08C315" w14:textId="77777777" w:rsidR="002D1DCE" w:rsidRPr="000F626B" w:rsidRDefault="00267BA2" w:rsidP="001262F7">
            <w:pPr>
              <w:pStyle w:val="VBAILTBody"/>
            </w:pPr>
            <w:r w:rsidRPr="000F626B">
              <w:t>Purpose of the Lesson:</w:t>
            </w:r>
          </w:p>
        </w:tc>
        <w:tc>
          <w:tcPr>
            <w:tcW w:w="7452" w:type="dxa"/>
          </w:tcPr>
          <w:p w14:paraId="6B08C316" w14:textId="4C4E1D94" w:rsidR="002D1DCE" w:rsidRPr="000F626B" w:rsidRDefault="007F4916" w:rsidP="00051DF2">
            <w:pPr>
              <w:pStyle w:val="VBAILTBody"/>
            </w:pPr>
            <w:r w:rsidRPr="000F626B">
              <w:t>This lesson is part of the entry-level curri</w:t>
            </w:r>
            <w:r w:rsidR="00316176" w:rsidRPr="000F626B">
              <w:t>culum, Core Course for PMC VSRs</w:t>
            </w:r>
            <w:r w:rsidRPr="000F626B">
              <w:t>.</w:t>
            </w:r>
            <w:r w:rsidR="00316176" w:rsidRPr="000F626B">
              <w:t xml:space="preserve"> </w:t>
            </w:r>
            <w:r w:rsidR="0012730C" w:rsidRPr="000F626B">
              <w:t>The purpose of this lesson is to pr</w:t>
            </w:r>
            <w:r w:rsidR="003146B9" w:rsidRPr="000F626B">
              <w:t>epare</w:t>
            </w:r>
            <w:r w:rsidR="0012730C" w:rsidRPr="000F626B">
              <w:t xml:space="preserve"> PMC VSRs to </w:t>
            </w:r>
            <w:r w:rsidR="00051DF2" w:rsidRPr="000F626B">
              <w:t>process an award action.</w:t>
            </w:r>
          </w:p>
        </w:tc>
      </w:tr>
      <w:tr w:rsidR="000F626B" w:rsidRPr="000F626B" w14:paraId="6B08C31F" w14:textId="77777777" w:rsidTr="00EE6ADE">
        <w:trPr>
          <w:cantSplit/>
          <w:jc w:val="center"/>
        </w:trPr>
        <w:tc>
          <w:tcPr>
            <w:tcW w:w="1908" w:type="dxa"/>
          </w:tcPr>
          <w:p w14:paraId="6B08C318" w14:textId="77777777" w:rsidR="002D1DCE" w:rsidRPr="000F626B" w:rsidRDefault="001262F7" w:rsidP="001262F7">
            <w:pPr>
              <w:pStyle w:val="VBAILTBody"/>
            </w:pPr>
            <w:r w:rsidRPr="000F626B">
              <w:t>Prerequisite Training Requirements:</w:t>
            </w:r>
          </w:p>
        </w:tc>
        <w:tc>
          <w:tcPr>
            <w:tcW w:w="7452" w:type="dxa"/>
          </w:tcPr>
          <w:p w14:paraId="6B08C31E" w14:textId="59B83492" w:rsidR="00B2304D" w:rsidRPr="000F626B" w:rsidRDefault="007F4916" w:rsidP="00051DF2">
            <w:pPr>
              <w:pStyle w:val="VBAILTBody"/>
            </w:pPr>
            <w:r w:rsidRPr="000F626B">
              <w:t xml:space="preserve">Prior to taking the </w:t>
            </w:r>
            <w:r w:rsidR="00051DF2" w:rsidRPr="000F626B">
              <w:t xml:space="preserve">Overview of the Award Process </w:t>
            </w:r>
            <w:r w:rsidRPr="000F626B">
              <w:t>lesson, trainees mus</w:t>
            </w:r>
            <w:r w:rsidR="00316176" w:rsidRPr="000F626B">
              <w:t>t complete</w:t>
            </w:r>
            <w:r w:rsidR="003F0F45" w:rsidRPr="000F626B">
              <w:t xml:space="preserve"> </w:t>
            </w:r>
            <w:r w:rsidR="001D66B9" w:rsidRPr="000F626B">
              <w:t>PMC VSR Core Course Phase</w:t>
            </w:r>
            <w:r w:rsidR="0031386D" w:rsidRPr="000F626B">
              <w:t>s</w:t>
            </w:r>
            <w:r w:rsidR="001D66B9" w:rsidRPr="000F626B">
              <w:t xml:space="preserve"> 1</w:t>
            </w:r>
            <w:r w:rsidR="0031386D" w:rsidRPr="000F626B">
              <w:t>–</w:t>
            </w:r>
            <w:r w:rsidR="00957BCA">
              <w:t>5.2.</w:t>
            </w:r>
            <w:r w:rsidR="00E85F86" w:rsidRPr="000F626B">
              <w:t xml:space="preserve"> </w:t>
            </w:r>
          </w:p>
        </w:tc>
      </w:tr>
      <w:tr w:rsidR="000F626B" w:rsidRPr="000F626B" w14:paraId="6B08C322" w14:textId="77777777" w:rsidTr="00EE6ADE">
        <w:trPr>
          <w:cantSplit/>
          <w:jc w:val="center"/>
        </w:trPr>
        <w:tc>
          <w:tcPr>
            <w:tcW w:w="1908" w:type="dxa"/>
          </w:tcPr>
          <w:p w14:paraId="3256765A" w14:textId="4047C5B7" w:rsidR="001262F7" w:rsidRPr="000F626B" w:rsidRDefault="001262F7" w:rsidP="002A3EB4">
            <w:pPr>
              <w:pStyle w:val="VBAILTBody"/>
            </w:pPr>
            <w:r w:rsidRPr="000F626B">
              <w:t>Target Audience:</w:t>
            </w:r>
          </w:p>
        </w:tc>
        <w:tc>
          <w:tcPr>
            <w:tcW w:w="7452" w:type="dxa"/>
          </w:tcPr>
          <w:p w14:paraId="2C3DA8A4" w14:textId="140EC2AF" w:rsidR="001262F7" w:rsidRPr="000F626B" w:rsidRDefault="007F4916" w:rsidP="002A3EB4">
            <w:pPr>
              <w:pStyle w:val="VBAILTBody"/>
            </w:pPr>
            <w:r w:rsidRPr="000F626B">
              <w:t xml:space="preserve">This lesson is for </w:t>
            </w:r>
            <w:r w:rsidR="0031386D" w:rsidRPr="000F626B">
              <w:t>entry-</w:t>
            </w:r>
            <w:r w:rsidRPr="000F626B">
              <w:t>level PMC VSRs.</w:t>
            </w:r>
          </w:p>
        </w:tc>
      </w:tr>
      <w:tr w:rsidR="00E45494" w:rsidRPr="000F626B" w14:paraId="6B08C32A" w14:textId="77777777" w:rsidTr="00EE6ADE">
        <w:trPr>
          <w:cantSplit/>
          <w:jc w:val="center"/>
        </w:trPr>
        <w:tc>
          <w:tcPr>
            <w:tcW w:w="1908" w:type="dxa"/>
          </w:tcPr>
          <w:p w14:paraId="6B08C323" w14:textId="77777777" w:rsidR="00E45494" w:rsidRPr="000F626B" w:rsidRDefault="00E45494" w:rsidP="00E45494">
            <w:pPr>
              <w:pStyle w:val="VBAILTBody"/>
            </w:pPr>
            <w:r w:rsidRPr="000F626B">
              <w:lastRenderedPageBreak/>
              <w:t>Lesson References:</w:t>
            </w:r>
          </w:p>
        </w:tc>
        <w:tc>
          <w:tcPr>
            <w:tcW w:w="7452" w:type="dxa"/>
          </w:tcPr>
          <w:p w14:paraId="3B6F9475" w14:textId="77777777" w:rsidR="00E45494" w:rsidRPr="00D660D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D660D4">
              <w:t>Compensation and Pension Knowledge Management (CPKM)</w:t>
            </w:r>
          </w:p>
          <w:p w14:paraId="429F2931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>
              <w:t>38 CFR 3.106 (Renouncement)</w:t>
            </w:r>
          </w:p>
          <w:p w14:paraId="6EFC0AB9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0F626B">
              <w:t xml:space="preserve">M21-1 </w:t>
            </w:r>
            <w:bookmarkStart w:id="0" w:name="_Hlk97645313"/>
            <w:r w:rsidRPr="002F09C3">
              <w:t xml:space="preserve">VI.i.1.A. </w:t>
            </w:r>
            <w:r w:rsidRPr="000F626B">
              <w:t>(Decision Authorization)</w:t>
            </w:r>
            <w:bookmarkEnd w:id="0"/>
          </w:p>
          <w:p w14:paraId="563457D0" w14:textId="77777777" w:rsidR="00E45494" w:rsidRDefault="00E45494" w:rsidP="00E45494">
            <w:pPr>
              <w:pStyle w:val="VBAILTBullet2"/>
              <w:numPr>
                <w:ilvl w:val="1"/>
                <w:numId w:val="1"/>
              </w:numPr>
            </w:pPr>
            <w:r>
              <w:t xml:space="preserve">M21-1 </w:t>
            </w:r>
            <w:r w:rsidRPr="003D6070">
              <w:t xml:space="preserve">VI.i.1.A.1.a. </w:t>
            </w:r>
            <w:r>
              <w:t>(</w:t>
            </w:r>
            <w:r w:rsidRPr="00924943">
              <w:t>Final Stage in Adjudicating a Claim</w:t>
            </w:r>
            <w:r>
              <w:t>)</w:t>
            </w:r>
          </w:p>
          <w:p w14:paraId="3119A31A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80CCB">
              <w:t>M21-1</w:t>
            </w:r>
            <w:r w:rsidRPr="00683E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D6070">
              <w:t xml:space="preserve">VI.i.1.A.1.b. </w:t>
            </w:r>
            <w:r>
              <w:t>(</w:t>
            </w:r>
            <w:r w:rsidRPr="00683E9D">
              <w:t>Responsibility for Awarding or Denying Benefits</w:t>
            </w:r>
            <w:r>
              <w:t>)</w:t>
            </w:r>
          </w:p>
          <w:p w14:paraId="3F92DC6F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bookmarkStart w:id="1" w:name="_Hlk97646711"/>
            <w:r w:rsidRPr="00756EEF">
              <w:t xml:space="preserve">VI.i.1.A.2. </w:t>
            </w:r>
            <w:r w:rsidRPr="000F626B">
              <w:t>(General Information on Processing Decisions)</w:t>
            </w:r>
            <w:bookmarkEnd w:id="1"/>
          </w:p>
          <w:p w14:paraId="001F6CD0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r w:rsidRPr="00756EEF">
              <w:t xml:space="preserve">VI.i.1.A.2.c. </w:t>
            </w:r>
            <w:r w:rsidRPr="000F626B">
              <w:t>(Award Processing Responsibilities)</w:t>
            </w:r>
          </w:p>
          <w:p w14:paraId="509E1CE9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r w:rsidRPr="00756EEF">
              <w:t>VI.i.1.A.3.</w:t>
            </w:r>
            <w:r>
              <w:t xml:space="preserve"> </w:t>
            </w:r>
            <w:r w:rsidRPr="000F626B">
              <w:t>(General Information on Denials)</w:t>
            </w:r>
          </w:p>
          <w:p w14:paraId="5CC7FD12" w14:textId="77777777" w:rsidR="00E45494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r w:rsidRPr="00504548">
              <w:t xml:space="preserve">VI.i.1.A.3.a. </w:t>
            </w:r>
            <w:r w:rsidRPr="000F626B">
              <w:t>(Definition: Denial)</w:t>
            </w:r>
          </w:p>
          <w:p w14:paraId="7F448F60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>
              <w:t xml:space="preserve">M21-1 </w:t>
            </w:r>
            <w:bookmarkStart w:id="2" w:name="_Hlk97648735"/>
            <w:r w:rsidRPr="00D76F88">
              <w:t xml:space="preserve">VI.i.1.A.2.d. </w:t>
            </w:r>
            <w:r>
              <w:t>(</w:t>
            </w:r>
            <w:r w:rsidRPr="00D76F88">
              <w:t>Circumstances Under Which a VSR May Authorize His/Her Own Award Action</w:t>
            </w:r>
            <w:r>
              <w:t>)</w:t>
            </w:r>
          </w:p>
          <w:bookmarkEnd w:id="2"/>
          <w:p w14:paraId="043D4F0A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bookmarkStart w:id="3" w:name="_Hlk97649221"/>
            <w:r w:rsidRPr="00D76F88">
              <w:t>VI.i.1.A.4.</w:t>
            </w:r>
            <w:r>
              <w:t xml:space="preserve"> </w:t>
            </w:r>
            <w:r w:rsidRPr="000F626B">
              <w:t>(Denials Based on a Claimant’s Failure to Furnish Requested Evidence)</w:t>
            </w:r>
            <w:bookmarkEnd w:id="3"/>
          </w:p>
          <w:p w14:paraId="3F0DDB2B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0F626B">
              <w:t xml:space="preserve">M21-1 </w:t>
            </w:r>
            <w:bookmarkStart w:id="4" w:name="_Hlk97650288"/>
            <w:r w:rsidRPr="00E80322">
              <w:t xml:space="preserve">VI.i.1.B. </w:t>
            </w:r>
            <w:r w:rsidRPr="000F626B">
              <w:t>(Decision Notices)</w:t>
            </w:r>
            <w:bookmarkEnd w:id="4"/>
          </w:p>
          <w:p w14:paraId="119DE4BA" w14:textId="77777777" w:rsidR="00E45494" w:rsidRDefault="00E45494" w:rsidP="00E45494">
            <w:pPr>
              <w:pStyle w:val="VBAILTBullet2"/>
              <w:numPr>
                <w:ilvl w:val="1"/>
                <w:numId w:val="1"/>
              </w:numPr>
            </w:pPr>
            <w:r>
              <w:t xml:space="preserve">M21-1 </w:t>
            </w:r>
            <w:bookmarkStart w:id="5" w:name="_Hlk97650326"/>
            <w:r w:rsidRPr="00E80322">
              <w:t xml:space="preserve">VI.i.1.B.1.b. </w:t>
            </w:r>
            <w:r>
              <w:t xml:space="preserve">(Decision Notice Requirements) </w:t>
            </w:r>
            <w:bookmarkEnd w:id="5"/>
          </w:p>
          <w:p w14:paraId="715C80D2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B32519">
              <w:t xml:space="preserve">M21-1 </w:t>
            </w:r>
            <w:bookmarkStart w:id="6" w:name="_Hlk97650805"/>
            <w:r w:rsidRPr="002E73C9">
              <w:t xml:space="preserve">X.iv.4. </w:t>
            </w:r>
            <w:r w:rsidRPr="00B32519">
              <w:t>(Renouncements)</w:t>
            </w:r>
            <w:bookmarkEnd w:id="6"/>
          </w:p>
          <w:p w14:paraId="04C6DC8C" w14:textId="77777777" w:rsidR="00E45494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bookmarkStart w:id="7" w:name="_Hlk97650836"/>
            <w:r w:rsidRPr="002E73C9">
              <w:t>X.iv.4.1</w:t>
            </w:r>
            <w:r>
              <w:t>.</w:t>
            </w:r>
            <w:r w:rsidRPr="002E73C9">
              <w:t xml:space="preserve"> </w:t>
            </w:r>
            <w:r w:rsidRPr="000F626B">
              <w:t>(General Information About Renouncement)</w:t>
            </w:r>
            <w:bookmarkEnd w:id="7"/>
          </w:p>
          <w:p w14:paraId="5C079BD5" w14:textId="77777777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663F92">
              <w:t xml:space="preserve">M21-1 </w:t>
            </w:r>
            <w:bookmarkStart w:id="8" w:name="_Hlk97650875"/>
            <w:r w:rsidRPr="002E73C9">
              <w:t xml:space="preserve">X.iv.4.1.b. </w:t>
            </w:r>
            <w:r>
              <w:t>(</w:t>
            </w:r>
            <w:r w:rsidRPr="00663F92">
              <w:t>Acceptable Means of Renouncing the Right to a Benefit</w:t>
            </w:r>
            <w:r>
              <w:t>)</w:t>
            </w:r>
          </w:p>
          <w:bookmarkEnd w:id="8"/>
          <w:p w14:paraId="2AF22454" w14:textId="77777777" w:rsidR="00E45494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M21-1 </w:t>
            </w:r>
            <w:bookmarkStart w:id="9" w:name="_Hlk97651402"/>
            <w:r>
              <w:t>X.iv.4.3.c.</w:t>
            </w:r>
            <w:r w:rsidRPr="000F626B">
              <w:t xml:space="preserve"> (System Entries for Discontinuing an Award) </w:t>
            </w:r>
            <w:bookmarkEnd w:id="9"/>
          </w:p>
          <w:p w14:paraId="26687E36" w14:textId="77777777" w:rsidR="00E45494" w:rsidRPr="00B925C7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B925C7">
              <w:t xml:space="preserve">M21-1 </w:t>
            </w:r>
            <w:bookmarkStart w:id="10" w:name="_Hlk97651436"/>
            <w:r w:rsidRPr="00243411">
              <w:t xml:space="preserve">X.iv.4.3.d. </w:t>
            </w:r>
            <w:r w:rsidRPr="00B925C7">
              <w:t>(Notification of Renouncement of the Right to Pension or Parents DIC)</w:t>
            </w:r>
            <w:bookmarkEnd w:id="10"/>
          </w:p>
          <w:p w14:paraId="11BEB357" w14:textId="77777777" w:rsidR="00E45494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B925C7">
              <w:t xml:space="preserve">M21-1 </w:t>
            </w:r>
            <w:bookmarkStart w:id="11" w:name="_Hlk97651480"/>
            <w:r w:rsidRPr="00243411">
              <w:t xml:space="preserve">X.iv.4.3.e. </w:t>
            </w:r>
            <w:r w:rsidRPr="00B925C7">
              <w:t>(Notification of Renouncement of the Right to Benefits Other Than Pension or Parents DIC</w:t>
            </w:r>
            <w:bookmarkEnd w:id="11"/>
            <w:r w:rsidRPr="00B925C7">
              <w:t>)</w:t>
            </w:r>
          </w:p>
          <w:p w14:paraId="5BF2BC4A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B8603C">
              <w:rPr>
                <w:b/>
              </w:rPr>
              <w:t>Annotate the Award</w:t>
            </w:r>
            <w:r w:rsidRPr="00AB19CE">
              <w:t xml:space="preserve"> job aid</w:t>
            </w:r>
          </w:p>
          <w:p w14:paraId="0A2E38C1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B8603C">
              <w:rPr>
                <w:b/>
              </w:rPr>
              <w:t>Processing an Award Adjustment</w:t>
            </w:r>
            <w:r>
              <w:t xml:space="preserve"> job aid</w:t>
            </w:r>
          </w:p>
          <w:p w14:paraId="2A43FDBC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B8603C">
              <w:rPr>
                <w:b/>
              </w:rPr>
              <w:t>Processing an Award Renouncement</w:t>
            </w:r>
            <w:r>
              <w:t xml:space="preserve"> job aid</w:t>
            </w:r>
          </w:p>
          <w:p w14:paraId="0D69E2ED" w14:textId="77777777" w:rsidR="00E45494" w:rsidRPr="008145ED" w:rsidRDefault="00E45494" w:rsidP="00E45494">
            <w:pPr>
              <w:pStyle w:val="VBAILTbullet1"/>
              <w:numPr>
                <w:ilvl w:val="0"/>
                <w:numId w:val="1"/>
              </w:numPr>
            </w:pPr>
            <w:r w:rsidRPr="00B8603C">
              <w:rPr>
                <w:b/>
              </w:rPr>
              <w:lastRenderedPageBreak/>
              <w:t>Processing a Denial of Benefits</w:t>
            </w:r>
            <w:r>
              <w:t xml:space="preserve"> </w:t>
            </w:r>
            <w:r w:rsidRPr="008145ED">
              <w:t>job aid</w:t>
            </w:r>
          </w:p>
          <w:p w14:paraId="6B08C329" w14:textId="32335878" w:rsidR="00E45494" w:rsidRPr="000F626B" w:rsidRDefault="00E45494" w:rsidP="00E45494">
            <w:pPr>
              <w:pStyle w:val="VBAILTbullet1"/>
            </w:pPr>
            <w:r w:rsidRPr="00B8603C">
              <w:rPr>
                <w:b/>
              </w:rPr>
              <w:t>Processing a Grant of Benefits</w:t>
            </w:r>
            <w:r w:rsidRPr="001D67BD">
              <w:t xml:space="preserve"> </w:t>
            </w:r>
            <w:r w:rsidRPr="002608CC">
              <w:t>job aid</w:t>
            </w:r>
          </w:p>
        </w:tc>
      </w:tr>
      <w:tr w:rsidR="000F626B" w:rsidRPr="000F626B" w14:paraId="6B08C32E" w14:textId="77777777" w:rsidTr="00EE6ADE">
        <w:trPr>
          <w:cantSplit/>
          <w:jc w:val="center"/>
        </w:trPr>
        <w:tc>
          <w:tcPr>
            <w:tcW w:w="1908" w:type="dxa"/>
          </w:tcPr>
          <w:p w14:paraId="6B08C32B" w14:textId="2320F6E4" w:rsidR="00955506" w:rsidRPr="000F626B" w:rsidRDefault="00955506" w:rsidP="001262F7">
            <w:pPr>
              <w:pStyle w:val="VBAILTBody"/>
            </w:pPr>
            <w:r w:rsidRPr="000F626B">
              <w:lastRenderedPageBreak/>
              <w:t>Technical Competencies</w:t>
            </w:r>
            <w:r w:rsidR="003F03A3" w:rsidRPr="000F626B">
              <w:t>:</w:t>
            </w:r>
          </w:p>
        </w:tc>
        <w:tc>
          <w:tcPr>
            <w:tcW w:w="7452" w:type="dxa"/>
          </w:tcPr>
          <w:p w14:paraId="19FEEF0C" w14:textId="77777777" w:rsidR="00345D2C" w:rsidRPr="000F626B" w:rsidRDefault="00345D2C" w:rsidP="00345D2C">
            <w:pPr>
              <w:pStyle w:val="VBAILTBody"/>
              <w:numPr>
                <w:ilvl w:val="0"/>
                <w:numId w:val="3"/>
              </w:numPr>
            </w:pPr>
            <w:r w:rsidRPr="000F626B">
              <w:t>Processing Claims (PMC VSR)</w:t>
            </w:r>
          </w:p>
          <w:p w14:paraId="64256963" w14:textId="7CF298B2" w:rsidR="00345D2C" w:rsidRPr="000F626B" w:rsidRDefault="00345D2C" w:rsidP="00345D2C">
            <w:pPr>
              <w:pStyle w:val="VBAILTBody"/>
              <w:numPr>
                <w:ilvl w:val="0"/>
                <w:numId w:val="3"/>
              </w:numPr>
            </w:pPr>
            <w:r w:rsidRPr="000F626B">
              <w:t>Special Monthly P</w:t>
            </w:r>
            <w:r w:rsidR="00120D1F" w:rsidRPr="000F626B">
              <w:t>ension</w:t>
            </w:r>
            <w:r w:rsidRPr="000F626B">
              <w:t xml:space="preserve"> (SMP) Processing </w:t>
            </w:r>
          </w:p>
          <w:p w14:paraId="6B08C32D" w14:textId="0A48E67E" w:rsidR="0031624E" w:rsidRPr="000F626B" w:rsidRDefault="00345D2C" w:rsidP="00345D2C">
            <w:pPr>
              <w:pStyle w:val="VBAILTBody"/>
              <w:numPr>
                <w:ilvl w:val="0"/>
                <w:numId w:val="3"/>
              </w:numPr>
            </w:pPr>
            <w:r w:rsidRPr="000F626B">
              <w:t>VBA Applications (PMC VSR)</w:t>
            </w:r>
          </w:p>
        </w:tc>
      </w:tr>
      <w:tr w:rsidR="000F626B" w:rsidRPr="000F626B" w14:paraId="6B08C331" w14:textId="77777777" w:rsidTr="00EE6ADE">
        <w:trPr>
          <w:cantSplit/>
          <w:jc w:val="center"/>
        </w:trPr>
        <w:tc>
          <w:tcPr>
            <w:tcW w:w="1908" w:type="dxa"/>
          </w:tcPr>
          <w:p w14:paraId="6B08C32F" w14:textId="56694E99" w:rsidR="001D1340" w:rsidRPr="000F626B" w:rsidRDefault="002D7FF3" w:rsidP="001D1340">
            <w:pPr>
              <w:pStyle w:val="VBAILTBody"/>
            </w:pPr>
            <w:r w:rsidRPr="000F626B">
              <w:t>Knowledge Check</w:t>
            </w:r>
            <w:r w:rsidR="003F03A3" w:rsidRPr="000F626B">
              <w:t>:</w:t>
            </w:r>
          </w:p>
        </w:tc>
        <w:tc>
          <w:tcPr>
            <w:tcW w:w="7452" w:type="dxa"/>
          </w:tcPr>
          <w:p w14:paraId="6B08C330" w14:textId="69AE8DF0" w:rsidR="001D1340" w:rsidRPr="000F626B" w:rsidRDefault="00957BCA" w:rsidP="00135DF7">
            <w:pPr>
              <w:pStyle w:val="VBAILTBody"/>
            </w:pPr>
            <w:r>
              <w:t>Phase 5.3 Overview of the Award Process Knowledge Check</w:t>
            </w:r>
          </w:p>
        </w:tc>
      </w:tr>
      <w:tr w:rsidR="000F626B" w:rsidRPr="000F626B" w14:paraId="6B08C338" w14:textId="77777777" w:rsidTr="00EE6ADE">
        <w:trPr>
          <w:cantSplit/>
          <w:jc w:val="center"/>
        </w:trPr>
        <w:tc>
          <w:tcPr>
            <w:tcW w:w="1908" w:type="dxa"/>
          </w:tcPr>
          <w:p w14:paraId="6B08C332" w14:textId="77777777" w:rsidR="002D1DCE" w:rsidRPr="000F626B" w:rsidRDefault="001262F7" w:rsidP="001262F7">
            <w:pPr>
              <w:pStyle w:val="VBAILTBody"/>
            </w:pPr>
            <w:r w:rsidRPr="000F626B">
              <w:t>Lesson Objectives:</w:t>
            </w:r>
          </w:p>
        </w:tc>
        <w:tc>
          <w:tcPr>
            <w:tcW w:w="7452" w:type="dxa"/>
          </w:tcPr>
          <w:p w14:paraId="6C102040" w14:textId="1AF60777" w:rsidR="00957BCA" w:rsidRDefault="00957BCA" w:rsidP="00957BCA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>
              <w:t>By the end of this lesson, you should be able to:</w:t>
            </w:r>
          </w:p>
          <w:p w14:paraId="304AC619" w14:textId="661FC687" w:rsidR="00437E75" w:rsidRPr="000F626B" w:rsidRDefault="00120D1F" w:rsidP="00120D1F">
            <w:pPr>
              <w:pStyle w:val="VBAILTbullet1"/>
            </w:pPr>
            <w:r w:rsidRPr="000F626B">
              <w:t xml:space="preserve">Describe how to </w:t>
            </w:r>
            <w:r w:rsidR="00026140" w:rsidRPr="000F626B">
              <w:t>prepar</w:t>
            </w:r>
            <w:r w:rsidR="001649ED" w:rsidRPr="000F626B">
              <w:t xml:space="preserve">e </w:t>
            </w:r>
            <w:r w:rsidR="00026140" w:rsidRPr="000F626B">
              <w:t xml:space="preserve">an </w:t>
            </w:r>
            <w:r w:rsidR="001649ED" w:rsidRPr="000F626B">
              <w:t>award action</w:t>
            </w:r>
          </w:p>
          <w:p w14:paraId="094C0256" w14:textId="4E219DB3" w:rsidR="00C146F2" w:rsidRPr="000F626B" w:rsidRDefault="00C146F2" w:rsidP="00E45494">
            <w:pPr>
              <w:pStyle w:val="VBAILTbullet1"/>
            </w:pPr>
            <w:r w:rsidRPr="000F626B">
              <w:t>Describe the responsibilities on award action for all decisions</w:t>
            </w:r>
          </w:p>
          <w:p w14:paraId="6E8BFACE" w14:textId="28FC90DB" w:rsidR="00C146F2" w:rsidRPr="000F626B" w:rsidRDefault="00C146F2" w:rsidP="00E45494">
            <w:pPr>
              <w:pStyle w:val="VBAILTbullet1"/>
            </w:pPr>
            <w:r w:rsidRPr="000F626B">
              <w:t xml:space="preserve">Describe the common steps for processing a grant </w:t>
            </w:r>
            <w:r w:rsidR="00E75F1D" w:rsidRPr="000F626B">
              <w:t xml:space="preserve">of </w:t>
            </w:r>
            <w:r w:rsidRPr="000F626B">
              <w:t>benefits</w:t>
            </w:r>
          </w:p>
          <w:p w14:paraId="12145492" w14:textId="7C4DECB5" w:rsidR="00345D2C" w:rsidRPr="000F626B" w:rsidRDefault="00C146F2" w:rsidP="00E45494">
            <w:pPr>
              <w:pStyle w:val="VBAILTbullet1"/>
            </w:pPr>
            <w:r w:rsidRPr="000F626B">
              <w:t>Describe the common steps for processing a denial of benefits</w:t>
            </w:r>
          </w:p>
          <w:p w14:paraId="603B507A" w14:textId="547EE313" w:rsidR="006262D2" w:rsidRPr="000F626B" w:rsidRDefault="006262D2" w:rsidP="00E45494">
            <w:pPr>
              <w:pStyle w:val="VBAILTbullet1"/>
            </w:pPr>
            <w:r w:rsidRPr="000F626B">
              <w:t>Describe the common steps for processing an award adjustment</w:t>
            </w:r>
          </w:p>
          <w:p w14:paraId="6B08C337" w14:textId="22DA2B8B" w:rsidR="00C146F2" w:rsidRPr="000F626B" w:rsidRDefault="00C146F2" w:rsidP="00E45494">
            <w:pPr>
              <w:pStyle w:val="VBAILTbullet1"/>
            </w:pPr>
            <w:r w:rsidRPr="000F626B">
              <w:t>Describe the common steps for processing a renouncement</w:t>
            </w:r>
          </w:p>
        </w:tc>
      </w:tr>
      <w:tr w:rsidR="00267BA2" w:rsidRPr="000F626B" w14:paraId="6B08C341" w14:textId="77777777" w:rsidTr="00EE6ADE">
        <w:trPr>
          <w:cantSplit/>
          <w:jc w:val="center"/>
        </w:trPr>
        <w:tc>
          <w:tcPr>
            <w:tcW w:w="1908" w:type="dxa"/>
          </w:tcPr>
          <w:p w14:paraId="6B08C339" w14:textId="77777777" w:rsidR="00267BA2" w:rsidRPr="000F626B" w:rsidRDefault="00267BA2" w:rsidP="001262F7">
            <w:pPr>
              <w:pStyle w:val="VBAILTBody"/>
            </w:pPr>
            <w:r w:rsidRPr="000F626B">
              <w:t>What You Need:</w:t>
            </w:r>
          </w:p>
        </w:tc>
        <w:tc>
          <w:tcPr>
            <w:tcW w:w="7452" w:type="dxa"/>
          </w:tcPr>
          <w:p w14:paraId="6B08C33A" w14:textId="73082C25" w:rsidR="00C4515C" w:rsidRDefault="001934F5" w:rsidP="00C146F2">
            <w:pPr>
              <w:pStyle w:val="VBAILTbullet1"/>
            </w:pPr>
            <w:r w:rsidRPr="000F626B">
              <w:t>Trainee Guide</w:t>
            </w:r>
          </w:p>
          <w:p w14:paraId="012AA5A5" w14:textId="77777777" w:rsidR="00D04E86" w:rsidRPr="000F626B" w:rsidRDefault="00D04E86" w:rsidP="00D04E86">
            <w:pPr>
              <w:pStyle w:val="VBAILTbullet1"/>
            </w:pPr>
            <w:r w:rsidRPr="000F626B">
              <w:t xml:space="preserve">Access to CPKM </w:t>
            </w:r>
          </w:p>
          <w:p w14:paraId="5AC58833" w14:textId="753DEB85" w:rsidR="003623B8" w:rsidRPr="000F626B" w:rsidRDefault="003623B8" w:rsidP="00C146F2">
            <w:pPr>
              <w:pStyle w:val="VBAILTbullet1"/>
            </w:pPr>
            <w:r w:rsidRPr="000F626B">
              <w:t xml:space="preserve">Access to </w:t>
            </w:r>
            <w:r w:rsidR="00327101">
              <w:t>the following job aids from VSR Assistant</w:t>
            </w:r>
            <w:r w:rsidRPr="000F626B">
              <w:t>:</w:t>
            </w:r>
          </w:p>
          <w:p w14:paraId="4F7B0316" w14:textId="0B016912" w:rsidR="00C146F2" w:rsidRPr="000F626B" w:rsidRDefault="00831682" w:rsidP="00C146F2">
            <w:pPr>
              <w:pStyle w:val="VBAILTBullet2"/>
            </w:pPr>
            <w:r w:rsidRPr="000F626B">
              <w:rPr>
                <w:b/>
              </w:rPr>
              <w:t xml:space="preserve">Processing a </w:t>
            </w:r>
            <w:r w:rsidR="00C146F2" w:rsidRPr="000F626B">
              <w:rPr>
                <w:b/>
              </w:rPr>
              <w:t>Grant</w:t>
            </w:r>
            <w:r w:rsidR="00FD666B" w:rsidRPr="000F626B">
              <w:rPr>
                <w:b/>
              </w:rPr>
              <w:t xml:space="preserve"> of</w:t>
            </w:r>
            <w:r w:rsidR="00C146F2" w:rsidRPr="000F626B">
              <w:rPr>
                <w:b/>
              </w:rPr>
              <w:t xml:space="preserve"> Benefits</w:t>
            </w:r>
            <w:r w:rsidR="00C146F2" w:rsidRPr="000F626B">
              <w:t xml:space="preserve"> job aid</w:t>
            </w:r>
          </w:p>
          <w:p w14:paraId="3D324D9E" w14:textId="4542CDBD" w:rsidR="00C146F2" w:rsidRPr="000F626B" w:rsidRDefault="008145ED" w:rsidP="00C146F2">
            <w:pPr>
              <w:pStyle w:val="VBAILTBullet2"/>
            </w:pPr>
            <w:r w:rsidRPr="000F626B">
              <w:rPr>
                <w:b/>
              </w:rPr>
              <w:t xml:space="preserve">Processing a Denial of Benefits </w:t>
            </w:r>
            <w:r w:rsidRPr="000F626B">
              <w:t>job aid</w:t>
            </w:r>
          </w:p>
          <w:p w14:paraId="5BCD9AF9" w14:textId="286C8AD1" w:rsidR="005629B0" w:rsidRPr="000F626B" w:rsidRDefault="00831682" w:rsidP="00C146F2">
            <w:pPr>
              <w:pStyle w:val="VBAILTBullet2"/>
            </w:pPr>
            <w:r w:rsidRPr="000F626B">
              <w:rPr>
                <w:b/>
              </w:rPr>
              <w:t>Processing an Award Adjustment</w:t>
            </w:r>
            <w:r w:rsidR="005629B0" w:rsidRPr="000F626B">
              <w:t xml:space="preserve"> job aid</w:t>
            </w:r>
          </w:p>
          <w:p w14:paraId="0B4B4587" w14:textId="77777777" w:rsidR="00AD5816" w:rsidRDefault="00DB1C6E" w:rsidP="001934F5">
            <w:pPr>
              <w:pStyle w:val="VBAILTBullet2"/>
            </w:pPr>
            <w:r w:rsidRPr="000F626B">
              <w:rPr>
                <w:b/>
              </w:rPr>
              <w:t>Processing an Award Renouncement</w:t>
            </w:r>
            <w:r w:rsidRPr="000F626B">
              <w:t xml:space="preserve"> job aid</w:t>
            </w:r>
          </w:p>
          <w:p w14:paraId="60DBD0F8" w14:textId="77777777" w:rsidR="00F27D6B" w:rsidRDefault="00F27D6B" w:rsidP="00F27D6B">
            <w:pPr>
              <w:pStyle w:val="VBAILTBullet2"/>
            </w:pPr>
            <w:r w:rsidRPr="00F27D6B">
              <w:rPr>
                <w:b/>
              </w:rPr>
              <w:t>Annotate the Award</w:t>
            </w:r>
            <w:r w:rsidRPr="00F27D6B">
              <w:t xml:space="preserve"> job aid</w:t>
            </w:r>
          </w:p>
          <w:p w14:paraId="6B08C340" w14:textId="5EC52FB1" w:rsidR="007E3DC0" w:rsidRPr="007E3DC0" w:rsidRDefault="007E3DC0" w:rsidP="00F27D6B">
            <w:pPr>
              <w:pStyle w:val="VBAILTBullet2"/>
              <w:rPr>
                <w:b/>
                <w:bCs/>
              </w:rPr>
            </w:pPr>
            <w:r w:rsidRPr="007E3DC0">
              <w:rPr>
                <w:b/>
                <w:bCs/>
              </w:rPr>
              <w:t>Appendix A – Overview of the Award Process</w:t>
            </w:r>
          </w:p>
        </w:tc>
      </w:tr>
    </w:tbl>
    <w:p w14:paraId="31B9F0E8" w14:textId="1C1D41D9" w:rsidR="00AA4992" w:rsidRPr="000F626B" w:rsidRDefault="00AA4992" w:rsidP="000C5029">
      <w:pPr>
        <w:rPr>
          <w:rFonts w:ascii="Verdana" w:hAnsi="Verdana"/>
        </w:rPr>
      </w:pPr>
    </w:p>
    <w:tbl>
      <w:tblPr>
        <w:tblStyle w:val="TableGrid"/>
        <w:tblW w:w="10081" w:type="dxa"/>
        <w:jc w:val="center"/>
        <w:tblLayout w:type="fixed"/>
        <w:tblLook w:val="04A0" w:firstRow="1" w:lastRow="0" w:firstColumn="1" w:lastColumn="0" w:noHBand="0" w:noVBand="1"/>
        <w:tblCaption w:val="Lesson plan table specifying individual PowerPoint slide content and related instructor activities/guidance"/>
      </w:tblPr>
      <w:tblGrid>
        <w:gridCol w:w="4135"/>
        <w:gridCol w:w="5940"/>
        <w:gridCol w:w="6"/>
      </w:tblGrid>
      <w:tr w:rsidR="000F626B" w:rsidRPr="000F626B" w14:paraId="6B08C346" w14:textId="77777777" w:rsidTr="00ED4AB7">
        <w:trPr>
          <w:cantSplit/>
          <w:tblHeader/>
          <w:jc w:val="center"/>
        </w:trPr>
        <w:tc>
          <w:tcPr>
            <w:tcW w:w="4135" w:type="dxa"/>
            <w:tcBorders>
              <w:right w:val="dashSmallGap" w:sz="4" w:space="0" w:color="auto"/>
            </w:tcBorders>
            <w:shd w:val="clear" w:color="auto" w:fill="BDD6EE" w:themeFill="accent1" w:themeFillTint="66"/>
          </w:tcPr>
          <w:p w14:paraId="6B08C344" w14:textId="77777777" w:rsidR="00AA4992" w:rsidRPr="000F626B" w:rsidRDefault="00AA4992" w:rsidP="008508A5">
            <w:pPr>
              <w:pStyle w:val="VBAILTTableHeading1"/>
            </w:pPr>
            <w:r w:rsidRPr="000F626B">
              <w:lastRenderedPageBreak/>
              <w:t>PowerPoint Slides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  <w:shd w:val="clear" w:color="auto" w:fill="BDD6EE" w:themeFill="accent1" w:themeFillTint="66"/>
          </w:tcPr>
          <w:p w14:paraId="6B08C345" w14:textId="6A7E05F0" w:rsidR="00AA4992" w:rsidRPr="000F626B" w:rsidRDefault="001934F5" w:rsidP="008508A5">
            <w:pPr>
              <w:pStyle w:val="VBAILTTableHeading1"/>
            </w:pPr>
            <w:r w:rsidRPr="000F626B">
              <w:t>Notes</w:t>
            </w:r>
          </w:p>
        </w:tc>
      </w:tr>
      <w:tr w:rsidR="000F626B" w:rsidRPr="000F626B" w14:paraId="6B08C34C" w14:textId="77777777" w:rsidTr="00ED4AB7">
        <w:trPr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6B08C347" w14:textId="6B8931C0" w:rsidR="003957E5" w:rsidRPr="000F626B" w:rsidRDefault="00345D2C" w:rsidP="008508A5">
            <w:pPr>
              <w:pStyle w:val="VBAILTBodyStrong"/>
            </w:pPr>
            <w:r w:rsidRPr="000F626B">
              <w:t xml:space="preserve">Overview of </w:t>
            </w:r>
            <w:r w:rsidR="005F0126" w:rsidRPr="000F626B">
              <w:t>the Award Process</w:t>
            </w:r>
          </w:p>
          <w:p w14:paraId="6B08C348" w14:textId="77777777" w:rsidR="003957E5" w:rsidRPr="000F626B" w:rsidRDefault="003957E5" w:rsidP="008508A5">
            <w:pPr>
              <w:pStyle w:val="VBAILTBodyStrong"/>
            </w:pP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6B08C34B" w14:textId="4761CBE0" w:rsidR="00022102" w:rsidRPr="000F626B" w:rsidRDefault="00022102" w:rsidP="008508A5">
            <w:pPr>
              <w:pStyle w:val="VBAILTBody"/>
            </w:pPr>
          </w:p>
        </w:tc>
      </w:tr>
      <w:tr w:rsidR="00E45494" w:rsidRPr="000F626B" w14:paraId="6B08C38B" w14:textId="77777777" w:rsidTr="00ED4AB7">
        <w:trPr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27156C54" w14:textId="77777777" w:rsidR="00E45494" w:rsidRDefault="00E45494" w:rsidP="00E45494">
            <w:pPr>
              <w:pStyle w:val="VBAILTBodyStrong"/>
            </w:pPr>
            <w:r>
              <w:t xml:space="preserve">Lesson Objectives </w:t>
            </w:r>
          </w:p>
          <w:p w14:paraId="71588537" w14:textId="117B8BB0" w:rsidR="00957BCA" w:rsidRPr="00957BCA" w:rsidRDefault="00957BCA" w:rsidP="00E45494">
            <w:pPr>
              <w:pStyle w:val="VBAILTBodyStrong"/>
              <w:rPr>
                <w:b w:val="0"/>
                <w:bCs/>
              </w:rPr>
            </w:pPr>
            <w:r w:rsidRPr="00957BCA">
              <w:rPr>
                <w:b w:val="0"/>
                <w:bCs/>
              </w:rPr>
              <w:t>By the end of this lesson, you should be able to:</w:t>
            </w:r>
          </w:p>
          <w:p w14:paraId="7BE9A037" w14:textId="77777777" w:rsidR="00E45494" w:rsidRDefault="00E45494" w:rsidP="00321493">
            <w:pPr>
              <w:pStyle w:val="VBAILTBody"/>
              <w:numPr>
                <w:ilvl w:val="0"/>
                <w:numId w:val="10"/>
              </w:numPr>
            </w:pPr>
            <w:r>
              <w:t>Describe how to prepare an award action</w:t>
            </w:r>
          </w:p>
          <w:p w14:paraId="4CB445AE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>
              <w:t>Describe the responsibilities on award action for all decisions</w:t>
            </w:r>
          </w:p>
          <w:p w14:paraId="3AE20D09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>
              <w:t xml:space="preserve">Describe the common steps for processing a grant of benefits </w:t>
            </w:r>
          </w:p>
          <w:p w14:paraId="0D1AF088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>
              <w:t>Describe the common steps for processing a denial of benefits</w:t>
            </w:r>
          </w:p>
          <w:p w14:paraId="5D8A5836" w14:textId="77777777" w:rsidR="00E45494" w:rsidRDefault="00E45494" w:rsidP="00E45494">
            <w:pPr>
              <w:pStyle w:val="VBAILTbullet1"/>
              <w:numPr>
                <w:ilvl w:val="0"/>
                <w:numId w:val="1"/>
              </w:numPr>
            </w:pPr>
            <w:r>
              <w:t>Describe the common steps for processing an award adjustment</w:t>
            </w:r>
          </w:p>
          <w:p w14:paraId="6B08C387" w14:textId="1F670269" w:rsidR="00E45494" w:rsidRPr="000F626B" w:rsidRDefault="00E45494" w:rsidP="00E45494">
            <w:pPr>
              <w:pStyle w:val="VBAILTbullet1"/>
            </w:pPr>
            <w:r>
              <w:t>Describe the common steps for processing a renouncement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6B08C38A" w14:textId="5CEF6EE1" w:rsidR="00E45494" w:rsidRPr="000F626B" w:rsidRDefault="00E45494" w:rsidP="00E45494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E45494" w:rsidRPr="000F626B" w14:paraId="140BF828" w14:textId="77777777" w:rsidTr="00ED4AB7">
        <w:trPr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50935A16" w14:textId="77777777" w:rsidR="00E45494" w:rsidRDefault="00E45494" w:rsidP="00E45494">
            <w:pPr>
              <w:pStyle w:val="VBAILTBodyStrong"/>
            </w:pPr>
            <w:r>
              <w:t>Why It Matters!</w:t>
            </w:r>
          </w:p>
          <w:p w14:paraId="29CC546B" w14:textId="6ADF15A5" w:rsidR="00E45494" w:rsidRDefault="00E45494" w:rsidP="00E45494">
            <w:pPr>
              <w:pStyle w:val="VBAILTbullet1"/>
              <w:numPr>
                <w:ilvl w:val="0"/>
                <w:numId w:val="0"/>
              </w:numPr>
            </w:pPr>
            <w:r w:rsidRPr="007E3DC0">
              <w:rPr>
                <w:b/>
                <w:bCs/>
              </w:rPr>
              <w:t>Overview of the Award Process</w:t>
            </w:r>
            <w:r w:rsidRPr="008961E2">
              <w:t xml:space="preserve"> is important because the authorization activity is responsible for ensuring VA makes a decision to award or deny entitlement to benefits for each issue a claimant raises. The authorization activity must address all issues based on eligibility criteria and the rating decision and inform the claimant of the decision on each issue.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1ECF5C13" w14:textId="77777777" w:rsidR="00E45494" w:rsidRPr="000F626B" w:rsidRDefault="00E45494" w:rsidP="00E45494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E45494" w:rsidRPr="000F626B" w14:paraId="5B128B3F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B1AC41E" w14:textId="53A9941D" w:rsidR="00E45494" w:rsidRPr="000F626B" w:rsidRDefault="00E45494" w:rsidP="00E45494">
            <w:pPr>
              <w:pStyle w:val="VBAILTBodyStrong"/>
            </w:pPr>
            <w:r w:rsidRPr="000F626B">
              <w:lastRenderedPageBreak/>
              <w:t xml:space="preserve">Award Actions </w:t>
            </w:r>
          </w:p>
          <w:p w14:paraId="15704442" w14:textId="1D596C78" w:rsidR="00E45494" w:rsidRPr="000F626B" w:rsidRDefault="00E45494" w:rsidP="00E45494">
            <w:pPr>
              <w:pStyle w:val="VBAILTBody"/>
            </w:pPr>
            <w:r w:rsidRPr="000F626B">
              <w:t>Processing an award action includes granting, denying, or adjusting benefits for the following claims:</w:t>
            </w:r>
          </w:p>
          <w:p w14:paraId="0EF7671B" w14:textId="5D606648" w:rsidR="00E45494" w:rsidRPr="000F626B" w:rsidRDefault="00E45494" w:rsidP="00E45494">
            <w:pPr>
              <w:pStyle w:val="VBAILTbullet1"/>
            </w:pPr>
            <w:r w:rsidRPr="000F626B">
              <w:t xml:space="preserve">Veterans pension </w:t>
            </w:r>
          </w:p>
          <w:p w14:paraId="443B2E98" w14:textId="77777777" w:rsidR="00E45494" w:rsidRPr="000F626B" w:rsidRDefault="00E45494" w:rsidP="00E45494">
            <w:pPr>
              <w:pStyle w:val="VBAILTbullet1"/>
            </w:pPr>
            <w:r w:rsidRPr="000F626B">
              <w:t xml:space="preserve">Survivors pension </w:t>
            </w:r>
          </w:p>
          <w:p w14:paraId="2D774CC2" w14:textId="77777777" w:rsidR="00E45494" w:rsidRPr="000F626B" w:rsidRDefault="00E45494" w:rsidP="00E45494">
            <w:pPr>
              <w:pStyle w:val="VBAILTbullet1"/>
            </w:pPr>
            <w:r w:rsidRPr="000F626B">
              <w:t xml:space="preserve">Survivors DIC </w:t>
            </w:r>
          </w:p>
          <w:p w14:paraId="54C86DDD" w14:textId="2170A3A6" w:rsidR="00E45494" w:rsidRPr="000F626B" w:rsidRDefault="00E45494" w:rsidP="00E45494">
            <w:pPr>
              <w:pStyle w:val="VBAILTbullet1"/>
            </w:pPr>
            <w:r w:rsidRPr="000F626B">
              <w:t xml:space="preserve">Parents DIC </w:t>
            </w:r>
          </w:p>
          <w:p w14:paraId="3C3E4682" w14:textId="77777777" w:rsidR="00E45494" w:rsidRPr="000F626B" w:rsidRDefault="00E45494" w:rsidP="00E45494">
            <w:pPr>
              <w:pStyle w:val="VBAILTbullet1"/>
            </w:pPr>
            <w:r w:rsidRPr="000F626B">
              <w:t>Accrued</w:t>
            </w:r>
          </w:p>
          <w:p w14:paraId="19F24CE2" w14:textId="0B4E463E" w:rsidR="00E45494" w:rsidRPr="000F626B" w:rsidRDefault="00E45494" w:rsidP="00E45494">
            <w:pPr>
              <w:pStyle w:val="VBAILTbullet1"/>
            </w:pPr>
            <w:r w:rsidRPr="000F626B">
              <w:t xml:space="preserve">Burial  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7F7C3537" w14:textId="0FADFA19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E45494" w:rsidRPr="000F626B" w14:paraId="2F721E29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73BBF818" w14:textId="3563C740" w:rsidR="00E45494" w:rsidRPr="000F626B" w:rsidRDefault="00E45494" w:rsidP="00E45494">
            <w:pPr>
              <w:pStyle w:val="VBAILTBodyStrong"/>
            </w:pPr>
            <w:r w:rsidRPr="000F626B">
              <w:t>Processing an Award</w:t>
            </w:r>
          </w:p>
          <w:p w14:paraId="0016B077" w14:textId="662BD2FF" w:rsidR="00E45494" w:rsidRPr="000F626B" w:rsidRDefault="00E45494" w:rsidP="00E45494">
            <w:pPr>
              <w:pStyle w:val="VBAILTBody"/>
            </w:pPr>
            <w:r w:rsidRPr="000F626B">
              <w:rPr>
                <w:noProof/>
              </w:rPr>
              <w:drawing>
                <wp:inline distT="0" distB="0" distL="0" distR="0" wp14:anchorId="3A4A6E42" wp14:editId="5474A9D9">
                  <wp:extent cx="2468245" cy="1118870"/>
                  <wp:effectExtent l="0" t="0" r="8255" b="5080"/>
                  <wp:docPr id="992" name="Picture 7" descr="Processing Award Actions with four banners labeled: Grant Benefits, Deny Benefits, Award Adjustment, and Award Renouncement" title="Processing Award 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Processing Award Actions with four banners labeled: Grant Benefits, Deny Benefits, Award Adjustment, and Award Renouncement" title="Processing Award Actio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6997F" w14:textId="6F2B2C78" w:rsidR="00E45494" w:rsidRPr="000F626B" w:rsidRDefault="00E45494" w:rsidP="00E45494">
            <w:pPr>
              <w:pStyle w:val="VBAILTBody"/>
            </w:pP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2F2B6944" w14:textId="592C2EF4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</w:pPr>
          </w:p>
        </w:tc>
      </w:tr>
      <w:tr w:rsidR="00E45494" w:rsidRPr="000F626B" w14:paraId="5B8703E4" w14:textId="77777777" w:rsidTr="00ED4AB7">
        <w:trPr>
          <w:gridAfter w:val="1"/>
          <w:wAfter w:w="6" w:type="dxa"/>
          <w:cantSplit/>
          <w:trHeight w:val="3500"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3DCEE340" w14:textId="01AAB729" w:rsidR="00E45494" w:rsidRPr="000F626B" w:rsidRDefault="00E45494" w:rsidP="00E45494">
            <w:pPr>
              <w:pStyle w:val="VBAILTBodyStrong"/>
            </w:pPr>
            <w:r w:rsidRPr="000F626B">
              <w:t>Common Steps for Granting Benefits</w:t>
            </w:r>
          </w:p>
          <w:p w14:paraId="5295D3B8" w14:textId="5965DBBD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</w:pPr>
            <w:r w:rsidRPr="000F626B">
              <w:rPr>
                <w:noProof/>
              </w:rPr>
              <w:drawing>
                <wp:inline distT="0" distB="0" distL="0" distR="0" wp14:anchorId="33ABBA3A" wp14:editId="5E14115E">
                  <wp:extent cx="2488565" cy="2030730"/>
                  <wp:effectExtent l="0" t="0" r="6985" b="7620"/>
                  <wp:docPr id="982" name="Picture 6" descr="Common Steps for Granting Benefits, with the following seven steps: step 1 Decide the award action; step 2 Verify the Information in VBMS-A; Step 3 Enter Additional Information in VBMS-A; Step 4 Generate award in VBMS-A; Step 5 Annotate the Award; step 6 Prepare the Decision Notice ; and step 7 Submit to Authorizer." title="Common Steps for Granting Benef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ommon Steps for Granting Benefits, with the following seven steps: step 1 Decide the award action; step 2 Verify the Information in VBMS-A; Step 3 Enter Additional Information in VBMS-A; Step 4 Generate award in VBMS-A; Step 5 Annotate the Award; step 6 Prepare the Decision Notice ; and step 7 Submit to Authorizer." title="Common Steps for Granting Benefits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2849F51B" w14:textId="77777777" w:rsidR="00E45494" w:rsidRDefault="00E45494" w:rsidP="00E45494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  <w:p w14:paraId="75200F2D" w14:textId="77777777" w:rsidR="00E45494" w:rsidRPr="00E45494" w:rsidRDefault="00E45494" w:rsidP="00E45494"/>
          <w:p w14:paraId="26F5FFD6" w14:textId="77777777" w:rsidR="00E45494" w:rsidRDefault="00E45494" w:rsidP="00E45494">
            <w:pPr>
              <w:rPr>
                <w:rStyle w:val="Strong"/>
                <w:rFonts w:ascii="Verdana" w:hAnsi="Verdana"/>
                <w:b w:val="0"/>
                <w:bCs w:val="0"/>
              </w:rPr>
            </w:pPr>
          </w:p>
          <w:p w14:paraId="0FDCFA35" w14:textId="77777777" w:rsidR="00E45494" w:rsidRDefault="00E45494" w:rsidP="00E45494">
            <w:pPr>
              <w:rPr>
                <w:rStyle w:val="Strong"/>
                <w:rFonts w:ascii="Verdana" w:hAnsi="Verdana"/>
                <w:b w:val="0"/>
                <w:bCs w:val="0"/>
              </w:rPr>
            </w:pPr>
          </w:p>
          <w:p w14:paraId="58E81C00" w14:textId="46463E9D" w:rsidR="00E45494" w:rsidRPr="00E45494" w:rsidRDefault="00E45494" w:rsidP="00E45494">
            <w:pPr>
              <w:jc w:val="center"/>
            </w:pPr>
          </w:p>
        </w:tc>
      </w:tr>
      <w:tr w:rsidR="00E45494" w:rsidRPr="000F626B" w14:paraId="481A83F1" w14:textId="77777777" w:rsidTr="00ED4AB7">
        <w:trPr>
          <w:gridAfter w:val="1"/>
          <w:wAfter w:w="6" w:type="dxa"/>
          <w:cantSplit/>
          <w:trHeight w:val="3500"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0A5F3408" w14:textId="77777777" w:rsidR="00E45494" w:rsidRDefault="00E45494" w:rsidP="00E45494">
            <w:pPr>
              <w:pStyle w:val="VBAILTBodyStrong"/>
            </w:pPr>
            <w:r w:rsidRPr="00BC64A5">
              <w:lastRenderedPageBreak/>
              <w:t>Granting Benefits—</w:t>
            </w:r>
            <w:r w:rsidRPr="000A4E09">
              <w:t>Generate Award in VBMS-A</w:t>
            </w:r>
          </w:p>
          <w:p w14:paraId="015BD4A7" w14:textId="77777777" w:rsidR="00E45494" w:rsidRPr="006B20F8" w:rsidRDefault="00E45494" w:rsidP="0032149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Verdana" w:hAnsi="Verdana" w:cs="Arial"/>
                <w:color w:val="000000"/>
              </w:rPr>
            </w:pPr>
            <w:r w:rsidRPr="006B20F8">
              <w:rPr>
                <w:rFonts w:ascii="Verdana" w:hAnsi="Verdana" w:cs="Arial"/>
                <w:color w:val="000000"/>
              </w:rPr>
              <w:t>Conduct a cursory review of the rating decision, to include the code sheet, in an attempt to identify any obvious errors, such as failure to consider entitlement to </w:t>
            </w:r>
            <w:hyperlink r:id="rId13" w:tgtFrame="_blank" w:history="1">
              <w:r w:rsidRPr="006B20F8">
                <w:rPr>
                  <w:rStyle w:val="Hyperlink"/>
                  <w:rFonts w:ascii="Verdana" w:hAnsi="Verdana" w:cs="Arial"/>
                  <w:b/>
                  <w:bCs/>
                </w:rPr>
                <w:t>Chapter 35</w:t>
              </w:r>
            </w:hyperlink>
            <w:r w:rsidRPr="006B20F8">
              <w:rPr>
                <w:rFonts w:ascii="Verdana" w:hAnsi="Verdana" w:cs="Arial"/>
                <w:color w:val="000000"/>
              </w:rPr>
              <w:t> benefits when a total disability rating is granted and no future examination is required</w:t>
            </w:r>
          </w:p>
          <w:p w14:paraId="3AF9B18E" w14:textId="77777777" w:rsidR="00E45494" w:rsidRPr="006B20F8" w:rsidRDefault="00E45494" w:rsidP="0032149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Verdana" w:hAnsi="Verdana" w:cs="Arial"/>
                <w:color w:val="000000"/>
              </w:rPr>
            </w:pPr>
            <w:r w:rsidRPr="006B20F8">
              <w:rPr>
                <w:rFonts w:ascii="Verdana" w:hAnsi="Verdana" w:cs="Arial"/>
                <w:color w:val="000000"/>
              </w:rPr>
              <w:t>Access the RATING screen in the Veterans Benefits Management System – Awards (VBMS-A) to validate data contained in the rating decision and notify the rating activity if any inconsistencies exist</w:t>
            </w:r>
          </w:p>
          <w:p w14:paraId="665C402C" w14:textId="77777777" w:rsidR="00E45494" w:rsidRPr="00E45494" w:rsidRDefault="00E45494" w:rsidP="0032149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</w:pPr>
            <w:r w:rsidRPr="006B20F8">
              <w:rPr>
                <w:rFonts w:ascii="Verdana" w:hAnsi="Verdana" w:cs="Arial"/>
                <w:color w:val="000000"/>
              </w:rPr>
              <w:t>Enter additional data pertaining to the decision into the claims-processing system, as applicable</w:t>
            </w:r>
          </w:p>
          <w:p w14:paraId="09B9A03F" w14:textId="657220AB" w:rsidR="00E45494" w:rsidRPr="000F626B" w:rsidRDefault="00E45494" w:rsidP="0032149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ind w:right="240"/>
            </w:pPr>
            <w:r w:rsidRPr="006B20F8">
              <w:rPr>
                <w:rFonts w:ascii="Verdana" w:hAnsi="Verdana" w:cs="Arial"/>
                <w:color w:val="000000"/>
              </w:rPr>
              <w:t>Generate an award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31453BF9" w14:textId="77777777" w:rsidR="00E45494" w:rsidRDefault="00E45494" w:rsidP="00E45494">
            <w:pPr>
              <w:pStyle w:val="VBAILTbullet1"/>
              <w:numPr>
                <w:ilvl w:val="0"/>
                <w:numId w:val="0"/>
              </w:numPr>
              <w:rPr>
                <w:rStyle w:val="Strong"/>
                <w:b w:val="0"/>
                <w:bCs w:val="0"/>
              </w:rPr>
            </w:pPr>
          </w:p>
        </w:tc>
      </w:tr>
      <w:tr w:rsidR="00E45494" w:rsidRPr="000F626B" w14:paraId="35992A60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539FA3F" w14:textId="77777777" w:rsidR="00E45494" w:rsidRDefault="00E45494" w:rsidP="00E45494">
            <w:pPr>
              <w:pStyle w:val="VBAILTBodyStrong"/>
            </w:pPr>
            <w:r w:rsidRPr="00BC64A5">
              <w:lastRenderedPageBreak/>
              <w:t>Granting Benefits—</w:t>
            </w:r>
            <w:r w:rsidRPr="007E428B">
              <w:t>Annotate the Award</w:t>
            </w:r>
          </w:p>
          <w:p w14:paraId="5C420B91" w14:textId="77777777" w:rsidR="00E45494" w:rsidRPr="008767D0" w:rsidRDefault="00E45494" w:rsidP="0032149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Verdana" w:eastAsia="Times New Roman" w:hAnsi="Verdana" w:cs="Arial"/>
                <w:color w:val="000000"/>
              </w:rPr>
            </w:pPr>
            <w:r w:rsidRPr="008767D0">
              <w:rPr>
                <w:rFonts w:ascii="Verdana" w:eastAsia="Times New Roman" w:hAnsi="Verdana" w:cs="Arial"/>
                <w:color w:val="000000"/>
              </w:rPr>
              <w:t>Ensure, as applicable, that the award document fully reflects </w:t>
            </w:r>
            <w:r w:rsidRPr="008767D0">
              <w:rPr>
                <w:rFonts w:ascii="Verdana" w:eastAsia="Times New Roman" w:hAnsi="Verdana" w:cs="Arial"/>
                <w:i/>
                <w:iCs/>
                <w:color w:val="000000"/>
              </w:rPr>
              <w:t>all</w:t>
            </w:r>
            <w:r w:rsidRPr="008767D0">
              <w:rPr>
                <w:rFonts w:ascii="Verdana" w:eastAsia="Times New Roman" w:hAnsi="Verdana" w:cs="Arial"/>
                <w:color w:val="000000"/>
              </w:rPr>
              <w:t> new and/or increased entitlements implemented by the associated rating decision and/or authorization determination(s)</w:t>
            </w:r>
          </w:p>
          <w:p w14:paraId="27763D73" w14:textId="6CC29ADB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</w:pPr>
            <w:r w:rsidRPr="00035B7F">
              <w:rPr>
                <w:noProof/>
              </w:rPr>
              <w:drawing>
                <wp:inline distT="0" distB="0" distL="0" distR="0" wp14:anchorId="00BBB3F5" wp14:editId="3BF35CCD">
                  <wp:extent cx="2488565" cy="1828800"/>
                  <wp:effectExtent l="0" t="0" r="6985" b="0"/>
                  <wp:docPr id="4" name="Picture 5" descr="Common Steps for Granting Benefits, with the following seven steps: step 1 Decide the award action; step 2 Verify the Information in VBMS-A; Step 3 Enter Additional Information in VBMS-A; Step 4 Generate award in VBMS-A; Step 5 Annotate the Award; step 6 Prepare the Decision Notice ; and step 7 Submit to Authorizer. Step 5 is highlighted. " title="Common Steps for Granting Benef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ommon Steps for Granting Benefits, with the following seven steps: step 1 Decide the award action; step 2 Verify the Information in VBMS-A; Step 3 Enter Additional Information in VBMS-A; Step 4 Generate award in VBMS-A; Step 5 Annotate the Award; step 6 Prepare the Decision Notice ; and step 7 Submit to Authorizer. Step 5 is highlighted. " title="Common Steps for Granting Benefits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208" cy="183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7E203B8A" w14:textId="1F1828D9" w:rsidR="00E45494" w:rsidRPr="000F626B" w:rsidRDefault="00E45494" w:rsidP="00E45494">
            <w:pPr>
              <w:pStyle w:val="VBAILTBody"/>
              <w:rPr>
                <w:rStyle w:val="Strong"/>
                <w:b w:val="0"/>
                <w:bCs w:val="0"/>
              </w:rPr>
            </w:pPr>
          </w:p>
        </w:tc>
      </w:tr>
      <w:tr w:rsidR="00611DE5" w:rsidRPr="000F626B" w14:paraId="251C736B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50F95A0F" w14:textId="77777777" w:rsidR="00611DE5" w:rsidRDefault="00611DE5" w:rsidP="00611DE5">
            <w:pPr>
              <w:pStyle w:val="VBAILTBodyStrong"/>
            </w:pPr>
            <w:r w:rsidRPr="00BC64A5">
              <w:lastRenderedPageBreak/>
              <w:t>Granting Benefits—</w:t>
            </w:r>
            <w:r>
              <w:t>Prepare the Decision Notice</w:t>
            </w:r>
          </w:p>
          <w:p w14:paraId="0900C3A6" w14:textId="77777777" w:rsidR="00611DE5" w:rsidRPr="00FF726B" w:rsidRDefault="00611DE5" w:rsidP="0032149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Verdana" w:eastAsia="Times New Roman" w:hAnsi="Verdana" w:cs="Arial"/>
                <w:color w:val="000000"/>
              </w:rPr>
            </w:pPr>
            <w:r w:rsidRPr="00FF726B">
              <w:rPr>
                <w:rFonts w:ascii="Verdana" w:eastAsia="Times New Roman" w:hAnsi="Verdana" w:cs="Arial"/>
                <w:color w:val="000000"/>
              </w:rPr>
              <w:t>Prepare a decision notice for the claimant</w:t>
            </w:r>
          </w:p>
          <w:p w14:paraId="7D5E74BE" w14:textId="77777777" w:rsidR="00611DE5" w:rsidRPr="00FF726B" w:rsidRDefault="00611DE5" w:rsidP="0032149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Verdana" w:eastAsia="Times New Roman" w:hAnsi="Verdana" w:cs="Arial"/>
                <w:color w:val="000000"/>
              </w:rPr>
            </w:pPr>
            <w:r w:rsidRPr="00FF726B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</w:rPr>
              <w:t>For pension and Parents' DIC cases only</w:t>
            </w:r>
            <w:r>
              <w:rPr>
                <w:rFonts w:ascii="Verdana" w:eastAsia="Times New Roman" w:hAnsi="Verdana" w:cs="Arial"/>
                <w:color w:val="000000"/>
              </w:rPr>
              <w:t>, VSRs must e</w:t>
            </w:r>
            <w:r w:rsidRPr="00FF726B">
              <w:rPr>
                <w:rFonts w:ascii="Verdana" w:eastAsia="Times New Roman" w:hAnsi="Verdana" w:cs="Arial"/>
                <w:color w:val="000000"/>
              </w:rPr>
              <w:t>nsure documentation of calculations made to determine the rate of benefits (such as calculations of medical expenses, net worth, and waived overpayments) are included in the electronic claims folder</w:t>
            </w:r>
          </w:p>
          <w:p w14:paraId="2BB19B21" w14:textId="77777777" w:rsidR="00611DE5" w:rsidRPr="00FF726B" w:rsidRDefault="00611DE5" w:rsidP="0032149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Verdana" w:eastAsia="Times New Roman" w:hAnsi="Verdana" w:cs="Arial"/>
                <w:color w:val="000000"/>
              </w:rPr>
            </w:pPr>
            <w:r w:rsidRPr="00FF726B">
              <w:rPr>
                <w:rFonts w:ascii="Verdana" w:eastAsia="Times New Roman" w:hAnsi="Verdana" w:cs="Arial"/>
                <w:color w:val="000000"/>
              </w:rPr>
              <w:t>Route the award to a Senior VSR (SVSR)</w:t>
            </w:r>
          </w:p>
          <w:p w14:paraId="55E9AAF5" w14:textId="353DD397" w:rsidR="00611DE5" w:rsidRPr="00611DE5" w:rsidRDefault="00611DE5" w:rsidP="00611DE5">
            <w:pPr>
              <w:shd w:val="clear" w:color="auto" w:fill="FFFFFF"/>
              <w:spacing w:before="100" w:beforeAutospacing="1" w:after="100" w:afterAutospacing="1"/>
              <w:ind w:right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C5B96">
              <w:rPr>
                <w:noProof/>
              </w:rPr>
              <w:drawing>
                <wp:inline distT="0" distB="0" distL="0" distR="0" wp14:anchorId="408CC2EC" wp14:editId="731EA1B0">
                  <wp:extent cx="2488565" cy="2030730"/>
                  <wp:effectExtent l="0" t="0" r="6985" b="7620"/>
                  <wp:docPr id="5" name="Picture 6" descr="Common Steps for Granting Benefits, with the following seven steps: step 1 Decide the award action; step 2 Verify the Information in VBMS-A; Step 3 Enter Additional Information in VBMS-A; Step 4 Generate award in VBMS-A; Step 5 Annotate the Award; step 6 Prepare the Decision Notice ; and step 7 Submit to Authorizer. Step 7 is highlighted. " title="Common Steps for Granting Benef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ommon Steps for Granting Benefits, with the following seven steps: step 1 Decide the award action; step 2 Verify the Information in VBMS-A; Step 3 Enter Additional Information in VBMS-A; Step 4 Generate award in VBMS-A; Step 5 Annotate the Award; step 6 Prepare the Decision Notice ; and step 7 Submit to Authorizer. Step 7 is highlighted. " title="Common Steps for Granting Benefits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005056BE" w14:textId="1C4F2B2D" w:rsidR="00611DE5" w:rsidRPr="000F626B" w:rsidRDefault="00611DE5" w:rsidP="00611DE5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691A5C14" w14:textId="77777777" w:rsidTr="00B65AEF">
        <w:trPr>
          <w:cantSplit/>
          <w:trHeight w:val="4850"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6C89007D" w14:textId="0AA97C85" w:rsidR="00E45494" w:rsidRPr="000F626B" w:rsidRDefault="00E45494" w:rsidP="00E45494">
            <w:pPr>
              <w:pStyle w:val="VBAILTBodyStrong"/>
            </w:pPr>
            <w:r w:rsidRPr="000F626B">
              <w:lastRenderedPageBreak/>
              <w:t>Practice Exercise—Granting Benefits</w:t>
            </w:r>
          </w:p>
          <w:p w14:paraId="5EE4A954" w14:textId="77777777" w:rsidR="00E45494" w:rsidRPr="000F626B" w:rsidRDefault="00E45494" w:rsidP="00E45494">
            <w:pPr>
              <w:pStyle w:val="VBAILTbullet1"/>
              <w:numPr>
                <w:ilvl w:val="0"/>
                <w:numId w:val="1"/>
              </w:numPr>
              <w:spacing w:after="120"/>
            </w:pPr>
            <w:r w:rsidRPr="000F626B">
              <w:t xml:space="preserve">Instructions: </w:t>
            </w:r>
          </w:p>
          <w:p w14:paraId="0540E757" w14:textId="56255D3F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Divide into groups of three.</w:t>
            </w:r>
          </w:p>
          <w:p w14:paraId="25F7B6B2" w14:textId="364A2ED5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Complete Appendix A: Part A—Granting Benefits worksheet.</w:t>
            </w:r>
          </w:p>
          <w:p w14:paraId="2B288615" w14:textId="26DFA2AB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Use the </w:t>
            </w:r>
            <w:r w:rsidRPr="000F626B">
              <w:rPr>
                <w:rStyle w:val="Strong"/>
                <w:bCs w:val="0"/>
              </w:rPr>
              <w:t xml:space="preserve">Processing a </w:t>
            </w:r>
            <w:r w:rsidRPr="000F626B">
              <w:rPr>
                <w:b/>
              </w:rPr>
              <w:t>Grant of Benefits</w:t>
            </w:r>
            <w:r w:rsidRPr="000F626B">
              <w:t xml:space="preserve"> job aid.</w:t>
            </w:r>
          </w:p>
          <w:p w14:paraId="4CACAF0A" w14:textId="3D0CD15C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Be prepared to share your finished activity with other groups.</w:t>
            </w:r>
          </w:p>
          <w:p w14:paraId="08ADAD6F" w14:textId="7826FE5D" w:rsidR="00E45494" w:rsidRPr="000F626B" w:rsidRDefault="00E45494" w:rsidP="00E45494">
            <w:pPr>
              <w:pStyle w:val="VBAILTbullet1"/>
            </w:pPr>
            <w:r w:rsidRPr="000F626B">
              <w:t>Time allowed: 7-10 minutes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09E31E9E" w14:textId="50F2E586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3D978504" w14:textId="77777777" w:rsidTr="00ED4AB7">
        <w:trPr>
          <w:gridAfter w:val="1"/>
          <w:wAfter w:w="6" w:type="dxa"/>
          <w:cantSplit/>
          <w:trHeight w:val="4850"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3CC77EC" w14:textId="77777777" w:rsidR="00E45494" w:rsidRPr="000F626B" w:rsidRDefault="00E45494" w:rsidP="00E45494">
            <w:pPr>
              <w:pStyle w:val="VBAILTBodyStrong"/>
            </w:pPr>
            <w:r w:rsidRPr="000F626B">
              <w:t>Practice Exercise—Granting Benefits Answers</w:t>
            </w:r>
          </w:p>
          <w:p w14:paraId="3DB25BA0" w14:textId="72A0B3FD" w:rsidR="00E45494" w:rsidRPr="000F626B" w:rsidRDefault="00E45494" w:rsidP="00321493">
            <w:pPr>
              <w:pStyle w:val="VBAILTBody"/>
              <w:numPr>
                <w:ilvl w:val="0"/>
                <w:numId w:val="6"/>
              </w:numPr>
            </w:pPr>
            <w:r w:rsidRPr="000F626B">
              <w:t xml:space="preserve">What decision would you use for granting this award? </w:t>
            </w:r>
          </w:p>
          <w:p w14:paraId="10BAC8DE" w14:textId="77777777" w:rsidR="00E45494" w:rsidRPr="000F626B" w:rsidRDefault="00E45494" w:rsidP="00321493">
            <w:pPr>
              <w:pStyle w:val="VBAILTBody"/>
              <w:numPr>
                <w:ilvl w:val="0"/>
                <w:numId w:val="6"/>
              </w:numPr>
            </w:pPr>
            <w:r w:rsidRPr="000F626B">
              <w:t xml:space="preserve">What award type would this decision be processed under in VBMS-A? </w:t>
            </w:r>
          </w:p>
          <w:p w14:paraId="66083D5F" w14:textId="45E89972" w:rsidR="00E45494" w:rsidRPr="000F626B" w:rsidRDefault="00E45494" w:rsidP="00321493">
            <w:pPr>
              <w:pStyle w:val="VBAILTBody"/>
              <w:numPr>
                <w:ilvl w:val="0"/>
                <w:numId w:val="6"/>
              </w:numPr>
            </w:pPr>
            <w:r w:rsidRPr="000F626B">
              <w:t xml:space="preserve">You have successfully entered all the information into VBMS-A. What is your next step in granting benefits? </w:t>
            </w:r>
          </w:p>
          <w:p w14:paraId="2F3AD620" w14:textId="4123058E" w:rsidR="00E45494" w:rsidRPr="000F626B" w:rsidRDefault="00E45494" w:rsidP="00E45494">
            <w:pPr>
              <w:pStyle w:val="VBAILTAnswersbullet2"/>
              <w:numPr>
                <w:ilvl w:val="0"/>
                <w:numId w:val="0"/>
              </w:numPr>
              <w:ind w:left="1080" w:hanging="360"/>
            </w:pP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7F355F57" w14:textId="2BCCDF6A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37436927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01FB4764" w14:textId="212C7CE3" w:rsidR="00E45494" w:rsidRPr="000F626B" w:rsidRDefault="00E45494" w:rsidP="00E45494">
            <w:pPr>
              <w:pStyle w:val="VBAILTBodyStrong"/>
            </w:pPr>
            <w:r w:rsidRPr="000F626B">
              <w:lastRenderedPageBreak/>
              <w:t>Denying Benefits</w:t>
            </w:r>
          </w:p>
          <w:p w14:paraId="4590B85F" w14:textId="1799EC45" w:rsidR="00E45494" w:rsidRPr="000F626B" w:rsidRDefault="00E45494" w:rsidP="00E45494">
            <w:pPr>
              <w:pStyle w:val="VBAILTBody"/>
            </w:pPr>
            <w:r w:rsidRPr="000F626B">
              <w:rPr>
                <w:noProof/>
              </w:rPr>
              <w:drawing>
                <wp:inline distT="0" distB="0" distL="0" distR="0" wp14:anchorId="0709CA71" wp14:editId="6C33F2FE">
                  <wp:extent cx="2403881" cy="1089965"/>
                  <wp:effectExtent l="0" t="0" r="0" b="0"/>
                  <wp:docPr id="991" name="Picture 5" descr="Processing an Award Action with four banners labeled: Grant Benefits, Deny Benefits, Award Adjustment, and Award Renouncement. Denying Benefits is highlighted." title="Processing an Award 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Processing an Award Action with four banners labeled: Grant Benefits, Deny Benefits, Award Adjustment, and Award Renouncement. Denying Benefits is highlighted." title="Processing an Award Action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512" cy="109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5BFDEB94" w14:textId="16FD52AA" w:rsidR="00E45494" w:rsidRPr="000F626B" w:rsidRDefault="00E45494" w:rsidP="00E45494">
            <w:pPr>
              <w:pStyle w:val="VBAILTBody"/>
              <w:rPr>
                <w:b/>
                <w:bCs/>
              </w:rPr>
            </w:pPr>
          </w:p>
        </w:tc>
      </w:tr>
      <w:tr w:rsidR="00E45494" w:rsidRPr="000F626B" w14:paraId="13A1AF28" w14:textId="77777777" w:rsidTr="00ED4AB7">
        <w:trPr>
          <w:gridAfter w:val="1"/>
          <w:wAfter w:w="6" w:type="dxa"/>
          <w:cantSplit/>
          <w:trHeight w:val="3950"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B07A6E1" w14:textId="78A43E8A" w:rsidR="00E45494" w:rsidRPr="000F626B" w:rsidRDefault="00E45494" w:rsidP="00E45494">
            <w:pPr>
              <w:pStyle w:val="VBAILTBodyStrong"/>
            </w:pPr>
            <w:r w:rsidRPr="000F626B">
              <w:t>Common Steps for Denying Benefits</w:t>
            </w:r>
          </w:p>
          <w:p w14:paraId="0D3536ED" w14:textId="46364C64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0F626B">
              <w:rPr>
                <w:noProof/>
              </w:rPr>
              <w:drawing>
                <wp:inline distT="0" distB="0" distL="0" distR="0" wp14:anchorId="2C1D661B" wp14:editId="7EE2E21C">
                  <wp:extent cx="2488565" cy="2030730"/>
                  <wp:effectExtent l="0" t="0" r="6985" b="7620"/>
                  <wp:docPr id="1006" name="Picture 7" descr="Common Steps for Denying Benefits with the following six steps: step 1 Decide the award action; step 2 Select denial decision in VBMS-A; step 3 Generate award in VBMS-A; step 4 Annotate the Award; step 5 Prepare the Decision Notice ; and step 6 Submit to Authorizer." title="Common Steps for Denying Benefi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ommon Steps for Denying Benefits with the following six steps: step 1 Decide the award action; step 2 Select denial decision in VBMS-A; step 3 Generate award in VBMS-A; step 4 Annotate the Award; step 5 Prepare the Decision Notice ; and step 6 Submit to Authorizer." title="Common Steps for Denying Benefits 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4D88C95C" w14:textId="4AA5124B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</w:pPr>
          </w:p>
        </w:tc>
      </w:tr>
      <w:tr w:rsidR="00E45494" w:rsidRPr="000F626B" w14:paraId="5C2D6E0E" w14:textId="77777777" w:rsidTr="00B65AEF">
        <w:trPr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35E5FBEE" w14:textId="3ACCEF09" w:rsidR="00E45494" w:rsidRPr="000F626B" w:rsidRDefault="00E45494" w:rsidP="00E45494">
            <w:pPr>
              <w:pStyle w:val="VBAILTBodyStrong"/>
            </w:pPr>
            <w:r w:rsidRPr="000F626B">
              <w:t>Practice Exercise—Denying Benefits</w:t>
            </w:r>
          </w:p>
          <w:p w14:paraId="52FEA849" w14:textId="77777777" w:rsidR="00E45494" w:rsidRPr="000F626B" w:rsidRDefault="00E45494" w:rsidP="00E45494">
            <w:pPr>
              <w:pStyle w:val="VBAILTbullet1"/>
              <w:numPr>
                <w:ilvl w:val="0"/>
                <w:numId w:val="1"/>
              </w:numPr>
              <w:spacing w:after="120"/>
            </w:pPr>
            <w:r w:rsidRPr="000F626B">
              <w:t xml:space="preserve">Instructions: </w:t>
            </w:r>
          </w:p>
          <w:p w14:paraId="0E8AD5A9" w14:textId="682AAB8A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Divide into groups of three.</w:t>
            </w:r>
          </w:p>
          <w:p w14:paraId="70DFD64B" w14:textId="5813D7BC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Complete Appendix A: Part B—Denying Benefits worksheet.</w:t>
            </w:r>
          </w:p>
          <w:p w14:paraId="653FFAA3" w14:textId="69221C74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Use the </w:t>
            </w:r>
            <w:r w:rsidRPr="000F626B">
              <w:rPr>
                <w:b/>
              </w:rPr>
              <w:t>Processing a Denial of Benefits job aid.</w:t>
            </w:r>
          </w:p>
          <w:p w14:paraId="562D0065" w14:textId="35E014D5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Be prepared to share your finished activity with other groups.</w:t>
            </w:r>
          </w:p>
          <w:p w14:paraId="24EE9D4D" w14:textId="6ED06BE7" w:rsidR="00E45494" w:rsidRPr="000F626B" w:rsidRDefault="00E45494" w:rsidP="00E45494">
            <w:pPr>
              <w:pStyle w:val="VBAILTbullet1"/>
            </w:pPr>
            <w:r w:rsidRPr="000F626B">
              <w:t>Time allowed: 10 minutes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711560BF" w14:textId="596D3ACB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79ED0FA7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1B5414F4" w14:textId="07173A8B" w:rsidR="00E45494" w:rsidRPr="000F626B" w:rsidRDefault="00E45494" w:rsidP="00E45494">
            <w:pPr>
              <w:pStyle w:val="VBAILTBodyStrong"/>
            </w:pPr>
            <w:r w:rsidRPr="000F626B">
              <w:lastRenderedPageBreak/>
              <w:t>Practice Exercise—Denying Benefits Answers</w:t>
            </w:r>
          </w:p>
          <w:p w14:paraId="230AA70A" w14:textId="77777777" w:rsidR="00E45494" w:rsidRPr="000F626B" w:rsidRDefault="00E45494" w:rsidP="00321493">
            <w:pPr>
              <w:pStyle w:val="VBAILTBodyStrong"/>
              <w:numPr>
                <w:ilvl w:val="0"/>
                <w:numId w:val="8"/>
              </w:numPr>
              <w:rPr>
                <w:b w:val="0"/>
              </w:rPr>
            </w:pPr>
            <w:r w:rsidRPr="000F626B">
              <w:rPr>
                <w:b w:val="0"/>
              </w:rPr>
              <w:t>What decision would you use for denying this award?</w:t>
            </w:r>
          </w:p>
          <w:p w14:paraId="099B0E7D" w14:textId="77777777" w:rsidR="00E45494" w:rsidRPr="000F626B" w:rsidRDefault="00E45494" w:rsidP="00321493">
            <w:pPr>
              <w:pStyle w:val="VBAILTBodyStrong"/>
              <w:numPr>
                <w:ilvl w:val="0"/>
                <w:numId w:val="8"/>
              </w:numPr>
              <w:rPr>
                <w:b w:val="0"/>
              </w:rPr>
            </w:pPr>
            <w:r w:rsidRPr="000F626B">
              <w:rPr>
                <w:b w:val="0"/>
              </w:rPr>
              <w:t xml:space="preserve">What denial decision would be selected in the VBMS-A?  </w:t>
            </w:r>
          </w:p>
          <w:p w14:paraId="2484BF58" w14:textId="6CDD6AF5" w:rsidR="00E45494" w:rsidRPr="000F626B" w:rsidRDefault="00E45494" w:rsidP="00321493">
            <w:pPr>
              <w:pStyle w:val="VBAILTBodyStrong"/>
              <w:numPr>
                <w:ilvl w:val="0"/>
                <w:numId w:val="8"/>
              </w:numPr>
              <w:rPr>
                <w:b w:val="0"/>
              </w:rPr>
            </w:pPr>
            <w:r w:rsidRPr="000F626B">
              <w:rPr>
                <w:b w:val="0"/>
              </w:rPr>
              <w:t>What is the final step of the denial process?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13AD4998" w14:textId="67A6FC60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11829AD8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0CA45190" w14:textId="77777777" w:rsidR="00E45494" w:rsidRPr="000F626B" w:rsidRDefault="00E45494" w:rsidP="00E45494">
            <w:pPr>
              <w:pStyle w:val="VBAILTBodyStrong"/>
            </w:pPr>
            <w:r w:rsidRPr="000F626B">
              <w:t xml:space="preserve">Award Adjustment </w:t>
            </w:r>
          </w:p>
          <w:p w14:paraId="1200B6BF" w14:textId="59E7317E" w:rsidR="00E45494" w:rsidRPr="000F626B" w:rsidRDefault="00E45494" w:rsidP="00E45494">
            <w:pPr>
              <w:pStyle w:val="VBAILTBody"/>
            </w:pPr>
            <w:r w:rsidRPr="000F626B">
              <w:rPr>
                <w:noProof/>
              </w:rPr>
              <w:drawing>
                <wp:inline distT="0" distB="0" distL="0" distR="0" wp14:anchorId="15629487" wp14:editId="23F3B1F5">
                  <wp:extent cx="2370997" cy="1512000"/>
                  <wp:effectExtent l="0" t="0" r="0" b="0"/>
                  <wp:docPr id="990" name="Picture 5" descr="Processing an Award Action with four banners labeled: Grant Benefits, Deny Benefits, Award Adjustment, and Award Renouncement. Award Adjustment is highlighted." title="Processing an Award 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Processing an Award Action with four banners labeled: Grant Benefits, Deny Benefits, Award Adjustment, and Award Renouncement. Award Adjustment is highlighted." title="Processing an Award Action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734" cy="151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406F865E" w14:textId="702DA1D0" w:rsidR="00E45494" w:rsidRPr="000F626B" w:rsidRDefault="00E45494" w:rsidP="00E45494">
            <w:pPr>
              <w:pStyle w:val="VBAILTBody"/>
              <w:rPr>
                <w:b/>
                <w:bCs/>
              </w:rPr>
            </w:pPr>
          </w:p>
        </w:tc>
      </w:tr>
      <w:tr w:rsidR="00E45494" w:rsidRPr="000F626B" w14:paraId="71E7E631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7686E73" w14:textId="33928277" w:rsidR="00E45494" w:rsidRPr="000F626B" w:rsidRDefault="00E45494" w:rsidP="00E45494">
            <w:pPr>
              <w:pStyle w:val="VBAILTBodyStrong"/>
            </w:pPr>
            <w:r w:rsidRPr="000F626B">
              <w:t>Common Steps for Award Adjustment</w:t>
            </w:r>
          </w:p>
          <w:p w14:paraId="2E1835F5" w14:textId="6CA3EAA4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0F626B">
              <w:rPr>
                <w:noProof/>
              </w:rPr>
              <w:drawing>
                <wp:inline distT="0" distB="0" distL="0" distR="0" wp14:anchorId="676D8F56" wp14:editId="7120B686">
                  <wp:extent cx="2488565" cy="2030730"/>
                  <wp:effectExtent l="0" t="0" r="6985" b="7620"/>
                  <wp:docPr id="1013" name="Picture 6" descr="Common Steps for Award Adjustment with the following seven steps: step 1 Decide the award action; step 2 Perform calculation (if required); step 3 Enter updated information in VBMS-A; step 4 Generate award in VBMS-A; step 5 Annotate the award; step 6 Prepare the decision notice ; and step 7 Submit to Authorizer. " title="Common Steps for Award Adjustmen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ommon Steps for Award Adjustment with the following seven steps: step 1 Decide the award action; step 2 Perform calculation (if required); step 3 Enter updated information in VBMS-A; step 4 Generate award in VBMS-A; step 5 Annotate the award; step 6 Prepare the decision notice ; and step 7 Submit to Authorizer. " title="Common Steps for Award Adjustment 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71DACC98" w14:textId="624B9211" w:rsidR="00E45494" w:rsidRPr="000F626B" w:rsidRDefault="00E45494" w:rsidP="00E45494">
            <w:pPr>
              <w:pStyle w:val="VBAILTBody"/>
            </w:pPr>
          </w:p>
        </w:tc>
      </w:tr>
      <w:tr w:rsidR="00E45494" w:rsidRPr="000F626B" w14:paraId="46270D0F" w14:textId="77777777" w:rsidTr="00B65AEF">
        <w:trPr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5AC05563" w14:textId="048A4291" w:rsidR="00E45494" w:rsidRPr="000F626B" w:rsidRDefault="00E45494" w:rsidP="00E45494">
            <w:pPr>
              <w:pStyle w:val="VBAILTBodyStrong"/>
            </w:pPr>
            <w:r w:rsidRPr="000F626B">
              <w:lastRenderedPageBreak/>
              <w:t>Practice Exercise—Award Adjustment</w:t>
            </w:r>
          </w:p>
          <w:p w14:paraId="1F98A03E" w14:textId="77777777" w:rsidR="00E45494" w:rsidRPr="000F626B" w:rsidRDefault="00E45494" w:rsidP="00E45494">
            <w:pPr>
              <w:pStyle w:val="VBAILTbullet1"/>
              <w:numPr>
                <w:ilvl w:val="0"/>
                <w:numId w:val="1"/>
              </w:numPr>
              <w:spacing w:after="120"/>
            </w:pPr>
            <w:r w:rsidRPr="000F626B">
              <w:t xml:space="preserve">Instructions: </w:t>
            </w:r>
          </w:p>
          <w:p w14:paraId="3D4825DE" w14:textId="7B98EB1D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Divide into groups of three.</w:t>
            </w:r>
          </w:p>
          <w:p w14:paraId="254A66C6" w14:textId="77777777" w:rsidR="005D0D6F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Complete Appendix A: Part C—Award Adjustment worksheet.</w:t>
            </w:r>
          </w:p>
          <w:p w14:paraId="13E18A18" w14:textId="35987256" w:rsidR="00E45494" w:rsidRPr="000F626B" w:rsidRDefault="005D0D6F" w:rsidP="00E45494">
            <w:pPr>
              <w:pStyle w:val="VBAILTBullet2"/>
              <w:numPr>
                <w:ilvl w:val="1"/>
                <w:numId w:val="1"/>
              </w:numPr>
            </w:pPr>
            <w:r>
              <w:t xml:space="preserve">Use the </w:t>
            </w:r>
            <w:r w:rsidRPr="005D0D6F">
              <w:rPr>
                <w:b/>
                <w:bCs/>
              </w:rPr>
              <w:t>Processing an Award Adjustment</w:t>
            </w:r>
            <w:r>
              <w:t xml:space="preserve"> job aid.</w:t>
            </w:r>
            <w:r w:rsidR="00E45494" w:rsidRPr="000F626B">
              <w:t xml:space="preserve">  </w:t>
            </w:r>
          </w:p>
          <w:p w14:paraId="4E7B8965" w14:textId="7B979CCE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Be prepared to share your finished activity with other groups.</w:t>
            </w:r>
          </w:p>
          <w:p w14:paraId="513719AB" w14:textId="20F1E433" w:rsidR="00E45494" w:rsidRPr="000F626B" w:rsidRDefault="00E45494" w:rsidP="00E45494">
            <w:pPr>
              <w:pStyle w:val="VBAILTbullet1"/>
            </w:pPr>
            <w:r w:rsidRPr="000F626B">
              <w:t>Time allowed: 10-15 minutes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49E08A50" w14:textId="4E2D2D74" w:rsidR="00E45494" w:rsidRPr="000F626B" w:rsidRDefault="00E45494" w:rsidP="00E45494">
            <w:pPr>
              <w:pStyle w:val="VBAILTBody"/>
              <w:rPr>
                <w:rStyle w:val="Strong"/>
                <w:b w:val="0"/>
              </w:rPr>
            </w:pPr>
          </w:p>
        </w:tc>
      </w:tr>
      <w:tr w:rsidR="00E45494" w:rsidRPr="000F626B" w14:paraId="1E6FA10F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D5FAC2B" w14:textId="686CE7E9" w:rsidR="00E45494" w:rsidRPr="000F626B" w:rsidRDefault="00E45494" w:rsidP="00E45494">
            <w:pPr>
              <w:pStyle w:val="VBAILTBodyStrong"/>
            </w:pPr>
            <w:r w:rsidRPr="000F626B">
              <w:t>Practice Exercise—Award Adjustment Answers</w:t>
            </w:r>
          </w:p>
          <w:p w14:paraId="28147D21" w14:textId="77777777" w:rsidR="00E45494" w:rsidRPr="000F626B" w:rsidRDefault="00E45494" w:rsidP="00321493">
            <w:pPr>
              <w:pStyle w:val="VBAILTBody"/>
              <w:numPr>
                <w:ilvl w:val="0"/>
                <w:numId w:val="7"/>
              </w:numPr>
            </w:pPr>
            <w:r w:rsidRPr="000F626B">
              <w:t xml:space="preserve">What decision would you use for processing this award adjustment? </w:t>
            </w:r>
          </w:p>
          <w:p w14:paraId="35111DFA" w14:textId="77777777" w:rsidR="00E45494" w:rsidRPr="000F626B" w:rsidRDefault="00E45494" w:rsidP="00321493">
            <w:pPr>
              <w:pStyle w:val="VBAILTBody"/>
              <w:numPr>
                <w:ilvl w:val="0"/>
                <w:numId w:val="7"/>
              </w:numPr>
            </w:pPr>
            <w:r w:rsidRPr="000F626B">
              <w:t>What information would be updated in the VBMS-A?  </w:t>
            </w:r>
          </w:p>
          <w:p w14:paraId="36AEC6E3" w14:textId="7CDFAC7D" w:rsidR="00E45494" w:rsidRPr="000F626B" w:rsidRDefault="00E45494" w:rsidP="00321493">
            <w:pPr>
              <w:pStyle w:val="VBAILTBody"/>
              <w:numPr>
                <w:ilvl w:val="0"/>
                <w:numId w:val="7"/>
              </w:numPr>
            </w:pPr>
            <w:r w:rsidRPr="000F626B">
              <w:t>After you have updated in the VBMS-A, what is the next step in the award adjustment process?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6A10B7FF" w14:textId="60E2242D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300C0702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0C7513AE" w14:textId="4B989A09" w:rsidR="00E45494" w:rsidRPr="000F626B" w:rsidRDefault="00E45494" w:rsidP="00E45494">
            <w:pPr>
              <w:pStyle w:val="VBAILTBodyStrong"/>
            </w:pPr>
            <w:r w:rsidRPr="000F626B">
              <w:lastRenderedPageBreak/>
              <w:t>Award Renouncement</w:t>
            </w:r>
          </w:p>
          <w:p w14:paraId="37A73FBA" w14:textId="5F641FA7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0F626B">
              <w:rPr>
                <w:noProof/>
              </w:rPr>
              <w:drawing>
                <wp:inline distT="0" distB="0" distL="0" distR="0" wp14:anchorId="1F1F3F88" wp14:editId="667EAB37">
                  <wp:extent cx="2516505" cy="1620000"/>
                  <wp:effectExtent l="0" t="0" r="0" b="0"/>
                  <wp:docPr id="966" name="Picture 5" descr="Processing an Award Action with four banners labeled: Grant Benefits, Deny Benefits, Award Adjustment, and Award Renouncement. Award Renouncement is highlighted." title="Processing an Award 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Processing an Award Action with four banners labeled: Grant Benefits, Deny Benefits, Award Adjustment, and Award Renouncement. Award Renouncement is highlighted." title="Processing an Award Action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843" cy="162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264494C5" w14:textId="1BF24D98" w:rsidR="00E45494" w:rsidRPr="000F626B" w:rsidRDefault="00E45494" w:rsidP="00E45494">
            <w:pPr>
              <w:pStyle w:val="VBAILTBody"/>
            </w:pPr>
          </w:p>
        </w:tc>
      </w:tr>
      <w:tr w:rsidR="00E45494" w:rsidRPr="000F626B" w14:paraId="0BE40EC0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247BEE76" w14:textId="4F8AE2A7" w:rsidR="00E45494" w:rsidRPr="000F626B" w:rsidRDefault="00E45494" w:rsidP="00E45494">
            <w:pPr>
              <w:pStyle w:val="VBAILTBodyStrong"/>
            </w:pPr>
            <w:r w:rsidRPr="000F626B">
              <w:t>Common Steps for Award Renouncement</w:t>
            </w:r>
          </w:p>
          <w:p w14:paraId="6ED06FC8" w14:textId="12A2551D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  <w:ind w:left="360" w:hanging="360"/>
            </w:pPr>
            <w:r w:rsidRPr="000F626B">
              <w:rPr>
                <w:noProof/>
              </w:rPr>
              <w:drawing>
                <wp:inline distT="0" distB="0" distL="0" distR="0" wp14:anchorId="78A7E644" wp14:editId="5C39A966">
                  <wp:extent cx="2488565" cy="2251075"/>
                  <wp:effectExtent l="0" t="0" r="6985" b="0"/>
                  <wp:docPr id="1021" name="Picture 6" descr="Common Steps for Award Renouncement with the following five steps: step 1 Decide the award action; step 2 Discontinue award in VBMS-A; step 3 Generate award in VBMS-A; step 4 Prepare the decision notice; and step 5 Submit to Authorizer. " title="Common Steps for Award Renounc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ommon Steps for Award Renouncement with the following five steps: step 1 Decide the award action; step 2 Discontinue award in VBMS-A; step 3 Generate award in VBMS-A; step 4 Prepare the decision notice; and step 5 Submit to Authorizer. " title="Common Steps for Award Renouncement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4D5D35C1" w14:textId="2E38A11D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</w:pPr>
          </w:p>
        </w:tc>
      </w:tr>
      <w:tr w:rsidR="00E45494" w:rsidRPr="000F626B" w14:paraId="1A11E691" w14:textId="77777777" w:rsidTr="00B65AEF">
        <w:trPr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4C18E76C" w14:textId="5EA0B7B5" w:rsidR="00E45494" w:rsidRPr="000F626B" w:rsidRDefault="00E45494" w:rsidP="00E45494">
            <w:pPr>
              <w:pStyle w:val="VBAILTBodyStrong"/>
            </w:pPr>
            <w:r w:rsidRPr="000F626B">
              <w:lastRenderedPageBreak/>
              <w:t>Practice Exercise—Award Renouncement</w:t>
            </w:r>
          </w:p>
          <w:p w14:paraId="7272E96E" w14:textId="77777777" w:rsidR="00E45494" w:rsidRPr="000F626B" w:rsidRDefault="00E45494" w:rsidP="00E45494">
            <w:pPr>
              <w:pStyle w:val="VBAILTbullet1"/>
              <w:numPr>
                <w:ilvl w:val="0"/>
                <w:numId w:val="1"/>
              </w:numPr>
              <w:spacing w:after="120"/>
            </w:pPr>
            <w:r w:rsidRPr="000F626B">
              <w:t xml:space="preserve">Instructions: </w:t>
            </w:r>
          </w:p>
          <w:p w14:paraId="3D7220F0" w14:textId="0EC3D933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Divide into groups of three.</w:t>
            </w:r>
          </w:p>
          <w:p w14:paraId="5E667A51" w14:textId="16E953F8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Complete Appendix A: Part D—Award Renouncement worksheet.</w:t>
            </w:r>
          </w:p>
          <w:p w14:paraId="719DB685" w14:textId="1BDF925E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 xml:space="preserve">Use M21-1 </w:t>
            </w:r>
            <w:r w:rsidRPr="000D5133">
              <w:t xml:space="preserve">X.iv.4. </w:t>
            </w:r>
            <w:r w:rsidRPr="000F626B">
              <w:t xml:space="preserve">(Renouncements). </w:t>
            </w:r>
          </w:p>
          <w:p w14:paraId="7709C0CF" w14:textId="7ADB0AA6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Be prepared to share your finished activity with other groups.</w:t>
            </w:r>
          </w:p>
          <w:p w14:paraId="39A882F9" w14:textId="7A67EDCA" w:rsidR="00E45494" w:rsidRPr="000F626B" w:rsidRDefault="00E45494" w:rsidP="00E45494">
            <w:pPr>
              <w:pStyle w:val="VBAILTbullet1"/>
            </w:pPr>
            <w:r w:rsidRPr="000F626B">
              <w:t>Time allowed: 5-7 minutes</w:t>
            </w:r>
          </w:p>
        </w:tc>
        <w:tc>
          <w:tcPr>
            <w:tcW w:w="5946" w:type="dxa"/>
            <w:gridSpan w:val="2"/>
            <w:tcBorders>
              <w:left w:val="dashSmallGap" w:sz="4" w:space="0" w:color="auto"/>
            </w:tcBorders>
          </w:tcPr>
          <w:p w14:paraId="10B565DF" w14:textId="697B1518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53DB8185" w14:textId="77777777" w:rsidTr="00CC323C">
        <w:trPr>
          <w:gridAfter w:val="1"/>
          <w:wAfter w:w="6" w:type="dxa"/>
          <w:cantSplit/>
          <w:trHeight w:val="3410"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39A37DA0" w14:textId="70E18F36" w:rsidR="00E45494" w:rsidRPr="000F626B" w:rsidRDefault="00E45494" w:rsidP="00E45494">
            <w:pPr>
              <w:pStyle w:val="VBAILTBodyStrong"/>
            </w:pPr>
            <w:r w:rsidRPr="000F626B">
              <w:t>Practice Exercise—Award Renouncement Answers</w:t>
            </w:r>
          </w:p>
          <w:p w14:paraId="73FBA3DC" w14:textId="77777777" w:rsidR="00E45494" w:rsidRPr="00A76DCC" w:rsidRDefault="00A76DCC" w:rsidP="00E45494">
            <w:pPr>
              <w:pStyle w:val="VBAILTAnswerbullet1"/>
              <w:numPr>
                <w:ilvl w:val="0"/>
                <w:numId w:val="0"/>
              </w:numPr>
              <w:rPr>
                <w:b/>
                <w:bCs/>
              </w:rPr>
            </w:pPr>
            <w:r w:rsidRPr="00A76DCC">
              <w:rPr>
                <w:b/>
                <w:bCs/>
              </w:rPr>
              <w:t>Scenario 1:</w:t>
            </w:r>
          </w:p>
          <w:p w14:paraId="42E90B83" w14:textId="77777777" w:rsidR="00A76DCC" w:rsidRPr="00A76DCC" w:rsidRDefault="00A76DCC" w:rsidP="00A76DCC">
            <w:pPr>
              <w:pStyle w:val="VBAILTBody"/>
              <w:rPr>
                <w:b/>
                <w:bCs/>
              </w:rPr>
            </w:pPr>
          </w:p>
          <w:p w14:paraId="23AFD791" w14:textId="6C630035" w:rsidR="00A76DCC" w:rsidRPr="00A76DCC" w:rsidRDefault="00A76DCC" w:rsidP="00A76DCC">
            <w:pPr>
              <w:pStyle w:val="VBAILTBody"/>
            </w:pPr>
            <w:r w:rsidRPr="00A76DCC">
              <w:rPr>
                <w:b/>
                <w:bCs/>
              </w:rPr>
              <w:t>Scenario 2:</w:t>
            </w:r>
            <w:r>
              <w:t xml:space="preserve"> 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2BED90DF" w14:textId="66A53C65" w:rsidR="00E45494" w:rsidRPr="000F626B" w:rsidRDefault="00E45494" w:rsidP="00E45494">
            <w:pPr>
              <w:pStyle w:val="VBAILTbullet1"/>
              <w:numPr>
                <w:ilvl w:val="0"/>
                <w:numId w:val="0"/>
              </w:numPr>
              <w:rPr>
                <w:rStyle w:val="Strong"/>
              </w:rPr>
            </w:pPr>
          </w:p>
        </w:tc>
      </w:tr>
      <w:tr w:rsidR="00E45494" w:rsidRPr="000F626B" w14:paraId="68769577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567C39CE" w14:textId="1F2EC304" w:rsidR="00E45494" w:rsidRPr="000F626B" w:rsidRDefault="00E45494" w:rsidP="00E45494">
            <w:pPr>
              <w:pStyle w:val="VBAILTBodyStrong"/>
            </w:pPr>
            <w:r w:rsidRPr="000F626B">
              <w:lastRenderedPageBreak/>
              <w:t>Practice Exercise—Award Process</w:t>
            </w:r>
          </w:p>
          <w:p w14:paraId="43E8A4F4" w14:textId="77777777" w:rsidR="00E45494" w:rsidRPr="000F626B" w:rsidRDefault="00E45494" w:rsidP="00E45494">
            <w:pPr>
              <w:pStyle w:val="VBAILTbullet1"/>
              <w:numPr>
                <w:ilvl w:val="0"/>
                <w:numId w:val="1"/>
              </w:numPr>
              <w:spacing w:after="120"/>
            </w:pPr>
            <w:r w:rsidRPr="000F626B">
              <w:t xml:space="preserve">Instructions: </w:t>
            </w:r>
          </w:p>
          <w:p w14:paraId="5E5C1152" w14:textId="6970D384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Divide into groups of three.</w:t>
            </w:r>
          </w:p>
          <w:p w14:paraId="7CEB3767" w14:textId="212E1735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Complete Appendix A: Part E—Award Process Worksheet.</w:t>
            </w:r>
          </w:p>
          <w:p w14:paraId="591D1E62" w14:textId="2996529B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Use the job aid listed in Part E.</w:t>
            </w:r>
          </w:p>
          <w:p w14:paraId="17D6F393" w14:textId="11B4FE92" w:rsidR="00E45494" w:rsidRPr="000F626B" w:rsidRDefault="00E45494" w:rsidP="00E45494">
            <w:pPr>
              <w:pStyle w:val="VBAILTBullet2"/>
              <w:numPr>
                <w:ilvl w:val="1"/>
                <w:numId w:val="1"/>
              </w:numPr>
            </w:pPr>
            <w:r w:rsidRPr="000F626B">
              <w:t>Be prepared to share your finished activity with other groups.</w:t>
            </w:r>
          </w:p>
          <w:p w14:paraId="35725FBF" w14:textId="0916CD02" w:rsidR="00E45494" w:rsidRPr="000F626B" w:rsidRDefault="00E45494" w:rsidP="00E45494">
            <w:pPr>
              <w:pStyle w:val="VBAILTbullet1"/>
            </w:pPr>
            <w:r w:rsidRPr="000F626B">
              <w:t>Time allowed: 15-20 minutes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7FCFF853" w14:textId="399B2368" w:rsidR="00E45494" w:rsidRPr="000F626B" w:rsidRDefault="00E45494" w:rsidP="00E45494">
            <w:pPr>
              <w:spacing w:before="45" w:after="45"/>
            </w:pPr>
          </w:p>
        </w:tc>
      </w:tr>
      <w:tr w:rsidR="00E45494" w:rsidRPr="000F626B" w14:paraId="638069D4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5944B006" w14:textId="34A24C60" w:rsidR="00E45494" w:rsidRPr="000F626B" w:rsidRDefault="00E45494" w:rsidP="00E45494">
            <w:pPr>
              <w:pStyle w:val="VBAILTBodyStrong"/>
            </w:pPr>
            <w:r w:rsidRPr="000F626B">
              <w:t xml:space="preserve">Practice Exercise—Award Process </w:t>
            </w:r>
            <w:r w:rsidR="00D6384A">
              <w:t>Questions</w:t>
            </w:r>
            <w:r w:rsidRPr="000F626B">
              <w:t xml:space="preserve"> (1 of 2) </w:t>
            </w:r>
          </w:p>
          <w:p w14:paraId="6F483257" w14:textId="70C8F5B3" w:rsidR="00E45494" w:rsidRPr="000F626B" w:rsidRDefault="00E45494" w:rsidP="00321493">
            <w:pPr>
              <w:pStyle w:val="VBAILTBody"/>
              <w:numPr>
                <w:ilvl w:val="0"/>
                <w:numId w:val="9"/>
              </w:numPr>
            </w:pPr>
            <w:r w:rsidRPr="000F626B">
              <w:t>Based on this scenario, are there multiple issues for this claim? If so, what are the issues?</w:t>
            </w:r>
          </w:p>
          <w:p w14:paraId="79C2A18B" w14:textId="65BC456E" w:rsidR="00E45494" w:rsidRPr="000F626B" w:rsidRDefault="00E45494" w:rsidP="00321493">
            <w:pPr>
              <w:pStyle w:val="VBAILTBody"/>
              <w:numPr>
                <w:ilvl w:val="0"/>
                <w:numId w:val="9"/>
              </w:numPr>
            </w:pPr>
            <w:r w:rsidRPr="000F626B">
              <w:t>If Mr. Curtis was granted benefits, what would be the first step in the award process?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3ABC43C3" w14:textId="3B2D0810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6F34E486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009A367A" w14:textId="021137D8" w:rsidR="00E45494" w:rsidRPr="000F626B" w:rsidRDefault="00E45494" w:rsidP="00E45494">
            <w:pPr>
              <w:pStyle w:val="VBAILTBodyStrong"/>
            </w:pPr>
            <w:r w:rsidRPr="000F626B">
              <w:lastRenderedPageBreak/>
              <w:t xml:space="preserve">Practice Exercise—Award Process </w:t>
            </w:r>
            <w:r w:rsidR="00D6384A">
              <w:t>Questions</w:t>
            </w:r>
            <w:r w:rsidRPr="000F626B">
              <w:t xml:space="preserve"> (2 of 2) </w:t>
            </w:r>
          </w:p>
          <w:p w14:paraId="5FC06D1C" w14:textId="071D217D" w:rsidR="00E45494" w:rsidRPr="000F626B" w:rsidRDefault="00E45494" w:rsidP="00321493">
            <w:pPr>
              <w:pStyle w:val="VBAILTBody"/>
              <w:numPr>
                <w:ilvl w:val="0"/>
                <w:numId w:val="9"/>
              </w:numPr>
            </w:pPr>
            <w:r w:rsidRPr="000F626B">
              <w:t>You have started the award process and you need to enter a decision for the dependent. Based on the scenario, what information should be entered in VBMS-A?</w:t>
            </w:r>
          </w:p>
          <w:p w14:paraId="5BEA18E7" w14:textId="549E985A" w:rsidR="00E45494" w:rsidRPr="000F626B" w:rsidRDefault="00E45494" w:rsidP="00321493">
            <w:pPr>
              <w:pStyle w:val="VBAILTBody"/>
              <w:numPr>
                <w:ilvl w:val="0"/>
                <w:numId w:val="9"/>
              </w:numPr>
            </w:pPr>
            <w:r w:rsidRPr="000F626B">
              <w:t xml:space="preserve">After you have prepared a decision notice for Mr. Curtis, what is the final step you need to take in the award process? 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3ECA3A8C" w14:textId="31195AF8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  <w:tr w:rsidR="00957BCA" w:rsidRPr="000F626B" w14:paraId="2B220343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0C57B2C1" w14:textId="77777777" w:rsidR="00957BCA" w:rsidRDefault="00957BCA" w:rsidP="00E45494">
            <w:pPr>
              <w:pStyle w:val="VBAILTBodyStrong"/>
            </w:pPr>
            <w:r>
              <w:t>Knowledge Check: Lesson Summary Review</w:t>
            </w:r>
          </w:p>
          <w:p w14:paraId="27097726" w14:textId="77777777" w:rsidR="00957BCA" w:rsidRDefault="00957BCA" w:rsidP="00E45494">
            <w:pPr>
              <w:pStyle w:val="VBAILTBodyStrong"/>
            </w:pPr>
            <w:r w:rsidRPr="00E074A2">
              <w:rPr>
                <w:noProof/>
              </w:rPr>
              <w:drawing>
                <wp:inline distT="0" distB="0" distL="0" distR="0" wp14:anchorId="00530E0E" wp14:editId="0D4ED4A1">
                  <wp:extent cx="1546024" cy="722489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75" cy="7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ABFDD" w14:textId="76A01808" w:rsidR="00957BCA" w:rsidRPr="000F626B" w:rsidRDefault="00957BCA" w:rsidP="00E45494">
            <w:pPr>
              <w:pStyle w:val="VBAILTBodyStrong"/>
            </w:pPr>
            <w:r>
              <w:t>Time Allowed: 15 minutes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6ACF3B47" w14:textId="77777777" w:rsidR="00957BCA" w:rsidRPr="000F626B" w:rsidRDefault="00957BCA" w:rsidP="00E45494">
            <w:pPr>
              <w:pStyle w:val="VBAILTBody"/>
              <w:rPr>
                <w:rStyle w:val="Strong"/>
              </w:rPr>
            </w:pPr>
          </w:p>
        </w:tc>
      </w:tr>
      <w:tr w:rsidR="00E45494" w:rsidRPr="000F626B" w14:paraId="19F6E3E8" w14:textId="77777777" w:rsidTr="00ED4AB7">
        <w:trPr>
          <w:gridAfter w:val="1"/>
          <w:wAfter w:w="6" w:type="dxa"/>
          <w:cantSplit/>
          <w:jc w:val="center"/>
        </w:trPr>
        <w:tc>
          <w:tcPr>
            <w:tcW w:w="4135" w:type="dxa"/>
            <w:tcBorders>
              <w:right w:val="dashSmallGap" w:sz="4" w:space="0" w:color="auto"/>
            </w:tcBorders>
          </w:tcPr>
          <w:p w14:paraId="16ACE85C" w14:textId="77777777" w:rsidR="00E45494" w:rsidRDefault="00E45494" w:rsidP="00E45494">
            <w:pPr>
              <w:pStyle w:val="VBAILTBody"/>
              <w:rPr>
                <w:rStyle w:val="Strong"/>
              </w:rPr>
            </w:pPr>
            <w:r>
              <w:rPr>
                <w:rStyle w:val="Strong"/>
              </w:rPr>
              <w:t>What’s Next</w:t>
            </w:r>
          </w:p>
          <w:p w14:paraId="37AB21F9" w14:textId="7320309B" w:rsidR="00E45494" w:rsidRPr="000F626B" w:rsidRDefault="00E45494" w:rsidP="00321493">
            <w:pPr>
              <w:pStyle w:val="VBAILTBodyStrong"/>
              <w:numPr>
                <w:ilvl w:val="0"/>
                <w:numId w:val="10"/>
              </w:numPr>
              <w:rPr>
                <w:b w:val="0"/>
              </w:rPr>
            </w:pPr>
            <w:r w:rsidRPr="00687163">
              <w:rPr>
                <w:rStyle w:val="normaltextrun"/>
                <w:b w:val="0"/>
                <w:bCs/>
              </w:rPr>
              <w:t>Complete TMS Evaluation Confirm Accuracy of Rating Decision using (</w:t>
            </w:r>
            <w:r w:rsidRPr="00687163">
              <w:rPr>
                <w:rStyle w:val="normaltextrun"/>
              </w:rPr>
              <w:t>TMS# 4408480</w:t>
            </w:r>
            <w:r w:rsidRPr="00687163">
              <w:rPr>
                <w:rStyle w:val="normaltextrun"/>
                <w:b w:val="0"/>
                <w:bCs/>
              </w:rPr>
              <w:t>)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3B432533" w14:textId="64B558BD" w:rsidR="00E45494" w:rsidRPr="000F626B" w:rsidRDefault="00E45494" w:rsidP="00E45494">
            <w:pPr>
              <w:pStyle w:val="VBAILTBody"/>
              <w:rPr>
                <w:rStyle w:val="Strong"/>
              </w:rPr>
            </w:pPr>
          </w:p>
        </w:tc>
      </w:tr>
    </w:tbl>
    <w:p w14:paraId="6B08C4F9" w14:textId="54A5E41E" w:rsidR="00D6384A" w:rsidRDefault="00D6384A" w:rsidP="00244D0C"/>
    <w:p w14:paraId="7B2D2910" w14:textId="2D82D9C7" w:rsidR="00D6384A" w:rsidRDefault="00D6384A"/>
    <w:sectPr w:rsidR="00D6384A" w:rsidSect="0056186C">
      <w:headerReference w:type="default" r:id="rId23"/>
      <w:footerReference w:type="default" r:id="rId24"/>
      <w:headerReference w:type="first" r:id="rId25"/>
      <w:pgSz w:w="12240" w:h="15840"/>
      <w:pgMar w:top="15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DB52" w14:textId="77777777" w:rsidR="00ED1AC7" w:rsidRDefault="00ED1AC7" w:rsidP="00C214A9">
      <w:pPr>
        <w:spacing w:after="0" w:line="240" w:lineRule="auto"/>
      </w:pPr>
      <w:r>
        <w:separator/>
      </w:r>
    </w:p>
  </w:endnote>
  <w:endnote w:type="continuationSeparator" w:id="0">
    <w:p w14:paraId="36DE9836" w14:textId="77777777" w:rsidR="00ED1AC7" w:rsidRDefault="00ED1AC7" w:rsidP="00C214A9">
      <w:pPr>
        <w:spacing w:after="0" w:line="240" w:lineRule="auto"/>
      </w:pPr>
      <w:r>
        <w:continuationSeparator/>
      </w:r>
    </w:p>
  </w:endnote>
  <w:endnote w:type="continuationNotice" w:id="1">
    <w:p w14:paraId="5E91B54A" w14:textId="77777777" w:rsidR="00ED1AC7" w:rsidRDefault="00ED1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50" w14:textId="240BC94E" w:rsidR="008D4066" w:rsidRDefault="00957BCA" w:rsidP="000A0F42">
    <w:pPr>
      <w:pStyle w:val="VBAILTFooter"/>
    </w:pPr>
    <w:r>
      <w:t>June 2024</w:t>
    </w:r>
    <w:r w:rsidR="008D4066">
      <w:tab/>
    </w:r>
    <w:r w:rsidR="008D4066" w:rsidRPr="00C214A9">
      <w:rPr>
        <w:i w:val="0"/>
      </w:rPr>
      <w:fldChar w:fldCharType="begin"/>
    </w:r>
    <w:r w:rsidR="008D4066" w:rsidRPr="00C214A9">
      <w:instrText xml:space="preserve"> PAGE   \* MERGEFORMAT </w:instrText>
    </w:r>
    <w:r w:rsidR="008D4066" w:rsidRPr="00C214A9">
      <w:rPr>
        <w:i w:val="0"/>
      </w:rPr>
      <w:fldChar w:fldCharType="separate"/>
    </w:r>
    <w:r w:rsidR="005C0821" w:rsidRPr="005C0821">
      <w:rPr>
        <w:b/>
        <w:bCs/>
        <w:noProof/>
      </w:rPr>
      <w:t>28</w:t>
    </w:r>
    <w:r w:rsidR="008D4066" w:rsidRPr="00C214A9">
      <w:rPr>
        <w:b/>
        <w:bCs/>
        <w:i w:val="0"/>
        <w:noProof/>
      </w:rPr>
      <w:fldChar w:fldCharType="end"/>
    </w:r>
    <w:r w:rsidR="008D4066" w:rsidRPr="00C214A9">
      <w:rPr>
        <w:b/>
        <w:bCs/>
      </w:rPr>
      <w:t xml:space="preserve"> </w:t>
    </w:r>
    <w:r w:rsidR="008D4066" w:rsidRPr="00C214A9">
      <w:t>|</w:t>
    </w:r>
    <w:r w:rsidR="008D4066" w:rsidRPr="00C214A9">
      <w:rPr>
        <w:b/>
        <w:bCs/>
      </w:rPr>
      <w:t xml:space="preserve"> </w:t>
    </w:r>
    <w:r w:rsidR="008D4066" w:rsidRPr="00C214A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7CE0" w14:textId="77777777" w:rsidR="00ED1AC7" w:rsidRDefault="00ED1AC7" w:rsidP="00C214A9">
      <w:pPr>
        <w:spacing w:after="0" w:line="240" w:lineRule="auto"/>
      </w:pPr>
      <w:r>
        <w:separator/>
      </w:r>
    </w:p>
  </w:footnote>
  <w:footnote w:type="continuationSeparator" w:id="0">
    <w:p w14:paraId="4A81C738" w14:textId="77777777" w:rsidR="00ED1AC7" w:rsidRDefault="00ED1AC7" w:rsidP="00C214A9">
      <w:pPr>
        <w:spacing w:after="0" w:line="240" w:lineRule="auto"/>
      </w:pPr>
      <w:r>
        <w:continuationSeparator/>
      </w:r>
    </w:p>
  </w:footnote>
  <w:footnote w:type="continuationNotice" w:id="1">
    <w:p w14:paraId="625C7B68" w14:textId="77777777" w:rsidR="00ED1AC7" w:rsidRDefault="00ED1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CEC5" w14:textId="1734F821" w:rsidR="008D4066" w:rsidRDefault="008D4066" w:rsidP="001262F7">
    <w:pPr>
      <w:pStyle w:val="VBAILTHeader"/>
      <w:pBdr>
        <w:bottom w:val="single" w:sz="4" w:space="1" w:color="auto"/>
      </w:pBdr>
    </w:pPr>
    <w:r w:rsidRPr="004E2F4B">
      <w:t xml:space="preserve">Overview of </w:t>
    </w:r>
    <w:r>
      <w:t>the Award Process</w:t>
    </w:r>
  </w:p>
  <w:p w14:paraId="6B08C54D" w14:textId="233C9C08" w:rsidR="008D4066" w:rsidRPr="002D1DCE" w:rsidRDefault="001934F5" w:rsidP="001262F7">
    <w:pPr>
      <w:pStyle w:val="VBAILTHeader"/>
      <w:pBdr>
        <w:bottom w:val="single" w:sz="4" w:space="1" w:color="auto"/>
      </w:pBdr>
    </w:pPr>
    <w:r>
      <w:t>Trainee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C551" w14:textId="77777777" w:rsidR="008D4066" w:rsidRDefault="008D406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08C553" wp14:editId="6B08C554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80020" cy="5836920"/>
          <wp:effectExtent l="0" t="0" r="0" b="0"/>
          <wp:wrapNone/>
          <wp:docPr id="2" name="Picture 2" descr="VA Logo" title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583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E20"/>
    <w:multiLevelType w:val="hybridMultilevel"/>
    <w:tmpl w:val="5130FDFC"/>
    <w:lvl w:ilvl="0" w:tplc="68145C9A">
      <w:start w:val="1"/>
      <w:numFmt w:val="bullet"/>
      <w:pStyle w:val="VBAIL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082F28">
      <w:start w:val="1"/>
      <w:numFmt w:val="bullet"/>
      <w:pStyle w:val="VBAIL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20152"/>
    <w:multiLevelType w:val="hybridMultilevel"/>
    <w:tmpl w:val="B5180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057D7"/>
    <w:multiLevelType w:val="multilevel"/>
    <w:tmpl w:val="5A3AB502"/>
    <w:styleLink w:val="VBAILT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4B4623"/>
    <w:multiLevelType w:val="hybridMultilevel"/>
    <w:tmpl w:val="B560C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53026"/>
    <w:multiLevelType w:val="multilevel"/>
    <w:tmpl w:val="B7A83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707807"/>
    <w:multiLevelType w:val="multilevel"/>
    <w:tmpl w:val="E878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390D5C"/>
    <w:multiLevelType w:val="hybridMultilevel"/>
    <w:tmpl w:val="4DF07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41ECC"/>
    <w:multiLevelType w:val="hybridMultilevel"/>
    <w:tmpl w:val="4E1AA0B6"/>
    <w:lvl w:ilvl="0" w:tplc="084A3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F2628C">
      <w:start w:val="8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244443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48A1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E875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E9601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520D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2871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25EE84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5106B2"/>
    <w:multiLevelType w:val="hybridMultilevel"/>
    <w:tmpl w:val="2EDC3762"/>
    <w:lvl w:ilvl="0" w:tplc="F77CF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C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2B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2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EA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A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8A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24F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E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7243C7"/>
    <w:multiLevelType w:val="multilevel"/>
    <w:tmpl w:val="5A3AB502"/>
    <w:numStyleLink w:val="VBAILTNumbering"/>
  </w:abstractNum>
  <w:abstractNum w:abstractNumId="10" w15:restartNumberingAfterBreak="0">
    <w:nsid w:val="75DA6BF0"/>
    <w:multiLevelType w:val="hybridMultilevel"/>
    <w:tmpl w:val="66BC9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B582A"/>
    <w:multiLevelType w:val="hybridMultilevel"/>
    <w:tmpl w:val="336E71B4"/>
    <w:lvl w:ilvl="0" w:tplc="3C10A718">
      <w:start w:val="1"/>
      <w:numFmt w:val="bullet"/>
      <w:pStyle w:val="QSTBullet1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F4452"/>
    <w:multiLevelType w:val="hybridMultilevel"/>
    <w:tmpl w:val="9B22E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567216"/>
    <w:multiLevelType w:val="multilevel"/>
    <w:tmpl w:val="0FAC8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774978329">
    <w:abstractNumId w:val="0"/>
  </w:num>
  <w:num w:numId="2" w16cid:durableId="28066746">
    <w:abstractNumId w:val="2"/>
  </w:num>
  <w:num w:numId="3" w16cid:durableId="799229162">
    <w:abstractNumId w:val="6"/>
  </w:num>
  <w:num w:numId="4" w16cid:durableId="1342126185">
    <w:abstractNumId w:val="0"/>
  </w:num>
  <w:num w:numId="5" w16cid:durableId="300888085">
    <w:abstractNumId w:val="11"/>
  </w:num>
  <w:num w:numId="6" w16cid:durableId="2013868571">
    <w:abstractNumId w:val="12"/>
  </w:num>
  <w:num w:numId="7" w16cid:durableId="525757736">
    <w:abstractNumId w:val="1"/>
  </w:num>
  <w:num w:numId="8" w16cid:durableId="1882354846">
    <w:abstractNumId w:val="7"/>
  </w:num>
  <w:num w:numId="9" w16cid:durableId="936601980">
    <w:abstractNumId w:val="9"/>
  </w:num>
  <w:num w:numId="10" w16cid:durableId="1032195813">
    <w:abstractNumId w:val="3"/>
  </w:num>
  <w:num w:numId="11" w16cid:durableId="74791488">
    <w:abstractNumId w:val="5"/>
  </w:num>
  <w:num w:numId="12" w16cid:durableId="308479635">
    <w:abstractNumId w:val="13"/>
  </w:num>
  <w:num w:numId="13" w16cid:durableId="1880435038">
    <w:abstractNumId w:val="4"/>
  </w:num>
  <w:num w:numId="14" w16cid:durableId="2045132814">
    <w:abstractNumId w:val="8"/>
  </w:num>
  <w:num w:numId="15" w16cid:durableId="5544643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1"/>
    <w:rsid w:val="0000100B"/>
    <w:rsid w:val="00002377"/>
    <w:rsid w:val="00003C70"/>
    <w:rsid w:val="00003D36"/>
    <w:rsid w:val="0000453F"/>
    <w:rsid w:val="00004BB4"/>
    <w:rsid w:val="00005B04"/>
    <w:rsid w:val="00005F9F"/>
    <w:rsid w:val="000108CF"/>
    <w:rsid w:val="00012148"/>
    <w:rsid w:val="00013B4B"/>
    <w:rsid w:val="00013C98"/>
    <w:rsid w:val="000145CC"/>
    <w:rsid w:val="0001618A"/>
    <w:rsid w:val="00016516"/>
    <w:rsid w:val="000168EF"/>
    <w:rsid w:val="000215D2"/>
    <w:rsid w:val="00022102"/>
    <w:rsid w:val="0002261E"/>
    <w:rsid w:val="00022D05"/>
    <w:rsid w:val="000237A3"/>
    <w:rsid w:val="000237B3"/>
    <w:rsid w:val="000238B5"/>
    <w:rsid w:val="00023BE2"/>
    <w:rsid w:val="00024F49"/>
    <w:rsid w:val="00025B63"/>
    <w:rsid w:val="00026140"/>
    <w:rsid w:val="00026DB8"/>
    <w:rsid w:val="00030E0D"/>
    <w:rsid w:val="00031B4D"/>
    <w:rsid w:val="00031C3C"/>
    <w:rsid w:val="00032352"/>
    <w:rsid w:val="0003286B"/>
    <w:rsid w:val="00032E83"/>
    <w:rsid w:val="0003449B"/>
    <w:rsid w:val="00034553"/>
    <w:rsid w:val="0003459F"/>
    <w:rsid w:val="00034F12"/>
    <w:rsid w:val="0003544A"/>
    <w:rsid w:val="00035B7F"/>
    <w:rsid w:val="000368F7"/>
    <w:rsid w:val="00036AD4"/>
    <w:rsid w:val="00040C79"/>
    <w:rsid w:val="0004215F"/>
    <w:rsid w:val="00042F46"/>
    <w:rsid w:val="00043768"/>
    <w:rsid w:val="00043816"/>
    <w:rsid w:val="00044003"/>
    <w:rsid w:val="00045103"/>
    <w:rsid w:val="0004614E"/>
    <w:rsid w:val="00046868"/>
    <w:rsid w:val="0004723C"/>
    <w:rsid w:val="00047608"/>
    <w:rsid w:val="000478C3"/>
    <w:rsid w:val="00050D03"/>
    <w:rsid w:val="00050E44"/>
    <w:rsid w:val="00051332"/>
    <w:rsid w:val="00051DF2"/>
    <w:rsid w:val="0005261F"/>
    <w:rsid w:val="00053AA8"/>
    <w:rsid w:val="00054486"/>
    <w:rsid w:val="00054682"/>
    <w:rsid w:val="00055433"/>
    <w:rsid w:val="0005586E"/>
    <w:rsid w:val="000558CB"/>
    <w:rsid w:val="000565F5"/>
    <w:rsid w:val="0005685A"/>
    <w:rsid w:val="000569B7"/>
    <w:rsid w:val="000571BF"/>
    <w:rsid w:val="00057437"/>
    <w:rsid w:val="00057C1E"/>
    <w:rsid w:val="00057E7C"/>
    <w:rsid w:val="0006124B"/>
    <w:rsid w:val="00061335"/>
    <w:rsid w:val="000620B6"/>
    <w:rsid w:val="000626D0"/>
    <w:rsid w:val="00063935"/>
    <w:rsid w:val="000651C7"/>
    <w:rsid w:val="00065596"/>
    <w:rsid w:val="00065DBC"/>
    <w:rsid w:val="0006650B"/>
    <w:rsid w:val="00067C4C"/>
    <w:rsid w:val="00070685"/>
    <w:rsid w:val="00071F5C"/>
    <w:rsid w:val="0007242B"/>
    <w:rsid w:val="0007342F"/>
    <w:rsid w:val="0007638C"/>
    <w:rsid w:val="00076541"/>
    <w:rsid w:val="000779BE"/>
    <w:rsid w:val="00077BE7"/>
    <w:rsid w:val="0008028C"/>
    <w:rsid w:val="00080391"/>
    <w:rsid w:val="00081616"/>
    <w:rsid w:val="00082109"/>
    <w:rsid w:val="00082C54"/>
    <w:rsid w:val="00083BAF"/>
    <w:rsid w:val="00083FC4"/>
    <w:rsid w:val="000852E8"/>
    <w:rsid w:val="0008579F"/>
    <w:rsid w:val="00090345"/>
    <w:rsid w:val="0009072A"/>
    <w:rsid w:val="00090925"/>
    <w:rsid w:val="000915AB"/>
    <w:rsid w:val="0009337D"/>
    <w:rsid w:val="000955B7"/>
    <w:rsid w:val="00096267"/>
    <w:rsid w:val="000A014B"/>
    <w:rsid w:val="000A0F42"/>
    <w:rsid w:val="000A1CFF"/>
    <w:rsid w:val="000A233D"/>
    <w:rsid w:val="000A243F"/>
    <w:rsid w:val="000A378B"/>
    <w:rsid w:val="000A48C1"/>
    <w:rsid w:val="000A49C1"/>
    <w:rsid w:val="000A4B66"/>
    <w:rsid w:val="000A4DEB"/>
    <w:rsid w:val="000A4E09"/>
    <w:rsid w:val="000A53B9"/>
    <w:rsid w:val="000A54F3"/>
    <w:rsid w:val="000A5587"/>
    <w:rsid w:val="000A5752"/>
    <w:rsid w:val="000A70C8"/>
    <w:rsid w:val="000B02BF"/>
    <w:rsid w:val="000B1363"/>
    <w:rsid w:val="000B1420"/>
    <w:rsid w:val="000B14CC"/>
    <w:rsid w:val="000B197A"/>
    <w:rsid w:val="000B198E"/>
    <w:rsid w:val="000B1CB7"/>
    <w:rsid w:val="000B2251"/>
    <w:rsid w:val="000B263B"/>
    <w:rsid w:val="000B3B43"/>
    <w:rsid w:val="000B423D"/>
    <w:rsid w:val="000B583C"/>
    <w:rsid w:val="000B5EDA"/>
    <w:rsid w:val="000B71CA"/>
    <w:rsid w:val="000B71D2"/>
    <w:rsid w:val="000B77A5"/>
    <w:rsid w:val="000C114C"/>
    <w:rsid w:val="000C1972"/>
    <w:rsid w:val="000C2A45"/>
    <w:rsid w:val="000C35C4"/>
    <w:rsid w:val="000C407E"/>
    <w:rsid w:val="000C5029"/>
    <w:rsid w:val="000C51AA"/>
    <w:rsid w:val="000C55F0"/>
    <w:rsid w:val="000C578A"/>
    <w:rsid w:val="000C592A"/>
    <w:rsid w:val="000C67BE"/>
    <w:rsid w:val="000C74CB"/>
    <w:rsid w:val="000C77FB"/>
    <w:rsid w:val="000C7C63"/>
    <w:rsid w:val="000C7EAD"/>
    <w:rsid w:val="000D07A7"/>
    <w:rsid w:val="000D271D"/>
    <w:rsid w:val="000D30BE"/>
    <w:rsid w:val="000D3231"/>
    <w:rsid w:val="000D3D2C"/>
    <w:rsid w:val="000D4ACF"/>
    <w:rsid w:val="000D5133"/>
    <w:rsid w:val="000D5592"/>
    <w:rsid w:val="000D662E"/>
    <w:rsid w:val="000D6FBB"/>
    <w:rsid w:val="000E074B"/>
    <w:rsid w:val="000E127F"/>
    <w:rsid w:val="000E1A2F"/>
    <w:rsid w:val="000E3444"/>
    <w:rsid w:val="000E3B4B"/>
    <w:rsid w:val="000E4DB6"/>
    <w:rsid w:val="000E53E5"/>
    <w:rsid w:val="000E66D2"/>
    <w:rsid w:val="000E68DC"/>
    <w:rsid w:val="000E7B99"/>
    <w:rsid w:val="000F0AB4"/>
    <w:rsid w:val="000F1028"/>
    <w:rsid w:val="000F1653"/>
    <w:rsid w:val="000F3DE0"/>
    <w:rsid w:val="000F5189"/>
    <w:rsid w:val="000F626B"/>
    <w:rsid w:val="000F6A22"/>
    <w:rsid w:val="000F6B8D"/>
    <w:rsid w:val="000F71A7"/>
    <w:rsid w:val="000F7997"/>
    <w:rsid w:val="000F7AFE"/>
    <w:rsid w:val="0010057E"/>
    <w:rsid w:val="001007E4"/>
    <w:rsid w:val="00100D76"/>
    <w:rsid w:val="001014EF"/>
    <w:rsid w:val="001018A8"/>
    <w:rsid w:val="001024B6"/>
    <w:rsid w:val="00104968"/>
    <w:rsid w:val="001049D0"/>
    <w:rsid w:val="00104C64"/>
    <w:rsid w:val="0010510E"/>
    <w:rsid w:val="00105A6B"/>
    <w:rsid w:val="00105E15"/>
    <w:rsid w:val="001061E9"/>
    <w:rsid w:val="001067FE"/>
    <w:rsid w:val="00110335"/>
    <w:rsid w:val="0011097F"/>
    <w:rsid w:val="00111B10"/>
    <w:rsid w:val="00111E2E"/>
    <w:rsid w:val="001127EE"/>
    <w:rsid w:val="00112D23"/>
    <w:rsid w:val="00112E05"/>
    <w:rsid w:val="00114B51"/>
    <w:rsid w:val="001150ED"/>
    <w:rsid w:val="0011521A"/>
    <w:rsid w:val="0011586A"/>
    <w:rsid w:val="00116035"/>
    <w:rsid w:val="00117831"/>
    <w:rsid w:val="00117CD9"/>
    <w:rsid w:val="00117D0B"/>
    <w:rsid w:val="00120573"/>
    <w:rsid w:val="00120D1F"/>
    <w:rsid w:val="00121205"/>
    <w:rsid w:val="0012489D"/>
    <w:rsid w:val="0012570F"/>
    <w:rsid w:val="001262F7"/>
    <w:rsid w:val="001265DE"/>
    <w:rsid w:val="0012730C"/>
    <w:rsid w:val="00130509"/>
    <w:rsid w:val="00130897"/>
    <w:rsid w:val="00130934"/>
    <w:rsid w:val="0013179E"/>
    <w:rsid w:val="00131A9C"/>
    <w:rsid w:val="00131BB6"/>
    <w:rsid w:val="00131C27"/>
    <w:rsid w:val="00132426"/>
    <w:rsid w:val="00132DD5"/>
    <w:rsid w:val="00134899"/>
    <w:rsid w:val="00135734"/>
    <w:rsid w:val="00135DF7"/>
    <w:rsid w:val="001402A2"/>
    <w:rsid w:val="00140DC2"/>
    <w:rsid w:val="0014276C"/>
    <w:rsid w:val="001434A8"/>
    <w:rsid w:val="00143CCF"/>
    <w:rsid w:val="00144120"/>
    <w:rsid w:val="00145428"/>
    <w:rsid w:val="00145486"/>
    <w:rsid w:val="00145686"/>
    <w:rsid w:val="00145E68"/>
    <w:rsid w:val="00147CDB"/>
    <w:rsid w:val="00152CCD"/>
    <w:rsid w:val="00153153"/>
    <w:rsid w:val="0015330F"/>
    <w:rsid w:val="00153912"/>
    <w:rsid w:val="00153ABB"/>
    <w:rsid w:val="00153F6F"/>
    <w:rsid w:val="00154EF8"/>
    <w:rsid w:val="00156D1E"/>
    <w:rsid w:val="00157348"/>
    <w:rsid w:val="001573B5"/>
    <w:rsid w:val="001579E6"/>
    <w:rsid w:val="001604CC"/>
    <w:rsid w:val="0016353F"/>
    <w:rsid w:val="00163FB6"/>
    <w:rsid w:val="001649ED"/>
    <w:rsid w:val="00164CA6"/>
    <w:rsid w:val="0016538C"/>
    <w:rsid w:val="00165B3D"/>
    <w:rsid w:val="001660EE"/>
    <w:rsid w:val="00166678"/>
    <w:rsid w:val="00167FF7"/>
    <w:rsid w:val="0017061C"/>
    <w:rsid w:val="00170AE6"/>
    <w:rsid w:val="00171686"/>
    <w:rsid w:val="0017193F"/>
    <w:rsid w:val="00172AC1"/>
    <w:rsid w:val="0017361D"/>
    <w:rsid w:val="00174C72"/>
    <w:rsid w:val="0017573C"/>
    <w:rsid w:val="00176879"/>
    <w:rsid w:val="00180A4C"/>
    <w:rsid w:val="00180A60"/>
    <w:rsid w:val="001824A8"/>
    <w:rsid w:val="00182A07"/>
    <w:rsid w:val="00183926"/>
    <w:rsid w:val="00183A2F"/>
    <w:rsid w:val="00183A42"/>
    <w:rsid w:val="00183BF6"/>
    <w:rsid w:val="00184241"/>
    <w:rsid w:val="00184945"/>
    <w:rsid w:val="00184D4D"/>
    <w:rsid w:val="0018528C"/>
    <w:rsid w:val="00185324"/>
    <w:rsid w:val="00185A18"/>
    <w:rsid w:val="00185CCE"/>
    <w:rsid w:val="001864EF"/>
    <w:rsid w:val="0018790D"/>
    <w:rsid w:val="001913D6"/>
    <w:rsid w:val="00191628"/>
    <w:rsid w:val="001932D5"/>
    <w:rsid w:val="001934F5"/>
    <w:rsid w:val="00194ADD"/>
    <w:rsid w:val="00194ADF"/>
    <w:rsid w:val="0019576C"/>
    <w:rsid w:val="00195FB6"/>
    <w:rsid w:val="00196A5D"/>
    <w:rsid w:val="0019750D"/>
    <w:rsid w:val="001A0D8A"/>
    <w:rsid w:val="001A15E6"/>
    <w:rsid w:val="001A195A"/>
    <w:rsid w:val="001A2B71"/>
    <w:rsid w:val="001A3E27"/>
    <w:rsid w:val="001A4661"/>
    <w:rsid w:val="001A4A5D"/>
    <w:rsid w:val="001A4C27"/>
    <w:rsid w:val="001A54DB"/>
    <w:rsid w:val="001A59CE"/>
    <w:rsid w:val="001A7493"/>
    <w:rsid w:val="001B13C5"/>
    <w:rsid w:val="001B1F0A"/>
    <w:rsid w:val="001B24A2"/>
    <w:rsid w:val="001B268A"/>
    <w:rsid w:val="001B2766"/>
    <w:rsid w:val="001B2773"/>
    <w:rsid w:val="001B3314"/>
    <w:rsid w:val="001B3D91"/>
    <w:rsid w:val="001B475E"/>
    <w:rsid w:val="001B4AC5"/>
    <w:rsid w:val="001B5228"/>
    <w:rsid w:val="001B59CD"/>
    <w:rsid w:val="001B5C45"/>
    <w:rsid w:val="001B624E"/>
    <w:rsid w:val="001B74F0"/>
    <w:rsid w:val="001C0B61"/>
    <w:rsid w:val="001C22EC"/>
    <w:rsid w:val="001C247E"/>
    <w:rsid w:val="001C29F3"/>
    <w:rsid w:val="001C45A5"/>
    <w:rsid w:val="001C4AFB"/>
    <w:rsid w:val="001C4C67"/>
    <w:rsid w:val="001C5828"/>
    <w:rsid w:val="001C5E4B"/>
    <w:rsid w:val="001C5E6D"/>
    <w:rsid w:val="001C6938"/>
    <w:rsid w:val="001D02B4"/>
    <w:rsid w:val="001D060D"/>
    <w:rsid w:val="001D1340"/>
    <w:rsid w:val="001D1A58"/>
    <w:rsid w:val="001D2E6A"/>
    <w:rsid w:val="001D3027"/>
    <w:rsid w:val="001D43F1"/>
    <w:rsid w:val="001D5A75"/>
    <w:rsid w:val="001D60B5"/>
    <w:rsid w:val="001D66B9"/>
    <w:rsid w:val="001D694C"/>
    <w:rsid w:val="001E0E10"/>
    <w:rsid w:val="001E33F8"/>
    <w:rsid w:val="001E3858"/>
    <w:rsid w:val="001E4100"/>
    <w:rsid w:val="001E6665"/>
    <w:rsid w:val="001E7B6E"/>
    <w:rsid w:val="001F030B"/>
    <w:rsid w:val="001F153F"/>
    <w:rsid w:val="001F197E"/>
    <w:rsid w:val="001F282C"/>
    <w:rsid w:val="001F2991"/>
    <w:rsid w:val="001F4BBB"/>
    <w:rsid w:val="001F4BBE"/>
    <w:rsid w:val="001F5676"/>
    <w:rsid w:val="001F621C"/>
    <w:rsid w:val="001F6EAD"/>
    <w:rsid w:val="001F6F2D"/>
    <w:rsid w:val="001F713B"/>
    <w:rsid w:val="001F7547"/>
    <w:rsid w:val="00200847"/>
    <w:rsid w:val="002015F3"/>
    <w:rsid w:val="00201C72"/>
    <w:rsid w:val="00201C95"/>
    <w:rsid w:val="00203A43"/>
    <w:rsid w:val="00204A6B"/>
    <w:rsid w:val="00204E20"/>
    <w:rsid w:val="00204EF6"/>
    <w:rsid w:val="00205087"/>
    <w:rsid w:val="002071BC"/>
    <w:rsid w:val="00207894"/>
    <w:rsid w:val="00210E2F"/>
    <w:rsid w:val="00211B53"/>
    <w:rsid w:val="002123F8"/>
    <w:rsid w:val="00212F94"/>
    <w:rsid w:val="00212FFD"/>
    <w:rsid w:val="00214686"/>
    <w:rsid w:val="00214913"/>
    <w:rsid w:val="002169E3"/>
    <w:rsid w:val="00216FA0"/>
    <w:rsid w:val="00221D84"/>
    <w:rsid w:val="00221FB5"/>
    <w:rsid w:val="00222A23"/>
    <w:rsid w:val="00222A6D"/>
    <w:rsid w:val="00223607"/>
    <w:rsid w:val="002243AA"/>
    <w:rsid w:val="00225A86"/>
    <w:rsid w:val="00225E85"/>
    <w:rsid w:val="00226F3A"/>
    <w:rsid w:val="00230051"/>
    <w:rsid w:val="00231AD0"/>
    <w:rsid w:val="00231E6E"/>
    <w:rsid w:val="00232A01"/>
    <w:rsid w:val="00234A47"/>
    <w:rsid w:val="00235156"/>
    <w:rsid w:val="00235CA0"/>
    <w:rsid w:val="00236118"/>
    <w:rsid w:val="002366D9"/>
    <w:rsid w:val="00236DFF"/>
    <w:rsid w:val="002370FC"/>
    <w:rsid w:val="002375B7"/>
    <w:rsid w:val="00237CCD"/>
    <w:rsid w:val="0024084E"/>
    <w:rsid w:val="00240A8F"/>
    <w:rsid w:val="0024209B"/>
    <w:rsid w:val="00242186"/>
    <w:rsid w:val="0024242F"/>
    <w:rsid w:val="00243580"/>
    <w:rsid w:val="00244684"/>
    <w:rsid w:val="00244D0C"/>
    <w:rsid w:val="00246659"/>
    <w:rsid w:val="0024725B"/>
    <w:rsid w:val="00247C18"/>
    <w:rsid w:val="0025029A"/>
    <w:rsid w:val="0025051B"/>
    <w:rsid w:val="0025068B"/>
    <w:rsid w:val="0025087F"/>
    <w:rsid w:val="00250E38"/>
    <w:rsid w:val="00250F9D"/>
    <w:rsid w:val="00250FEF"/>
    <w:rsid w:val="0025124E"/>
    <w:rsid w:val="002516F1"/>
    <w:rsid w:val="00251859"/>
    <w:rsid w:val="00251997"/>
    <w:rsid w:val="002538FF"/>
    <w:rsid w:val="002543D6"/>
    <w:rsid w:val="002566DF"/>
    <w:rsid w:val="00256C6A"/>
    <w:rsid w:val="00257FE1"/>
    <w:rsid w:val="00260F4E"/>
    <w:rsid w:val="00261984"/>
    <w:rsid w:val="00261E47"/>
    <w:rsid w:val="002622D3"/>
    <w:rsid w:val="002626A3"/>
    <w:rsid w:val="00262AFD"/>
    <w:rsid w:val="002642C1"/>
    <w:rsid w:val="00265703"/>
    <w:rsid w:val="00265F0D"/>
    <w:rsid w:val="002664F7"/>
    <w:rsid w:val="002675C8"/>
    <w:rsid w:val="00267BA2"/>
    <w:rsid w:val="00267F5A"/>
    <w:rsid w:val="00267F8E"/>
    <w:rsid w:val="002701FA"/>
    <w:rsid w:val="00270E5F"/>
    <w:rsid w:val="00270F9F"/>
    <w:rsid w:val="002710BE"/>
    <w:rsid w:val="00271DAD"/>
    <w:rsid w:val="00273670"/>
    <w:rsid w:val="00273FA3"/>
    <w:rsid w:val="00274765"/>
    <w:rsid w:val="0027573B"/>
    <w:rsid w:val="00275763"/>
    <w:rsid w:val="0027639A"/>
    <w:rsid w:val="00276457"/>
    <w:rsid w:val="0027784E"/>
    <w:rsid w:val="002818CB"/>
    <w:rsid w:val="002843F8"/>
    <w:rsid w:val="0028561F"/>
    <w:rsid w:val="002860D0"/>
    <w:rsid w:val="00286467"/>
    <w:rsid w:val="002869D3"/>
    <w:rsid w:val="00286A6D"/>
    <w:rsid w:val="00287015"/>
    <w:rsid w:val="00290680"/>
    <w:rsid w:val="002908E2"/>
    <w:rsid w:val="002909A8"/>
    <w:rsid w:val="00290E92"/>
    <w:rsid w:val="002912BA"/>
    <w:rsid w:val="00291824"/>
    <w:rsid w:val="002927F8"/>
    <w:rsid w:val="002928DA"/>
    <w:rsid w:val="00293ECD"/>
    <w:rsid w:val="00293F59"/>
    <w:rsid w:val="0029554D"/>
    <w:rsid w:val="0029698E"/>
    <w:rsid w:val="002A025B"/>
    <w:rsid w:val="002A1E7D"/>
    <w:rsid w:val="002A24A1"/>
    <w:rsid w:val="002A26E9"/>
    <w:rsid w:val="002A2BB7"/>
    <w:rsid w:val="002A3DE1"/>
    <w:rsid w:val="002A3EB4"/>
    <w:rsid w:val="002A3F97"/>
    <w:rsid w:val="002A526E"/>
    <w:rsid w:val="002A598F"/>
    <w:rsid w:val="002A5CA8"/>
    <w:rsid w:val="002A5F2B"/>
    <w:rsid w:val="002A6A7D"/>
    <w:rsid w:val="002A6BC9"/>
    <w:rsid w:val="002A7456"/>
    <w:rsid w:val="002B0D6C"/>
    <w:rsid w:val="002B0D74"/>
    <w:rsid w:val="002B2478"/>
    <w:rsid w:val="002B297E"/>
    <w:rsid w:val="002B2982"/>
    <w:rsid w:val="002B2AE2"/>
    <w:rsid w:val="002B32E8"/>
    <w:rsid w:val="002B4F4E"/>
    <w:rsid w:val="002B62BB"/>
    <w:rsid w:val="002B6707"/>
    <w:rsid w:val="002B674D"/>
    <w:rsid w:val="002B6A5A"/>
    <w:rsid w:val="002B6F98"/>
    <w:rsid w:val="002B758A"/>
    <w:rsid w:val="002C16B0"/>
    <w:rsid w:val="002C1AA6"/>
    <w:rsid w:val="002C3646"/>
    <w:rsid w:val="002C3FE7"/>
    <w:rsid w:val="002C4A91"/>
    <w:rsid w:val="002C5DD2"/>
    <w:rsid w:val="002C6590"/>
    <w:rsid w:val="002C74B0"/>
    <w:rsid w:val="002C7924"/>
    <w:rsid w:val="002C7A73"/>
    <w:rsid w:val="002C7BF9"/>
    <w:rsid w:val="002D0B12"/>
    <w:rsid w:val="002D0BC7"/>
    <w:rsid w:val="002D1DCE"/>
    <w:rsid w:val="002D261E"/>
    <w:rsid w:val="002D277A"/>
    <w:rsid w:val="002D3868"/>
    <w:rsid w:val="002D469D"/>
    <w:rsid w:val="002D5B35"/>
    <w:rsid w:val="002D5C03"/>
    <w:rsid w:val="002D6907"/>
    <w:rsid w:val="002D6FE3"/>
    <w:rsid w:val="002D7C4C"/>
    <w:rsid w:val="002D7FF3"/>
    <w:rsid w:val="002E1305"/>
    <w:rsid w:val="002E2486"/>
    <w:rsid w:val="002E2CA8"/>
    <w:rsid w:val="002E3042"/>
    <w:rsid w:val="002E3812"/>
    <w:rsid w:val="002E43BC"/>
    <w:rsid w:val="002E472A"/>
    <w:rsid w:val="002E4AD8"/>
    <w:rsid w:val="002E5404"/>
    <w:rsid w:val="002E638E"/>
    <w:rsid w:val="002E6395"/>
    <w:rsid w:val="002E75D8"/>
    <w:rsid w:val="002E7715"/>
    <w:rsid w:val="002E7FD3"/>
    <w:rsid w:val="002F06F3"/>
    <w:rsid w:val="002F0E5D"/>
    <w:rsid w:val="002F1862"/>
    <w:rsid w:val="002F2436"/>
    <w:rsid w:val="002F2B0A"/>
    <w:rsid w:val="002F331B"/>
    <w:rsid w:val="002F47DE"/>
    <w:rsid w:val="002F4A7B"/>
    <w:rsid w:val="002F4F36"/>
    <w:rsid w:val="002F522D"/>
    <w:rsid w:val="002F5481"/>
    <w:rsid w:val="002F6ACA"/>
    <w:rsid w:val="002F7642"/>
    <w:rsid w:val="002F7FD8"/>
    <w:rsid w:val="00300026"/>
    <w:rsid w:val="00300095"/>
    <w:rsid w:val="0030154F"/>
    <w:rsid w:val="003021F1"/>
    <w:rsid w:val="0030332B"/>
    <w:rsid w:val="00303946"/>
    <w:rsid w:val="00305E9B"/>
    <w:rsid w:val="00305FD4"/>
    <w:rsid w:val="003078AE"/>
    <w:rsid w:val="003079A7"/>
    <w:rsid w:val="00310238"/>
    <w:rsid w:val="00310870"/>
    <w:rsid w:val="003110E6"/>
    <w:rsid w:val="0031191E"/>
    <w:rsid w:val="0031212E"/>
    <w:rsid w:val="00312130"/>
    <w:rsid w:val="003121B4"/>
    <w:rsid w:val="0031232D"/>
    <w:rsid w:val="003132B7"/>
    <w:rsid w:val="0031386D"/>
    <w:rsid w:val="00314182"/>
    <w:rsid w:val="003143F7"/>
    <w:rsid w:val="003146B9"/>
    <w:rsid w:val="003150F9"/>
    <w:rsid w:val="00315AE5"/>
    <w:rsid w:val="00316176"/>
    <w:rsid w:val="0031624E"/>
    <w:rsid w:val="00317CD2"/>
    <w:rsid w:val="00320EEC"/>
    <w:rsid w:val="00321493"/>
    <w:rsid w:val="003221C0"/>
    <w:rsid w:val="003228D2"/>
    <w:rsid w:val="0032290E"/>
    <w:rsid w:val="00322C06"/>
    <w:rsid w:val="00324320"/>
    <w:rsid w:val="00325D33"/>
    <w:rsid w:val="00325F73"/>
    <w:rsid w:val="00327101"/>
    <w:rsid w:val="00332DA2"/>
    <w:rsid w:val="0033309C"/>
    <w:rsid w:val="003331ED"/>
    <w:rsid w:val="00334723"/>
    <w:rsid w:val="00334BD9"/>
    <w:rsid w:val="003360C1"/>
    <w:rsid w:val="003366DE"/>
    <w:rsid w:val="00336714"/>
    <w:rsid w:val="003375EF"/>
    <w:rsid w:val="00337DA1"/>
    <w:rsid w:val="00340862"/>
    <w:rsid w:val="00345D2C"/>
    <w:rsid w:val="003466FF"/>
    <w:rsid w:val="00346707"/>
    <w:rsid w:val="00346959"/>
    <w:rsid w:val="003470FF"/>
    <w:rsid w:val="00347C76"/>
    <w:rsid w:val="00350272"/>
    <w:rsid w:val="00351657"/>
    <w:rsid w:val="0035224D"/>
    <w:rsid w:val="00352733"/>
    <w:rsid w:val="0035281B"/>
    <w:rsid w:val="003531F9"/>
    <w:rsid w:val="0035367B"/>
    <w:rsid w:val="00353A4E"/>
    <w:rsid w:val="00355EDE"/>
    <w:rsid w:val="00360F79"/>
    <w:rsid w:val="00361531"/>
    <w:rsid w:val="00361663"/>
    <w:rsid w:val="003623B8"/>
    <w:rsid w:val="00362E9F"/>
    <w:rsid w:val="00362F5F"/>
    <w:rsid w:val="00362FF2"/>
    <w:rsid w:val="00363B44"/>
    <w:rsid w:val="00364F3F"/>
    <w:rsid w:val="00365013"/>
    <w:rsid w:val="00365B38"/>
    <w:rsid w:val="003666E8"/>
    <w:rsid w:val="00366C40"/>
    <w:rsid w:val="00367203"/>
    <w:rsid w:val="00367378"/>
    <w:rsid w:val="00367398"/>
    <w:rsid w:val="00370236"/>
    <w:rsid w:val="00370A5A"/>
    <w:rsid w:val="00371E59"/>
    <w:rsid w:val="00374262"/>
    <w:rsid w:val="00374966"/>
    <w:rsid w:val="00374C34"/>
    <w:rsid w:val="00374CEB"/>
    <w:rsid w:val="00374EAB"/>
    <w:rsid w:val="00375083"/>
    <w:rsid w:val="003754B8"/>
    <w:rsid w:val="00376493"/>
    <w:rsid w:val="003765EE"/>
    <w:rsid w:val="00376739"/>
    <w:rsid w:val="00376E51"/>
    <w:rsid w:val="003772D6"/>
    <w:rsid w:val="003816AC"/>
    <w:rsid w:val="00382020"/>
    <w:rsid w:val="00384166"/>
    <w:rsid w:val="0038420D"/>
    <w:rsid w:val="00384703"/>
    <w:rsid w:val="00384A23"/>
    <w:rsid w:val="00385A03"/>
    <w:rsid w:val="00386438"/>
    <w:rsid w:val="00386EAF"/>
    <w:rsid w:val="003876DA"/>
    <w:rsid w:val="003908F3"/>
    <w:rsid w:val="00391794"/>
    <w:rsid w:val="003926FB"/>
    <w:rsid w:val="00393476"/>
    <w:rsid w:val="003950F6"/>
    <w:rsid w:val="003957E5"/>
    <w:rsid w:val="003968E5"/>
    <w:rsid w:val="00396CA9"/>
    <w:rsid w:val="00397146"/>
    <w:rsid w:val="0039750C"/>
    <w:rsid w:val="00397735"/>
    <w:rsid w:val="003A037A"/>
    <w:rsid w:val="003A0993"/>
    <w:rsid w:val="003A108D"/>
    <w:rsid w:val="003A2B30"/>
    <w:rsid w:val="003A4BC9"/>
    <w:rsid w:val="003A523A"/>
    <w:rsid w:val="003A5D5B"/>
    <w:rsid w:val="003B04B5"/>
    <w:rsid w:val="003B08CE"/>
    <w:rsid w:val="003B118F"/>
    <w:rsid w:val="003B11C4"/>
    <w:rsid w:val="003B14E2"/>
    <w:rsid w:val="003B1960"/>
    <w:rsid w:val="003B2EE7"/>
    <w:rsid w:val="003B3180"/>
    <w:rsid w:val="003B31A6"/>
    <w:rsid w:val="003B51A8"/>
    <w:rsid w:val="003B61F3"/>
    <w:rsid w:val="003B6347"/>
    <w:rsid w:val="003B79A5"/>
    <w:rsid w:val="003C0331"/>
    <w:rsid w:val="003C129B"/>
    <w:rsid w:val="003C247E"/>
    <w:rsid w:val="003C2790"/>
    <w:rsid w:val="003C2AA3"/>
    <w:rsid w:val="003C49AF"/>
    <w:rsid w:val="003C59DA"/>
    <w:rsid w:val="003D0666"/>
    <w:rsid w:val="003D0760"/>
    <w:rsid w:val="003D1175"/>
    <w:rsid w:val="003D24BA"/>
    <w:rsid w:val="003D36C9"/>
    <w:rsid w:val="003D3E5B"/>
    <w:rsid w:val="003D423A"/>
    <w:rsid w:val="003D452F"/>
    <w:rsid w:val="003D460D"/>
    <w:rsid w:val="003D49A9"/>
    <w:rsid w:val="003D53B8"/>
    <w:rsid w:val="003D5832"/>
    <w:rsid w:val="003D6564"/>
    <w:rsid w:val="003D6A2F"/>
    <w:rsid w:val="003D7A37"/>
    <w:rsid w:val="003E0BAD"/>
    <w:rsid w:val="003E373F"/>
    <w:rsid w:val="003E38ED"/>
    <w:rsid w:val="003E3D02"/>
    <w:rsid w:val="003E412B"/>
    <w:rsid w:val="003E56CF"/>
    <w:rsid w:val="003E5D02"/>
    <w:rsid w:val="003E5D50"/>
    <w:rsid w:val="003E6249"/>
    <w:rsid w:val="003E67C2"/>
    <w:rsid w:val="003E6F2D"/>
    <w:rsid w:val="003F03A3"/>
    <w:rsid w:val="003F0F45"/>
    <w:rsid w:val="003F1498"/>
    <w:rsid w:val="003F196F"/>
    <w:rsid w:val="003F2603"/>
    <w:rsid w:val="003F28F1"/>
    <w:rsid w:val="003F5AEB"/>
    <w:rsid w:val="003F5C6A"/>
    <w:rsid w:val="003F6032"/>
    <w:rsid w:val="003F62A7"/>
    <w:rsid w:val="003F671A"/>
    <w:rsid w:val="003F694D"/>
    <w:rsid w:val="003F7273"/>
    <w:rsid w:val="003F777B"/>
    <w:rsid w:val="00400622"/>
    <w:rsid w:val="00400843"/>
    <w:rsid w:val="0040139A"/>
    <w:rsid w:val="00402123"/>
    <w:rsid w:val="0040262C"/>
    <w:rsid w:val="004040E9"/>
    <w:rsid w:val="00404393"/>
    <w:rsid w:val="0041062A"/>
    <w:rsid w:val="004109B8"/>
    <w:rsid w:val="00411F35"/>
    <w:rsid w:val="00412239"/>
    <w:rsid w:val="004123F5"/>
    <w:rsid w:val="004125C1"/>
    <w:rsid w:val="00412A61"/>
    <w:rsid w:val="004132A4"/>
    <w:rsid w:val="00414618"/>
    <w:rsid w:val="00414FFA"/>
    <w:rsid w:val="0041549E"/>
    <w:rsid w:val="00416682"/>
    <w:rsid w:val="004171F8"/>
    <w:rsid w:val="00420466"/>
    <w:rsid w:val="00420FEB"/>
    <w:rsid w:val="004214D4"/>
    <w:rsid w:val="004221E3"/>
    <w:rsid w:val="0042283C"/>
    <w:rsid w:val="00422BB6"/>
    <w:rsid w:val="00423678"/>
    <w:rsid w:val="0042479D"/>
    <w:rsid w:val="004255CE"/>
    <w:rsid w:val="00425CC0"/>
    <w:rsid w:val="004266EC"/>
    <w:rsid w:val="00431633"/>
    <w:rsid w:val="00432145"/>
    <w:rsid w:val="00432FB6"/>
    <w:rsid w:val="00433679"/>
    <w:rsid w:val="004356BB"/>
    <w:rsid w:val="00435F46"/>
    <w:rsid w:val="0043691F"/>
    <w:rsid w:val="00437E75"/>
    <w:rsid w:val="00437EF1"/>
    <w:rsid w:val="00440BED"/>
    <w:rsid w:val="00441BA5"/>
    <w:rsid w:val="00442CE4"/>
    <w:rsid w:val="00442E5C"/>
    <w:rsid w:val="0044314E"/>
    <w:rsid w:val="004442EF"/>
    <w:rsid w:val="00445F8A"/>
    <w:rsid w:val="00446143"/>
    <w:rsid w:val="004477AB"/>
    <w:rsid w:val="0044782B"/>
    <w:rsid w:val="00447BB8"/>
    <w:rsid w:val="00450A98"/>
    <w:rsid w:val="00451D4B"/>
    <w:rsid w:val="004530C3"/>
    <w:rsid w:val="004531B3"/>
    <w:rsid w:val="00454C4F"/>
    <w:rsid w:val="00454E3F"/>
    <w:rsid w:val="00456C46"/>
    <w:rsid w:val="00456C63"/>
    <w:rsid w:val="00456D35"/>
    <w:rsid w:val="0045721A"/>
    <w:rsid w:val="004572FB"/>
    <w:rsid w:val="00460103"/>
    <w:rsid w:val="004624B9"/>
    <w:rsid w:val="00463248"/>
    <w:rsid w:val="00463EC8"/>
    <w:rsid w:val="00466B2E"/>
    <w:rsid w:val="00466F33"/>
    <w:rsid w:val="00466FD0"/>
    <w:rsid w:val="004704EF"/>
    <w:rsid w:val="004713F0"/>
    <w:rsid w:val="004720DB"/>
    <w:rsid w:val="00472B38"/>
    <w:rsid w:val="00472E39"/>
    <w:rsid w:val="0047317A"/>
    <w:rsid w:val="004736EF"/>
    <w:rsid w:val="0047595D"/>
    <w:rsid w:val="00475C1F"/>
    <w:rsid w:val="0047699D"/>
    <w:rsid w:val="00477FCF"/>
    <w:rsid w:val="00480514"/>
    <w:rsid w:val="00480980"/>
    <w:rsid w:val="0048219D"/>
    <w:rsid w:val="0048257C"/>
    <w:rsid w:val="004826A3"/>
    <w:rsid w:val="00482D84"/>
    <w:rsid w:val="00483D62"/>
    <w:rsid w:val="00484206"/>
    <w:rsid w:val="00485603"/>
    <w:rsid w:val="00485B43"/>
    <w:rsid w:val="00485F83"/>
    <w:rsid w:val="0048667C"/>
    <w:rsid w:val="00487000"/>
    <w:rsid w:val="004873A0"/>
    <w:rsid w:val="00487A64"/>
    <w:rsid w:val="0049191C"/>
    <w:rsid w:val="004919B9"/>
    <w:rsid w:val="00493FE6"/>
    <w:rsid w:val="0049433F"/>
    <w:rsid w:val="00494920"/>
    <w:rsid w:val="0049499F"/>
    <w:rsid w:val="004963A9"/>
    <w:rsid w:val="00496568"/>
    <w:rsid w:val="00497D73"/>
    <w:rsid w:val="004A01BD"/>
    <w:rsid w:val="004A3DB4"/>
    <w:rsid w:val="004A45F3"/>
    <w:rsid w:val="004A4EE1"/>
    <w:rsid w:val="004A5391"/>
    <w:rsid w:val="004A6323"/>
    <w:rsid w:val="004A7439"/>
    <w:rsid w:val="004A75DC"/>
    <w:rsid w:val="004A774D"/>
    <w:rsid w:val="004A7FFD"/>
    <w:rsid w:val="004B06CB"/>
    <w:rsid w:val="004B0763"/>
    <w:rsid w:val="004B0988"/>
    <w:rsid w:val="004B2667"/>
    <w:rsid w:val="004B34FA"/>
    <w:rsid w:val="004B353F"/>
    <w:rsid w:val="004B3787"/>
    <w:rsid w:val="004B3F7E"/>
    <w:rsid w:val="004B4EE0"/>
    <w:rsid w:val="004B551E"/>
    <w:rsid w:val="004B5F06"/>
    <w:rsid w:val="004B5F8E"/>
    <w:rsid w:val="004B6474"/>
    <w:rsid w:val="004B7F19"/>
    <w:rsid w:val="004C0C89"/>
    <w:rsid w:val="004C194D"/>
    <w:rsid w:val="004C2968"/>
    <w:rsid w:val="004C2A98"/>
    <w:rsid w:val="004C3141"/>
    <w:rsid w:val="004C3523"/>
    <w:rsid w:val="004C3ABA"/>
    <w:rsid w:val="004C46D8"/>
    <w:rsid w:val="004C647A"/>
    <w:rsid w:val="004C6659"/>
    <w:rsid w:val="004C67E4"/>
    <w:rsid w:val="004C798F"/>
    <w:rsid w:val="004D0804"/>
    <w:rsid w:val="004D094D"/>
    <w:rsid w:val="004D0F9A"/>
    <w:rsid w:val="004D20CB"/>
    <w:rsid w:val="004D2604"/>
    <w:rsid w:val="004D2E2A"/>
    <w:rsid w:val="004D3764"/>
    <w:rsid w:val="004D3835"/>
    <w:rsid w:val="004D4618"/>
    <w:rsid w:val="004D5AFF"/>
    <w:rsid w:val="004D5CFB"/>
    <w:rsid w:val="004D5FDF"/>
    <w:rsid w:val="004E0EBE"/>
    <w:rsid w:val="004E11E4"/>
    <w:rsid w:val="004E1FB0"/>
    <w:rsid w:val="004E22AA"/>
    <w:rsid w:val="004E2F4B"/>
    <w:rsid w:val="004E2FC6"/>
    <w:rsid w:val="004E4BB2"/>
    <w:rsid w:val="004E4E41"/>
    <w:rsid w:val="004E70FC"/>
    <w:rsid w:val="004E769A"/>
    <w:rsid w:val="004E7B73"/>
    <w:rsid w:val="004F09F4"/>
    <w:rsid w:val="004F101F"/>
    <w:rsid w:val="004F1A78"/>
    <w:rsid w:val="004F2756"/>
    <w:rsid w:val="004F3B84"/>
    <w:rsid w:val="004F45CD"/>
    <w:rsid w:val="004F5084"/>
    <w:rsid w:val="004F51AC"/>
    <w:rsid w:val="004F5E1F"/>
    <w:rsid w:val="004F5FD7"/>
    <w:rsid w:val="004F601C"/>
    <w:rsid w:val="004F6E5A"/>
    <w:rsid w:val="004F7206"/>
    <w:rsid w:val="004F75C8"/>
    <w:rsid w:val="004F78A8"/>
    <w:rsid w:val="005000B1"/>
    <w:rsid w:val="00500820"/>
    <w:rsid w:val="00500AE3"/>
    <w:rsid w:val="00503817"/>
    <w:rsid w:val="0050394A"/>
    <w:rsid w:val="0050507E"/>
    <w:rsid w:val="00505DDF"/>
    <w:rsid w:val="00507FC8"/>
    <w:rsid w:val="00510700"/>
    <w:rsid w:val="00510B47"/>
    <w:rsid w:val="00510F85"/>
    <w:rsid w:val="005128A6"/>
    <w:rsid w:val="00512928"/>
    <w:rsid w:val="00512A7D"/>
    <w:rsid w:val="00512C7E"/>
    <w:rsid w:val="00513659"/>
    <w:rsid w:val="00513A51"/>
    <w:rsid w:val="00513BBE"/>
    <w:rsid w:val="00513D95"/>
    <w:rsid w:val="00514115"/>
    <w:rsid w:val="00514EC6"/>
    <w:rsid w:val="00514F9E"/>
    <w:rsid w:val="005155B8"/>
    <w:rsid w:val="00515C3B"/>
    <w:rsid w:val="00515CD3"/>
    <w:rsid w:val="00516FCC"/>
    <w:rsid w:val="00517CD4"/>
    <w:rsid w:val="00522D88"/>
    <w:rsid w:val="00523459"/>
    <w:rsid w:val="00524416"/>
    <w:rsid w:val="00524D87"/>
    <w:rsid w:val="005258A7"/>
    <w:rsid w:val="00526401"/>
    <w:rsid w:val="0052735B"/>
    <w:rsid w:val="00527617"/>
    <w:rsid w:val="00530ED5"/>
    <w:rsid w:val="005314F3"/>
    <w:rsid w:val="005328BA"/>
    <w:rsid w:val="00532E5A"/>
    <w:rsid w:val="00533005"/>
    <w:rsid w:val="00533A36"/>
    <w:rsid w:val="00533FB8"/>
    <w:rsid w:val="005360D8"/>
    <w:rsid w:val="00536547"/>
    <w:rsid w:val="00536A9E"/>
    <w:rsid w:val="00537156"/>
    <w:rsid w:val="00540058"/>
    <w:rsid w:val="005401A0"/>
    <w:rsid w:val="00540404"/>
    <w:rsid w:val="00540CAD"/>
    <w:rsid w:val="005431B2"/>
    <w:rsid w:val="00543447"/>
    <w:rsid w:val="00543914"/>
    <w:rsid w:val="00543C7E"/>
    <w:rsid w:val="00544325"/>
    <w:rsid w:val="0054436F"/>
    <w:rsid w:val="00544BF9"/>
    <w:rsid w:val="0054620A"/>
    <w:rsid w:val="00546BA1"/>
    <w:rsid w:val="00550395"/>
    <w:rsid w:val="00550F68"/>
    <w:rsid w:val="005517E4"/>
    <w:rsid w:val="00551CF3"/>
    <w:rsid w:val="0055336E"/>
    <w:rsid w:val="005536FC"/>
    <w:rsid w:val="00553A02"/>
    <w:rsid w:val="00554001"/>
    <w:rsid w:val="005540F1"/>
    <w:rsid w:val="005542F7"/>
    <w:rsid w:val="00554822"/>
    <w:rsid w:val="00555BED"/>
    <w:rsid w:val="00555F68"/>
    <w:rsid w:val="005566A2"/>
    <w:rsid w:val="005570C4"/>
    <w:rsid w:val="00557E44"/>
    <w:rsid w:val="00560E41"/>
    <w:rsid w:val="00561001"/>
    <w:rsid w:val="0056186C"/>
    <w:rsid w:val="00562261"/>
    <w:rsid w:val="005622D8"/>
    <w:rsid w:val="0056237A"/>
    <w:rsid w:val="0056255B"/>
    <w:rsid w:val="005629B0"/>
    <w:rsid w:val="00563657"/>
    <w:rsid w:val="00563CE0"/>
    <w:rsid w:val="00563D94"/>
    <w:rsid w:val="00564A10"/>
    <w:rsid w:val="0056551C"/>
    <w:rsid w:val="00566D64"/>
    <w:rsid w:val="00570124"/>
    <w:rsid w:val="005702EC"/>
    <w:rsid w:val="00570370"/>
    <w:rsid w:val="00570BD2"/>
    <w:rsid w:val="00572523"/>
    <w:rsid w:val="00572B64"/>
    <w:rsid w:val="00572DBE"/>
    <w:rsid w:val="005737EA"/>
    <w:rsid w:val="00573C63"/>
    <w:rsid w:val="00573D3B"/>
    <w:rsid w:val="005756A0"/>
    <w:rsid w:val="0057580F"/>
    <w:rsid w:val="00576D49"/>
    <w:rsid w:val="005773A6"/>
    <w:rsid w:val="00577E13"/>
    <w:rsid w:val="0058012E"/>
    <w:rsid w:val="00581C11"/>
    <w:rsid w:val="00582387"/>
    <w:rsid w:val="00582D4E"/>
    <w:rsid w:val="00584400"/>
    <w:rsid w:val="005844C2"/>
    <w:rsid w:val="00585485"/>
    <w:rsid w:val="005856E3"/>
    <w:rsid w:val="00585B88"/>
    <w:rsid w:val="005863F6"/>
    <w:rsid w:val="005907AA"/>
    <w:rsid w:val="00590F38"/>
    <w:rsid w:val="00591206"/>
    <w:rsid w:val="00591947"/>
    <w:rsid w:val="00591B9B"/>
    <w:rsid w:val="00592709"/>
    <w:rsid w:val="0059395B"/>
    <w:rsid w:val="005946DD"/>
    <w:rsid w:val="005965F1"/>
    <w:rsid w:val="00596B16"/>
    <w:rsid w:val="00596EB2"/>
    <w:rsid w:val="00597A45"/>
    <w:rsid w:val="00597E5A"/>
    <w:rsid w:val="005A0601"/>
    <w:rsid w:val="005A1F50"/>
    <w:rsid w:val="005A3312"/>
    <w:rsid w:val="005A3447"/>
    <w:rsid w:val="005A37EC"/>
    <w:rsid w:val="005A4DD1"/>
    <w:rsid w:val="005A625A"/>
    <w:rsid w:val="005A66E2"/>
    <w:rsid w:val="005A6A4E"/>
    <w:rsid w:val="005A72B9"/>
    <w:rsid w:val="005A7997"/>
    <w:rsid w:val="005B05B9"/>
    <w:rsid w:val="005B05CB"/>
    <w:rsid w:val="005B350B"/>
    <w:rsid w:val="005B3933"/>
    <w:rsid w:val="005B43B5"/>
    <w:rsid w:val="005B4B6B"/>
    <w:rsid w:val="005B525A"/>
    <w:rsid w:val="005B540C"/>
    <w:rsid w:val="005B6642"/>
    <w:rsid w:val="005B6734"/>
    <w:rsid w:val="005B6A52"/>
    <w:rsid w:val="005C0821"/>
    <w:rsid w:val="005C097E"/>
    <w:rsid w:val="005C0A87"/>
    <w:rsid w:val="005C0C67"/>
    <w:rsid w:val="005C0EA4"/>
    <w:rsid w:val="005C1A2D"/>
    <w:rsid w:val="005C359C"/>
    <w:rsid w:val="005C52C7"/>
    <w:rsid w:val="005C53F6"/>
    <w:rsid w:val="005C5421"/>
    <w:rsid w:val="005C6414"/>
    <w:rsid w:val="005C7037"/>
    <w:rsid w:val="005C72AB"/>
    <w:rsid w:val="005D02A4"/>
    <w:rsid w:val="005D0818"/>
    <w:rsid w:val="005D0D0D"/>
    <w:rsid w:val="005D0D6F"/>
    <w:rsid w:val="005D1408"/>
    <w:rsid w:val="005D2227"/>
    <w:rsid w:val="005D44C5"/>
    <w:rsid w:val="005D4632"/>
    <w:rsid w:val="005D5030"/>
    <w:rsid w:val="005D5F99"/>
    <w:rsid w:val="005D7AC0"/>
    <w:rsid w:val="005E17CA"/>
    <w:rsid w:val="005E3890"/>
    <w:rsid w:val="005E3964"/>
    <w:rsid w:val="005E3B51"/>
    <w:rsid w:val="005E43F8"/>
    <w:rsid w:val="005E53AB"/>
    <w:rsid w:val="005E7963"/>
    <w:rsid w:val="005E7DC1"/>
    <w:rsid w:val="005F0038"/>
    <w:rsid w:val="005F0126"/>
    <w:rsid w:val="005F0471"/>
    <w:rsid w:val="005F05B9"/>
    <w:rsid w:val="005F1337"/>
    <w:rsid w:val="005F3CCF"/>
    <w:rsid w:val="005F4A31"/>
    <w:rsid w:val="005F5321"/>
    <w:rsid w:val="005F61C9"/>
    <w:rsid w:val="005F6BFB"/>
    <w:rsid w:val="0060120D"/>
    <w:rsid w:val="00601864"/>
    <w:rsid w:val="00601CE0"/>
    <w:rsid w:val="006023C0"/>
    <w:rsid w:val="00602646"/>
    <w:rsid w:val="00602D0A"/>
    <w:rsid w:val="00604CF4"/>
    <w:rsid w:val="0060513B"/>
    <w:rsid w:val="00605711"/>
    <w:rsid w:val="00606B6D"/>
    <w:rsid w:val="00606D59"/>
    <w:rsid w:val="00606EA9"/>
    <w:rsid w:val="00610933"/>
    <w:rsid w:val="0061100A"/>
    <w:rsid w:val="006117E8"/>
    <w:rsid w:val="00611DE5"/>
    <w:rsid w:val="00612D9E"/>
    <w:rsid w:val="00612EEB"/>
    <w:rsid w:val="00613433"/>
    <w:rsid w:val="006201F4"/>
    <w:rsid w:val="0062021C"/>
    <w:rsid w:val="00620395"/>
    <w:rsid w:val="00620DE7"/>
    <w:rsid w:val="00621A98"/>
    <w:rsid w:val="00621D27"/>
    <w:rsid w:val="00621E26"/>
    <w:rsid w:val="00622460"/>
    <w:rsid w:val="00623494"/>
    <w:rsid w:val="006234DD"/>
    <w:rsid w:val="00623F5D"/>
    <w:rsid w:val="00624B47"/>
    <w:rsid w:val="00624C85"/>
    <w:rsid w:val="006262D2"/>
    <w:rsid w:val="0062749A"/>
    <w:rsid w:val="00627A8F"/>
    <w:rsid w:val="00627AE6"/>
    <w:rsid w:val="00627D51"/>
    <w:rsid w:val="0063039C"/>
    <w:rsid w:val="006309D3"/>
    <w:rsid w:val="00630F34"/>
    <w:rsid w:val="00632AB7"/>
    <w:rsid w:val="00632BB7"/>
    <w:rsid w:val="00632BBA"/>
    <w:rsid w:val="00632EDC"/>
    <w:rsid w:val="006338BF"/>
    <w:rsid w:val="006347DF"/>
    <w:rsid w:val="006365CB"/>
    <w:rsid w:val="006366BB"/>
    <w:rsid w:val="00636E2C"/>
    <w:rsid w:val="0063750F"/>
    <w:rsid w:val="00640876"/>
    <w:rsid w:val="00640FB1"/>
    <w:rsid w:val="0064101B"/>
    <w:rsid w:val="00641E13"/>
    <w:rsid w:val="0064271C"/>
    <w:rsid w:val="006434E8"/>
    <w:rsid w:val="00643738"/>
    <w:rsid w:val="006438E0"/>
    <w:rsid w:val="0064391C"/>
    <w:rsid w:val="00643BF0"/>
    <w:rsid w:val="00645187"/>
    <w:rsid w:val="0064559D"/>
    <w:rsid w:val="0064620C"/>
    <w:rsid w:val="00646B41"/>
    <w:rsid w:val="00650BD5"/>
    <w:rsid w:val="00651D9F"/>
    <w:rsid w:val="0065250A"/>
    <w:rsid w:val="006525EB"/>
    <w:rsid w:val="00652AA2"/>
    <w:rsid w:val="00652FA0"/>
    <w:rsid w:val="00653314"/>
    <w:rsid w:val="00653C31"/>
    <w:rsid w:val="00654793"/>
    <w:rsid w:val="00654E74"/>
    <w:rsid w:val="00655B0D"/>
    <w:rsid w:val="006561F8"/>
    <w:rsid w:val="00656277"/>
    <w:rsid w:val="006565F2"/>
    <w:rsid w:val="00656CD3"/>
    <w:rsid w:val="00660408"/>
    <w:rsid w:val="00660811"/>
    <w:rsid w:val="00661539"/>
    <w:rsid w:val="00661A61"/>
    <w:rsid w:val="0066220F"/>
    <w:rsid w:val="006633E3"/>
    <w:rsid w:val="006634E5"/>
    <w:rsid w:val="00663F92"/>
    <w:rsid w:val="006651F0"/>
    <w:rsid w:val="006663E9"/>
    <w:rsid w:val="00666482"/>
    <w:rsid w:val="00666F11"/>
    <w:rsid w:val="006671B9"/>
    <w:rsid w:val="006672D1"/>
    <w:rsid w:val="00667591"/>
    <w:rsid w:val="00670C8C"/>
    <w:rsid w:val="00671664"/>
    <w:rsid w:val="00671E91"/>
    <w:rsid w:val="00671FD2"/>
    <w:rsid w:val="00672072"/>
    <w:rsid w:val="006727AB"/>
    <w:rsid w:val="00672964"/>
    <w:rsid w:val="0067338A"/>
    <w:rsid w:val="00673510"/>
    <w:rsid w:val="00673ADE"/>
    <w:rsid w:val="00674527"/>
    <w:rsid w:val="006750BC"/>
    <w:rsid w:val="00675C4A"/>
    <w:rsid w:val="00675D91"/>
    <w:rsid w:val="006762F0"/>
    <w:rsid w:val="006764FD"/>
    <w:rsid w:val="0068095B"/>
    <w:rsid w:val="00680B47"/>
    <w:rsid w:val="00681514"/>
    <w:rsid w:val="00682259"/>
    <w:rsid w:val="006836F3"/>
    <w:rsid w:val="00684060"/>
    <w:rsid w:val="00685876"/>
    <w:rsid w:val="006877B8"/>
    <w:rsid w:val="0069233F"/>
    <w:rsid w:val="0069355A"/>
    <w:rsid w:val="00693937"/>
    <w:rsid w:val="00694D33"/>
    <w:rsid w:val="00694F46"/>
    <w:rsid w:val="006A05C3"/>
    <w:rsid w:val="006A0817"/>
    <w:rsid w:val="006A156D"/>
    <w:rsid w:val="006A220E"/>
    <w:rsid w:val="006A30CD"/>
    <w:rsid w:val="006A33A2"/>
    <w:rsid w:val="006A36D7"/>
    <w:rsid w:val="006A3748"/>
    <w:rsid w:val="006A4026"/>
    <w:rsid w:val="006A40B9"/>
    <w:rsid w:val="006A4FBF"/>
    <w:rsid w:val="006A79C9"/>
    <w:rsid w:val="006B017D"/>
    <w:rsid w:val="006B0536"/>
    <w:rsid w:val="006B21F3"/>
    <w:rsid w:val="006B2AA5"/>
    <w:rsid w:val="006B32AD"/>
    <w:rsid w:val="006B32D9"/>
    <w:rsid w:val="006B4519"/>
    <w:rsid w:val="006B48EA"/>
    <w:rsid w:val="006B59B3"/>
    <w:rsid w:val="006B6082"/>
    <w:rsid w:val="006B6678"/>
    <w:rsid w:val="006B67B4"/>
    <w:rsid w:val="006B6C61"/>
    <w:rsid w:val="006B6D63"/>
    <w:rsid w:val="006B75CF"/>
    <w:rsid w:val="006B7693"/>
    <w:rsid w:val="006B7C72"/>
    <w:rsid w:val="006C0959"/>
    <w:rsid w:val="006C1542"/>
    <w:rsid w:val="006C1621"/>
    <w:rsid w:val="006C1C03"/>
    <w:rsid w:val="006C1EF5"/>
    <w:rsid w:val="006C2295"/>
    <w:rsid w:val="006C2831"/>
    <w:rsid w:val="006C295F"/>
    <w:rsid w:val="006C2A57"/>
    <w:rsid w:val="006C2BB0"/>
    <w:rsid w:val="006C3091"/>
    <w:rsid w:val="006C37CF"/>
    <w:rsid w:val="006C48A2"/>
    <w:rsid w:val="006C50FB"/>
    <w:rsid w:val="006C5325"/>
    <w:rsid w:val="006C5F0E"/>
    <w:rsid w:val="006C6385"/>
    <w:rsid w:val="006C68A5"/>
    <w:rsid w:val="006C7E17"/>
    <w:rsid w:val="006D0CCC"/>
    <w:rsid w:val="006D0FC8"/>
    <w:rsid w:val="006D1205"/>
    <w:rsid w:val="006D2554"/>
    <w:rsid w:val="006D259D"/>
    <w:rsid w:val="006D35B2"/>
    <w:rsid w:val="006D4BD2"/>
    <w:rsid w:val="006D66B5"/>
    <w:rsid w:val="006D771D"/>
    <w:rsid w:val="006E09B1"/>
    <w:rsid w:val="006E1367"/>
    <w:rsid w:val="006E3089"/>
    <w:rsid w:val="006E3C84"/>
    <w:rsid w:val="006E3E93"/>
    <w:rsid w:val="006E452B"/>
    <w:rsid w:val="006E54AE"/>
    <w:rsid w:val="006F018D"/>
    <w:rsid w:val="006F0BB2"/>
    <w:rsid w:val="006F1A31"/>
    <w:rsid w:val="006F367C"/>
    <w:rsid w:val="006F5216"/>
    <w:rsid w:val="006F54C2"/>
    <w:rsid w:val="006F54F0"/>
    <w:rsid w:val="006F5E58"/>
    <w:rsid w:val="006F70DA"/>
    <w:rsid w:val="006F727D"/>
    <w:rsid w:val="006F7544"/>
    <w:rsid w:val="007009DB"/>
    <w:rsid w:val="007024C4"/>
    <w:rsid w:val="007028E7"/>
    <w:rsid w:val="00702C48"/>
    <w:rsid w:val="00702EE8"/>
    <w:rsid w:val="007043C0"/>
    <w:rsid w:val="0070502F"/>
    <w:rsid w:val="007058F3"/>
    <w:rsid w:val="0070594B"/>
    <w:rsid w:val="00705C97"/>
    <w:rsid w:val="00705DB5"/>
    <w:rsid w:val="00706DA3"/>
    <w:rsid w:val="007070D9"/>
    <w:rsid w:val="00707303"/>
    <w:rsid w:val="00707E7C"/>
    <w:rsid w:val="00710221"/>
    <w:rsid w:val="0071057D"/>
    <w:rsid w:val="00710AD2"/>
    <w:rsid w:val="00711B5F"/>
    <w:rsid w:val="00712727"/>
    <w:rsid w:val="00712731"/>
    <w:rsid w:val="00712D34"/>
    <w:rsid w:val="00713C16"/>
    <w:rsid w:val="00714441"/>
    <w:rsid w:val="00714939"/>
    <w:rsid w:val="0071558A"/>
    <w:rsid w:val="00715EA8"/>
    <w:rsid w:val="00716CFD"/>
    <w:rsid w:val="007205E4"/>
    <w:rsid w:val="007205F4"/>
    <w:rsid w:val="00720FA1"/>
    <w:rsid w:val="007228BF"/>
    <w:rsid w:val="00722E13"/>
    <w:rsid w:val="00722E91"/>
    <w:rsid w:val="00723350"/>
    <w:rsid w:val="00724495"/>
    <w:rsid w:val="00725C79"/>
    <w:rsid w:val="00725F1C"/>
    <w:rsid w:val="00726546"/>
    <w:rsid w:val="00726A12"/>
    <w:rsid w:val="00726B3D"/>
    <w:rsid w:val="00727AFA"/>
    <w:rsid w:val="00727F90"/>
    <w:rsid w:val="007309F0"/>
    <w:rsid w:val="00731C06"/>
    <w:rsid w:val="007324D9"/>
    <w:rsid w:val="007327FB"/>
    <w:rsid w:val="00733BF8"/>
    <w:rsid w:val="00733C7C"/>
    <w:rsid w:val="007350D2"/>
    <w:rsid w:val="00736109"/>
    <w:rsid w:val="00736D61"/>
    <w:rsid w:val="00737C1B"/>
    <w:rsid w:val="0074108E"/>
    <w:rsid w:val="0074291C"/>
    <w:rsid w:val="00742A11"/>
    <w:rsid w:val="007431A7"/>
    <w:rsid w:val="00744C80"/>
    <w:rsid w:val="00745524"/>
    <w:rsid w:val="007466D7"/>
    <w:rsid w:val="00746B94"/>
    <w:rsid w:val="00747C7A"/>
    <w:rsid w:val="00750D38"/>
    <w:rsid w:val="00750F4F"/>
    <w:rsid w:val="0075182E"/>
    <w:rsid w:val="00753A11"/>
    <w:rsid w:val="00753A5C"/>
    <w:rsid w:val="00753C74"/>
    <w:rsid w:val="0075410E"/>
    <w:rsid w:val="007546B8"/>
    <w:rsid w:val="007547EB"/>
    <w:rsid w:val="00754E19"/>
    <w:rsid w:val="0075542C"/>
    <w:rsid w:val="00756D64"/>
    <w:rsid w:val="00756EDD"/>
    <w:rsid w:val="00761041"/>
    <w:rsid w:val="00765183"/>
    <w:rsid w:val="007655E2"/>
    <w:rsid w:val="007656D6"/>
    <w:rsid w:val="00765BC2"/>
    <w:rsid w:val="00765CEF"/>
    <w:rsid w:val="00766CC3"/>
    <w:rsid w:val="0076763B"/>
    <w:rsid w:val="00767B5F"/>
    <w:rsid w:val="00767E13"/>
    <w:rsid w:val="00771D7B"/>
    <w:rsid w:val="00773212"/>
    <w:rsid w:val="007735D7"/>
    <w:rsid w:val="007736CE"/>
    <w:rsid w:val="00775F97"/>
    <w:rsid w:val="0077679F"/>
    <w:rsid w:val="007775F4"/>
    <w:rsid w:val="00780CFF"/>
    <w:rsid w:val="007810BB"/>
    <w:rsid w:val="00784599"/>
    <w:rsid w:val="00784F33"/>
    <w:rsid w:val="00785095"/>
    <w:rsid w:val="00790D7C"/>
    <w:rsid w:val="00791555"/>
    <w:rsid w:val="0079156C"/>
    <w:rsid w:val="00793A22"/>
    <w:rsid w:val="00794557"/>
    <w:rsid w:val="007948A8"/>
    <w:rsid w:val="00795202"/>
    <w:rsid w:val="00796912"/>
    <w:rsid w:val="007972C1"/>
    <w:rsid w:val="007A013A"/>
    <w:rsid w:val="007A0CCF"/>
    <w:rsid w:val="007A20BA"/>
    <w:rsid w:val="007A2B5C"/>
    <w:rsid w:val="007A2EC7"/>
    <w:rsid w:val="007A3876"/>
    <w:rsid w:val="007A3904"/>
    <w:rsid w:val="007A46FE"/>
    <w:rsid w:val="007A4E49"/>
    <w:rsid w:val="007A5D5F"/>
    <w:rsid w:val="007B0921"/>
    <w:rsid w:val="007B189C"/>
    <w:rsid w:val="007B35CE"/>
    <w:rsid w:val="007B3B14"/>
    <w:rsid w:val="007B42C1"/>
    <w:rsid w:val="007B4468"/>
    <w:rsid w:val="007B5198"/>
    <w:rsid w:val="007B5936"/>
    <w:rsid w:val="007B6B98"/>
    <w:rsid w:val="007B7160"/>
    <w:rsid w:val="007B789D"/>
    <w:rsid w:val="007C0520"/>
    <w:rsid w:val="007C1C9C"/>
    <w:rsid w:val="007C2EBF"/>
    <w:rsid w:val="007C316C"/>
    <w:rsid w:val="007C39B4"/>
    <w:rsid w:val="007C3CEB"/>
    <w:rsid w:val="007C4487"/>
    <w:rsid w:val="007C5401"/>
    <w:rsid w:val="007C5B96"/>
    <w:rsid w:val="007C5EC9"/>
    <w:rsid w:val="007C6322"/>
    <w:rsid w:val="007D0D9C"/>
    <w:rsid w:val="007D2155"/>
    <w:rsid w:val="007D47CB"/>
    <w:rsid w:val="007D483F"/>
    <w:rsid w:val="007D510E"/>
    <w:rsid w:val="007D5C1A"/>
    <w:rsid w:val="007D6E3E"/>
    <w:rsid w:val="007D74F6"/>
    <w:rsid w:val="007D7F7E"/>
    <w:rsid w:val="007E09DD"/>
    <w:rsid w:val="007E0ED8"/>
    <w:rsid w:val="007E1F58"/>
    <w:rsid w:val="007E29AA"/>
    <w:rsid w:val="007E3B0D"/>
    <w:rsid w:val="007E3B24"/>
    <w:rsid w:val="007E3DC0"/>
    <w:rsid w:val="007E4144"/>
    <w:rsid w:val="007E428B"/>
    <w:rsid w:val="007E4966"/>
    <w:rsid w:val="007E62D2"/>
    <w:rsid w:val="007E6445"/>
    <w:rsid w:val="007E68D1"/>
    <w:rsid w:val="007E7307"/>
    <w:rsid w:val="007E75B2"/>
    <w:rsid w:val="007E771A"/>
    <w:rsid w:val="007E785C"/>
    <w:rsid w:val="007F036F"/>
    <w:rsid w:val="007F0B92"/>
    <w:rsid w:val="007F17EA"/>
    <w:rsid w:val="007F18FC"/>
    <w:rsid w:val="007F1B5E"/>
    <w:rsid w:val="007F3FE1"/>
    <w:rsid w:val="007F4752"/>
    <w:rsid w:val="007F4916"/>
    <w:rsid w:val="007F4D1E"/>
    <w:rsid w:val="007F59BB"/>
    <w:rsid w:val="007F67FA"/>
    <w:rsid w:val="007F7480"/>
    <w:rsid w:val="00800DB0"/>
    <w:rsid w:val="00802173"/>
    <w:rsid w:val="00803475"/>
    <w:rsid w:val="00803940"/>
    <w:rsid w:val="00803FF7"/>
    <w:rsid w:val="008048EE"/>
    <w:rsid w:val="00804B88"/>
    <w:rsid w:val="00805591"/>
    <w:rsid w:val="00805FD9"/>
    <w:rsid w:val="00807115"/>
    <w:rsid w:val="0080756A"/>
    <w:rsid w:val="00807CC8"/>
    <w:rsid w:val="00812762"/>
    <w:rsid w:val="00812FFE"/>
    <w:rsid w:val="008133EE"/>
    <w:rsid w:val="00813848"/>
    <w:rsid w:val="00814016"/>
    <w:rsid w:val="008145ED"/>
    <w:rsid w:val="00814C02"/>
    <w:rsid w:val="00815025"/>
    <w:rsid w:val="00815FF0"/>
    <w:rsid w:val="0081648B"/>
    <w:rsid w:val="00816551"/>
    <w:rsid w:val="0081663E"/>
    <w:rsid w:val="0081679C"/>
    <w:rsid w:val="00816B13"/>
    <w:rsid w:val="00816C4F"/>
    <w:rsid w:val="00816C70"/>
    <w:rsid w:val="00817472"/>
    <w:rsid w:val="008177CD"/>
    <w:rsid w:val="0082021A"/>
    <w:rsid w:val="00820372"/>
    <w:rsid w:val="00821B69"/>
    <w:rsid w:val="0082202C"/>
    <w:rsid w:val="00823051"/>
    <w:rsid w:val="0082319B"/>
    <w:rsid w:val="0082385F"/>
    <w:rsid w:val="00823A28"/>
    <w:rsid w:val="00823E3D"/>
    <w:rsid w:val="00824A6A"/>
    <w:rsid w:val="00825730"/>
    <w:rsid w:val="00827543"/>
    <w:rsid w:val="0083062F"/>
    <w:rsid w:val="00830B67"/>
    <w:rsid w:val="00830BE0"/>
    <w:rsid w:val="008314A8"/>
    <w:rsid w:val="00831682"/>
    <w:rsid w:val="00831B68"/>
    <w:rsid w:val="0083289A"/>
    <w:rsid w:val="00832DA8"/>
    <w:rsid w:val="008335A8"/>
    <w:rsid w:val="008348AB"/>
    <w:rsid w:val="008359D3"/>
    <w:rsid w:val="00835A12"/>
    <w:rsid w:val="00836BEA"/>
    <w:rsid w:val="00836FF8"/>
    <w:rsid w:val="00840607"/>
    <w:rsid w:val="00841182"/>
    <w:rsid w:val="00842046"/>
    <w:rsid w:val="008428D8"/>
    <w:rsid w:val="00842A30"/>
    <w:rsid w:val="00842DA9"/>
    <w:rsid w:val="00843302"/>
    <w:rsid w:val="00843385"/>
    <w:rsid w:val="00844086"/>
    <w:rsid w:val="00844F3A"/>
    <w:rsid w:val="00847A0C"/>
    <w:rsid w:val="00847C78"/>
    <w:rsid w:val="008508A5"/>
    <w:rsid w:val="00854729"/>
    <w:rsid w:val="00855C1D"/>
    <w:rsid w:val="0085607C"/>
    <w:rsid w:val="008562BD"/>
    <w:rsid w:val="00856C9B"/>
    <w:rsid w:val="008579E2"/>
    <w:rsid w:val="00857D37"/>
    <w:rsid w:val="008607B7"/>
    <w:rsid w:val="008611AD"/>
    <w:rsid w:val="00861EAA"/>
    <w:rsid w:val="00862551"/>
    <w:rsid w:val="00863034"/>
    <w:rsid w:val="008632D1"/>
    <w:rsid w:val="00863953"/>
    <w:rsid w:val="00864806"/>
    <w:rsid w:val="00864B01"/>
    <w:rsid w:val="00865E22"/>
    <w:rsid w:val="00866154"/>
    <w:rsid w:val="00866642"/>
    <w:rsid w:val="0087080B"/>
    <w:rsid w:val="008715F0"/>
    <w:rsid w:val="00871F5E"/>
    <w:rsid w:val="00872478"/>
    <w:rsid w:val="008730AD"/>
    <w:rsid w:val="00874C2E"/>
    <w:rsid w:val="00881D07"/>
    <w:rsid w:val="008825AB"/>
    <w:rsid w:val="00883349"/>
    <w:rsid w:val="00883EDA"/>
    <w:rsid w:val="00885C70"/>
    <w:rsid w:val="00885E21"/>
    <w:rsid w:val="008863CA"/>
    <w:rsid w:val="00886FBC"/>
    <w:rsid w:val="00890705"/>
    <w:rsid w:val="00890A51"/>
    <w:rsid w:val="00890D80"/>
    <w:rsid w:val="008916C0"/>
    <w:rsid w:val="00891C87"/>
    <w:rsid w:val="0089277C"/>
    <w:rsid w:val="00892B2F"/>
    <w:rsid w:val="00892C34"/>
    <w:rsid w:val="008939BB"/>
    <w:rsid w:val="00895678"/>
    <w:rsid w:val="00896BA4"/>
    <w:rsid w:val="008A031B"/>
    <w:rsid w:val="008A0EFB"/>
    <w:rsid w:val="008A0FA0"/>
    <w:rsid w:val="008A2938"/>
    <w:rsid w:val="008A2A70"/>
    <w:rsid w:val="008A2D07"/>
    <w:rsid w:val="008A38D7"/>
    <w:rsid w:val="008A40F7"/>
    <w:rsid w:val="008A47BA"/>
    <w:rsid w:val="008A4949"/>
    <w:rsid w:val="008A5248"/>
    <w:rsid w:val="008A69A7"/>
    <w:rsid w:val="008A6E1C"/>
    <w:rsid w:val="008B05BB"/>
    <w:rsid w:val="008B0638"/>
    <w:rsid w:val="008B17A7"/>
    <w:rsid w:val="008B17CE"/>
    <w:rsid w:val="008B39E4"/>
    <w:rsid w:val="008B426B"/>
    <w:rsid w:val="008B4CC0"/>
    <w:rsid w:val="008B5241"/>
    <w:rsid w:val="008B5EC0"/>
    <w:rsid w:val="008B66C6"/>
    <w:rsid w:val="008B6EB9"/>
    <w:rsid w:val="008B6EED"/>
    <w:rsid w:val="008B70D7"/>
    <w:rsid w:val="008C07BD"/>
    <w:rsid w:val="008C0917"/>
    <w:rsid w:val="008C171D"/>
    <w:rsid w:val="008C2B5C"/>
    <w:rsid w:val="008C2F09"/>
    <w:rsid w:val="008C2FA7"/>
    <w:rsid w:val="008C3CA5"/>
    <w:rsid w:val="008C464B"/>
    <w:rsid w:val="008C59F2"/>
    <w:rsid w:val="008C59FE"/>
    <w:rsid w:val="008C5B9E"/>
    <w:rsid w:val="008C5BB3"/>
    <w:rsid w:val="008C5C45"/>
    <w:rsid w:val="008C6552"/>
    <w:rsid w:val="008C73C5"/>
    <w:rsid w:val="008D1215"/>
    <w:rsid w:val="008D24F9"/>
    <w:rsid w:val="008D255E"/>
    <w:rsid w:val="008D3261"/>
    <w:rsid w:val="008D3D9E"/>
    <w:rsid w:val="008D4066"/>
    <w:rsid w:val="008D43FB"/>
    <w:rsid w:val="008D44CD"/>
    <w:rsid w:val="008D4C6C"/>
    <w:rsid w:val="008D51CE"/>
    <w:rsid w:val="008D5C8E"/>
    <w:rsid w:val="008D6C53"/>
    <w:rsid w:val="008D6D3F"/>
    <w:rsid w:val="008D729D"/>
    <w:rsid w:val="008D7B5D"/>
    <w:rsid w:val="008D7EE7"/>
    <w:rsid w:val="008E09F4"/>
    <w:rsid w:val="008E0E9B"/>
    <w:rsid w:val="008E2820"/>
    <w:rsid w:val="008E62C4"/>
    <w:rsid w:val="008E6E60"/>
    <w:rsid w:val="008E729A"/>
    <w:rsid w:val="008E7871"/>
    <w:rsid w:val="008F30B8"/>
    <w:rsid w:val="008F36B6"/>
    <w:rsid w:val="008F594D"/>
    <w:rsid w:val="008F699C"/>
    <w:rsid w:val="00900081"/>
    <w:rsid w:val="00900B0A"/>
    <w:rsid w:val="00901123"/>
    <w:rsid w:val="009014A6"/>
    <w:rsid w:val="00901A18"/>
    <w:rsid w:val="00903472"/>
    <w:rsid w:val="009036C6"/>
    <w:rsid w:val="009041EB"/>
    <w:rsid w:val="009044F2"/>
    <w:rsid w:val="00904815"/>
    <w:rsid w:val="009049C9"/>
    <w:rsid w:val="00905E73"/>
    <w:rsid w:val="009061C2"/>
    <w:rsid w:val="0090755B"/>
    <w:rsid w:val="009077C3"/>
    <w:rsid w:val="009077E8"/>
    <w:rsid w:val="00907BD3"/>
    <w:rsid w:val="009110E9"/>
    <w:rsid w:val="00911423"/>
    <w:rsid w:val="00911576"/>
    <w:rsid w:val="00912831"/>
    <w:rsid w:val="0091339C"/>
    <w:rsid w:val="009138E9"/>
    <w:rsid w:val="00915A08"/>
    <w:rsid w:val="00915D8A"/>
    <w:rsid w:val="009179F0"/>
    <w:rsid w:val="00921141"/>
    <w:rsid w:val="009218FA"/>
    <w:rsid w:val="00922474"/>
    <w:rsid w:val="00922A71"/>
    <w:rsid w:val="00923F34"/>
    <w:rsid w:val="00924821"/>
    <w:rsid w:val="00925507"/>
    <w:rsid w:val="009260C6"/>
    <w:rsid w:val="00926161"/>
    <w:rsid w:val="00926722"/>
    <w:rsid w:val="00927779"/>
    <w:rsid w:val="00927B07"/>
    <w:rsid w:val="00927D75"/>
    <w:rsid w:val="009302F9"/>
    <w:rsid w:val="0093125A"/>
    <w:rsid w:val="0093154E"/>
    <w:rsid w:val="009326FA"/>
    <w:rsid w:val="0093335F"/>
    <w:rsid w:val="00934D0D"/>
    <w:rsid w:val="00936516"/>
    <w:rsid w:val="00936D9A"/>
    <w:rsid w:val="00937389"/>
    <w:rsid w:val="00937DB9"/>
    <w:rsid w:val="0094067D"/>
    <w:rsid w:val="00941CB7"/>
    <w:rsid w:val="00942CE9"/>
    <w:rsid w:val="00943594"/>
    <w:rsid w:val="009454EF"/>
    <w:rsid w:val="009458FF"/>
    <w:rsid w:val="00946ACA"/>
    <w:rsid w:val="00947EAA"/>
    <w:rsid w:val="009517E7"/>
    <w:rsid w:val="00951B6F"/>
    <w:rsid w:val="0095252C"/>
    <w:rsid w:val="0095350D"/>
    <w:rsid w:val="00953ED4"/>
    <w:rsid w:val="0095421C"/>
    <w:rsid w:val="009543DA"/>
    <w:rsid w:val="00954E8B"/>
    <w:rsid w:val="00955506"/>
    <w:rsid w:val="00955DA5"/>
    <w:rsid w:val="00957BCA"/>
    <w:rsid w:val="00960CFF"/>
    <w:rsid w:val="00962D64"/>
    <w:rsid w:val="00963A53"/>
    <w:rsid w:val="00963DBA"/>
    <w:rsid w:val="00963E61"/>
    <w:rsid w:val="0096497A"/>
    <w:rsid w:val="009650DE"/>
    <w:rsid w:val="009653F7"/>
    <w:rsid w:val="0096545A"/>
    <w:rsid w:val="00965C4B"/>
    <w:rsid w:val="00965C56"/>
    <w:rsid w:val="00972DEF"/>
    <w:rsid w:val="00972E0D"/>
    <w:rsid w:val="00973367"/>
    <w:rsid w:val="00973512"/>
    <w:rsid w:val="00974D63"/>
    <w:rsid w:val="00974E34"/>
    <w:rsid w:val="00975EC2"/>
    <w:rsid w:val="009775A3"/>
    <w:rsid w:val="00980F51"/>
    <w:rsid w:val="00981494"/>
    <w:rsid w:val="0098253F"/>
    <w:rsid w:val="0098344A"/>
    <w:rsid w:val="0098362F"/>
    <w:rsid w:val="00983B6D"/>
    <w:rsid w:val="009840C1"/>
    <w:rsid w:val="009849CC"/>
    <w:rsid w:val="00985455"/>
    <w:rsid w:val="0098549B"/>
    <w:rsid w:val="009875BA"/>
    <w:rsid w:val="00987DDA"/>
    <w:rsid w:val="00990BCF"/>
    <w:rsid w:val="009919C3"/>
    <w:rsid w:val="00992A61"/>
    <w:rsid w:val="00992E92"/>
    <w:rsid w:val="009940C0"/>
    <w:rsid w:val="00994370"/>
    <w:rsid w:val="00994C3A"/>
    <w:rsid w:val="00995589"/>
    <w:rsid w:val="0099609D"/>
    <w:rsid w:val="00997EFA"/>
    <w:rsid w:val="009A0181"/>
    <w:rsid w:val="009A055D"/>
    <w:rsid w:val="009A17B2"/>
    <w:rsid w:val="009A2863"/>
    <w:rsid w:val="009A2C4A"/>
    <w:rsid w:val="009A2E6B"/>
    <w:rsid w:val="009A5520"/>
    <w:rsid w:val="009A5DA0"/>
    <w:rsid w:val="009A6C86"/>
    <w:rsid w:val="009A6CFF"/>
    <w:rsid w:val="009A712D"/>
    <w:rsid w:val="009A734F"/>
    <w:rsid w:val="009A7753"/>
    <w:rsid w:val="009A7A16"/>
    <w:rsid w:val="009B0C49"/>
    <w:rsid w:val="009B3228"/>
    <w:rsid w:val="009B3370"/>
    <w:rsid w:val="009B3AAD"/>
    <w:rsid w:val="009B4B7C"/>
    <w:rsid w:val="009B650F"/>
    <w:rsid w:val="009B66F4"/>
    <w:rsid w:val="009B6C3C"/>
    <w:rsid w:val="009B743C"/>
    <w:rsid w:val="009B751E"/>
    <w:rsid w:val="009B76F7"/>
    <w:rsid w:val="009B77F8"/>
    <w:rsid w:val="009B7E5B"/>
    <w:rsid w:val="009C008E"/>
    <w:rsid w:val="009C14AF"/>
    <w:rsid w:val="009C21C7"/>
    <w:rsid w:val="009C2271"/>
    <w:rsid w:val="009C275C"/>
    <w:rsid w:val="009C2DB4"/>
    <w:rsid w:val="009C2FAD"/>
    <w:rsid w:val="009C3A2F"/>
    <w:rsid w:val="009C5271"/>
    <w:rsid w:val="009C5480"/>
    <w:rsid w:val="009C5CF5"/>
    <w:rsid w:val="009D1CD4"/>
    <w:rsid w:val="009D352F"/>
    <w:rsid w:val="009D3BD2"/>
    <w:rsid w:val="009D4F24"/>
    <w:rsid w:val="009D591A"/>
    <w:rsid w:val="009D5D1D"/>
    <w:rsid w:val="009D61B5"/>
    <w:rsid w:val="009D7632"/>
    <w:rsid w:val="009D7CB5"/>
    <w:rsid w:val="009E176E"/>
    <w:rsid w:val="009E1892"/>
    <w:rsid w:val="009E3FA9"/>
    <w:rsid w:val="009E47CC"/>
    <w:rsid w:val="009E4EDB"/>
    <w:rsid w:val="009E5974"/>
    <w:rsid w:val="009E5D0F"/>
    <w:rsid w:val="009E644D"/>
    <w:rsid w:val="009E6660"/>
    <w:rsid w:val="009E67F1"/>
    <w:rsid w:val="009E7322"/>
    <w:rsid w:val="009E737B"/>
    <w:rsid w:val="009E7959"/>
    <w:rsid w:val="009E7B15"/>
    <w:rsid w:val="009E7CF7"/>
    <w:rsid w:val="009F0F61"/>
    <w:rsid w:val="009F1052"/>
    <w:rsid w:val="009F361E"/>
    <w:rsid w:val="009F36D6"/>
    <w:rsid w:val="009F47BB"/>
    <w:rsid w:val="009F5987"/>
    <w:rsid w:val="009F5ECA"/>
    <w:rsid w:val="009F615F"/>
    <w:rsid w:val="009F709F"/>
    <w:rsid w:val="009F75A2"/>
    <w:rsid w:val="009F774C"/>
    <w:rsid w:val="00A0115B"/>
    <w:rsid w:val="00A024DE"/>
    <w:rsid w:val="00A0308C"/>
    <w:rsid w:val="00A03254"/>
    <w:rsid w:val="00A032E4"/>
    <w:rsid w:val="00A037E4"/>
    <w:rsid w:val="00A0384E"/>
    <w:rsid w:val="00A03870"/>
    <w:rsid w:val="00A03D1F"/>
    <w:rsid w:val="00A0468A"/>
    <w:rsid w:val="00A06613"/>
    <w:rsid w:val="00A06C9F"/>
    <w:rsid w:val="00A070B6"/>
    <w:rsid w:val="00A07C66"/>
    <w:rsid w:val="00A10326"/>
    <w:rsid w:val="00A10B79"/>
    <w:rsid w:val="00A10CC4"/>
    <w:rsid w:val="00A11359"/>
    <w:rsid w:val="00A11687"/>
    <w:rsid w:val="00A12772"/>
    <w:rsid w:val="00A13642"/>
    <w:rsid w:val="00A13F82"/>
    <w:rsid w:val="00A142E4"/>
    <w:rsid w:val="00A1548F"/>
    <w:rsid w:val="00A15DB2"/>
    <w:rsid w:val="00A175BD"/>
    <w:rsid w:val="00A20E53"/>
    <w:rsid w:val="00A21524"/>
    <w:rsid w:val="00A21B14"/>
    <w:rsid w:val="00A2223E"/>
    <w:rsid w:val="00A22409"/>
    <w:rsid w:val="00A23679"/>
    <w:rsid w:val="00A24D77"/>
    <w:rsid w:val="00A25B10"/>
    <w:rsid w:val="00A27B18"/>
    <w:rsid w:val="00A318B2"/>
    <w:rsid w:val="00A31F03"/>
    <w:rsid w:val="00A32AD2"/>
    <w:rsid w:val="00A33A0C"/>
    <w:rsid w:val="00A341BA"/>
    <w:rsid w:val="00A342C7"/>
    <w:rsid w:val="00A346A8"/>
    <w:rsid w:val="00A34918"/>
    <w:rsid w:val="00A34CD8"/>
    <w:rsid w:val="00A35537"/>
    <w:rsid w:val="00A35BCE"/>
    <w:rsid w:val="00A35CBF"/>
    <w:rsid w:val="00A35ECA"/>
    <w:rsid w:val="00A3668B"/>
    <w:rsid w:val="00A371AD"/>
    <w:rsid w:val="00A37A00"/>
    <w:rsid w:val="00A41203"/>
    <w:rsid w:val="00A41D50"/>
    <w:rsid w:val="00A43725"/>
    <w:rsid w:val="00A44161"/>
    <w:rsid w:val="00A4471A"/>
    <w:rsid w:val="00A449DE"/>
    <w:rsid w:val="00A455BD"/>
    <w:rsid w:val="00A4582B"/>
    <w:rsid w:val="00A458DB"/>
    <w:rsid w:val="00A479C3"/>
    <w:rsid w:val="00A51279"/>
    <w:rsid w:val="00A52253"/>
    <w:rsid w:val="00A54219"/>
    <w:rsid w:val="00A544EE"/>
    <w:rsid w:val="00A5578A"/>
    <w:rsid w:val="00A55A12"/>
    <w:rsid w:val="00A60036"/>
    <w:rsid w:val="00A6064F"/>
    <w:rsid w:val="00A6228B"/>
    <w:rsid w:val="00A628E0"/>
    <w:rsid w:val="00A62D1B"/>
    <w:rsid w:val="00A63453"/>
    <w:rsid w:val="00A637CB"/>
    <w:rsid w:val="00A63847"/>
    <w:rsid w:val="00A65386"/>
    <w:rsid w:val="00A65E49"/>
    <w:rsid w:val="00A660BC"/>
    <w:rsid w:val="00A66170"/>
    <w:rsid w:val="00A6640B"/>
    <w:rsid w:val="00A66C32"/>
    <w:rsid w:val="00A66DFB"/>
    <w:rsid w:val="00A70EFC"/>
    <w:rsid w:val="00A71300"/>
    <w:rsid w:val="00A7165F"/>
    <w:rsid w:val="00A71AD2"/>
    <w:rsid w:val="00A72094"/>
    <w:rsid w:val="00A720AC"/>
    <w:rsid w:val="00A72523"/>
    <w:rsid w:val="00A735FE"/>
    <w:rsid w:val="00A73AE6"/>
    <w:rsid w:val="00A75BDA"/>
    <w:rsid w:val="00A75FB5"/>
    <w:rsid w:val="00A7617D"/>
    <w:rsid w:val="00A76425"/>
    <w:rsid w:val="00A76DCC"/>
    <w:rsid w:val="00A76EAA"/>
    <w:rsid w:val="00A80C9B"/>
    <w:rsid w:val="00A80DF9"/>
    <w:rsid w:val="00A80E0C"/>
    <w:rsid w:val="00A81BDF"/>
    <w:rsid w:val="00A828DF"/>
    <w:rsid w:val="00A83111"/>
    <w:rsid w:val="00A83D2C"/>
    <w:rsid w:val="00A83DE1"/>
    <w:rsid w:val="00A85E58"/>
    <w:rsid w:val="00A8685B"/>
    <w:rsid w:val="00A86C51"/>
    <w:rsid w:val="00A87CB4"/>
    <w:rsid w:val="00A90F4A"/>
    <w:rsid w:val="00A914FB"/>
    <w:rsid w:val="00A91AC2"/>
    <w:rsid w:val="00A931C0"/>
    <w:rsid w:val="00A94084"/>
    <w:rsid w:val="00A9579C"/>
    <w:rsid w:val="00A957CB"/>
    <w:rsid w:val="00A95F80"/>
    <w:rsid w:val="00A962EB"/>
    <w:rsid w:val="00A97C2D"/>
    <w:rsid w:val="00A97DE6"/>
    <w:rsid w:val="00AA0554"/>
    <w:rsid w:val="00AA0838"/>
    <w:rsid w:val="00AA13D7"/>
    <w:rsid w:val="00AA23FB"/>
    <w:rsid w:val="00AA2D80"/>
    <w:rsid w:val="00AA30E4"/>
    <w:rsid w:val="00AA3CED"/>
    <w:rsid w:val="00AA4631"/>
    <w:rsid w:val="00AA4992"/>
    <w:rsid w:val="00AA4ED1"/>
    <w:rsid w:val="00AA536B"/>
    <w:rsid w:val="00AA78EF"/>
    <w:rsid w:val="00AB0238"/>
    <w:rsid w:val="00AB22A4"/>
    <w:rsid w:val="00AB2826"/>
    <w:rsid w:val="00AB339D"/>
    <w:rsid w:val="00AB51D4"/>
    <w:rsid w:val="00AB538F"/>
    <w:rsid w:val="00AB6375"/>
    <w:rsid w:val="00AB668F"/>
    <w:rsid w:val="00AC07F2"/>
    <w:rsid w:val="00AC0E32"/>
    <w:rsid w:val="00AC14B5"/>
    <w:rsid w:val="00AC23CA"/>
    <w:rsid w:val="00AC279F"/>
    <w:rsid w:val="00AC2ABC"/>
    <w:rsid w:val="00AC3DC1"/>
    <w:rsid w:val="00AC50D6"/>
    <w:rsid w:val="00AC520D"/>
    <w:rsid w:val="00AC5A4D"/>
    <w:rsid w:val="00AC6BFE"/>
    <w:rsid w:val="00AC727B"/>
    <w:rsid w:val="00AD13E2"/>
    <w:rsid w:val="00AD1855"/>
    <w:rsid w:val="00AD25C5"/>
    <w:rsid w:val="00AD2691"/>
    <w:rsid w:val="00AD281E"/>
    <w:rsid w:val="00AD2AE7"/>
    <w:rsid w:val="00AD35A3"/>
    <w:rsid w:val="00AD3EC8"/>
    <w:rsid w:val="00AD4654"/>
    <w:rsid w:val="00AD4D75"/>
    <w:rsid w:val="00AD4E5E"/>
    <w:rsid w:val="00AD5437"/>
    <w:rsid w:val="00AD5816"/>
    <w:rsid w:val="00AD5B47"/>
    <w:rsid w:val="00AD5D43"/>
    <w:rsid w:val="00AD60AD"/>
    <w:rsid w:val="00AD68DB"/>
    <w:rsid w:val="00AD6BC4"/>
    <w:rsid w:val="00AD6E06"/>
    <w:rsid w:val="00AD723B"/>
    <w:rsid w:val="00AD7443"/>
    <w:rsid w:val="00AE0EFF"/>
    <w:rsid w:val="00AE2DDE"/>
    <w:rsid w:val="00AE3B2E"/>
    <w:rsid w:val="00AE3DF7"/>
    <w:rsid w:val="00AE6ACA"/>
    <w:rsid w:val="00AE7A36"/>
    <w:rsid w:val="00AF294D"/>
    <w:rsid w:val="00AF472B"/>
    <w:rsid w:val="00AF55D5"/>
    <w:rsid w:val="00AF5685"/>
    <w:rsid w:val="00AF6CC5"/>
    <w:rsid w:val="00B0061A"/>
    <w:rsid w:val="00B00ABB"/>
    <w:rsid w:val="00B010F0"/>
    <w:rsid w:val="00B016A7"/>
    <w:rsid w:val="00B01B68"/>
    <w:rsid w:val="00B01DE0"/>
    <w:rsid w:val="00B01E7E"/>
    <w:rsid w:val="00B01F3E"/>
    <w:rsid w:val="00B02A32"/>
    <w:rsid w:val="00B02F17"/>
    <w:rsid w:val="00B03108"/>
    <w:rsid w:val="00B0345E"/>
    <w:rsid w:val="00B03464"/>
    <w:rsid w:val="00B034EB"/>
    <w:rsid w:val="00B05432"/>
    <w:rsid w:val="00B05A92"/>
    <w:rsid w:val="00B05C5A"/>
    <w:rsid w:val="00B05F61"/>
    <w:rsid w:val="00B0677C"/>
    <w:rsid w:val="00B06967"/>
    <w:rsid w:val="00B07337"/>
    <w:rsid w:val="00B07F32"/>
    <w:rsid w:val="00B12068"/>
    <w:rsid w:val="00B12A36"/>
    <w:rsid w:val="00B14607"/>
    <w:rsid w:val="00B1473E"/>
    <w:rsid w:val="00B14981"/>
    <w:rsid w:val="00B14B2E"/>
    <w:rsid w:val="00B14BC2"/>
    <w:rsid w:val="00B14DEE"/>
    <w:rsid w:val="00B15A8A"/>
    <w:rsid w:val="00B1675C"/>
    <w:rsid w:val="00B16FED"/>
    <w:rsid w:val="00B172C2"/>
    <w:rsid w:val="00B1783D"/>
    <w:rsid w:val="00B17B59"/>
    <w:rsid w:val="00B17D96"/>
    <w:rsid w:val="00B17F43"/>
    <w:rsid w:val="00B20BAC"/>
    <w:rsid w:val="00B221B2"/>
    <w:rsid w:val="00B22BBA"/>
    <w:rsid w:val="00B2304D"/>
    <w:rsid w:val="00B23C44"/>
    <w:rsid w:val="00B2433B"/>
    <w:rsid w:val="00B24CD7"/>
    <w:rsid w:val="00B25325"/>
    <w:rsid w:val="00B25D35"/>
    <w:rsid w:val="00B25F36"/>
    <w:rsid w:val="00B25FFF"/>
    <w:rsid w:val="00B268EE"/>
    <w:rsid w:val="00B30207"/>
    <w:rsid w:val="00B32519"/>
    <w:rsid w:val="00B338FA"/>
    <w:rsid w:val="00B33908"/>
    <w:rsid w:val="00B33F46"/>
    <w:rsid w:val="00B34231"/>
    <w:rsid w:val="00B362F0"/>
    <w:rsid w:val="00B36373"/>
    <w:rsid w:val="00B401C4"/>
    <w:rsid w:val="00B417B6"/>
    <w:rsid w:val="00B4182F"/>
    <w:rsid w:val="00B42077"/>
    <w:rsid w:val="00B4234A"/>
    <w:rsid w:val="00B42E8E"/>
    <w:rsid w:val="00B430D4"/>
    <w:rsid w:val="00B44821"/>
    <w:rsid w:val="00B448CD"/>
    <w:rsid w:val="00B44933"/>
    <w:rsid w:val="00B44B48"/>
    <w:rsid w:val="00B46C13"/>
    <w:rsid w:val="00B476BA"/>
    <w:rsid w:val="00B47C5A"/>
    <w:rsid w:val="00B500C0"/>
    <w:rsid w:val="00B5014D"/>
    <w:rsid w:val="00B519B3"/>
    <w:rsid w:val="00B531CA"/>
    <w:rsid w:val="00B5429F"/>
    <w:rsid w:val="00B54FEA"/>
    <w:rsid w:val="00B552EC"/>
    <w:rsid w:val="00B55502"/>
    <w:rsid w:val="00B55750"/>
    <w:rsid w:val="00B5622C"/>
    <w:rsid w:val="00B563CB"/>
    <w:rsid w:val="00B56896"/>
    <w:rsid w:val="00B57B92"/>
    <w:rsid w:val="00B61400"/>
    <w:rsid w:val="00B62771"/>
    <w:rsid w:val="00B63022"/>
    <w:rsid w:val="00B6405C"/>
    <w:rsid w:val="00B64942"/>
    <w:rsid w:val="00B65AEF"/>
    <w:rsid w:val="00B66372"/>
    <w:rsid w:val="00B6744D"/>
    <w:rsid w:val="00B7067F"/>
    <w:rsid w:val="00B713F6"/>
    <w:rsid w:val="00B71723"/>
    <w:rsid w:val="00B7174B"/>
    <w:rsid w:val="00B74706"/>
    <w:rsid w:val="00B7483B"/>
    <w:rsid w:val="00B74BC9"/>
    <w:rsid w:val="00B74FFE"/>
    <w:rsid w:val="00B752E2"/>
    <w:rsid w:val="00B767D0"/>
    <w:rsid w:val="00B76E7A"/>
    <w:rsid w:val="00B77294"/>
    <w:rsid w:val="00B77E6D"/>
    <w:rsid w:val="00B80044"/>
    <w:rsid w:val="00B80E77"/>
    <w:rsid w:val="00B81783"/>
    <w:rsid w:val="00B8379B"/>
    <w:rsid w:val="00B83B56"/>
    <w:rsid w:val="00B8419F"/>
    <w:rsid w:val="00B8468A"/>
    <w:rsid w:val="00B8568A"/>
    <w:rsid w:val="00B85C89"/>
    <w:rsid w:val="00B87222"/>
    <w:rsid w:val="00B8759A"/>
    <w:rsid w:val="00B879F7"/>
    <w:rsid w:val="00B87A0E"/>
    <w:rsid w:val="00B90D42"/>
    <w:rsid w:val="00B925C7"/>
    <w:rsid w:val="00B92989"/>
    <w:rsid w:val="00B92D0C"/>
    <w:rsid w:val="00B934F2"/>
    <w:rsid w:val="00B938FB"/>
    <w:rsid w:val="00B93F06"/>
    <w:rsid w:val="00B942E8"/>
    <w:rsid w:val="00B94CAC"/>
    <w:rsid w:val="00B95D0A"/>
    <w:rsid w:val="00B97533"/>
    <w:rsid w:val="00BA1125"/>
    <w:rsid w:val="00BA18F3"/>
    <w:rsid w:val="00BA2245"/>
    <w:rsid w:val="00BA2283"/>
    <w:rsid w:val="00BA2404"/>
    <w:rsid w:val="00BA3C00"/>
    <w:rsid w:val="00BA47E9"/>
    <w:rsid w:val="00BA4815"/>
    <w:rsid w:val="00BA5156"/>
    <w:rsid w:val="00BB05F2"/>
    <w:rsid w:val="00BB0C67"/>
    <w:rsid w:val="00BB1DB8"/>
    <w:rsid w:val="00BB241F"/>
    <w:rsid w:val="00BB2611"/>
    <w:rsid w:val="00BB2F42"/>
    <w:rsid w:val="00BB380B"/>
    <w:rsid w:val="00BB3A83"/>
    <w:rsid w:val="00BB4269"/>
    <w:rsid w:val="00BB4FA3"/>
    <w:rsid w:val="00BB50E3"/>
    <w:rsid w:val="00BB6E08"/>
    <w:rsid w:val="00BC05B7"/>
    <w:rsid w:val="00BC2D18"/>
    <w:rsid w:val="00BC37A1"/>
    <w:rsid w:val="00BC4E4A"/>
    <w:rsid w:val="00BC4F4C"/>
    <w:rsid w:val="00BC553D"/>
    <w:rsid w:val="00BC6DB6"/>
    <w:rsid w:val="00BC6F87"/>
    <w:rsid w:val="00BD24DF"/>
    <w:rsid w:val="00BD2D7F"/>
    <w:rsid w:val="00BD35A4"/>
    <w:rsid w:val="00BD4578"/>
    <w:rsid w:val="00BD59B5"/>
    <w:rsid w:val="00BE127B"/>
    <w:rsid w:val="00BE1D51"/>
    <w:rsid w:val="00BE2236"/>
    <w:rsid w:val="00BE43A9"/>
    <w:rsid w:val="00BE4F48"/>
    <w:rsid w:val="00BE6D26"/>
    <w:rsid w:val="00BE71B1"/>
    <w:rsid w:val="00BE742B"/>
    <w:rsid w:val="00BF056A"/>
    <w:rsid w:val="00BF09ED"/>
    <w:rsid w:val="00BF0A38"/>
    <w:rsid w:val="00BF1CF8"/>
    <w:rsid w:val="00BF4495"/>
    <w:rsid w:val="00BF4C17"/>
    <w:rsid w:val="00BF4D0A"/>
    <w:rsid w:val="00BF6ADA"/>
    <w:rsid w:val="00BF7693"/>
    <w:rsid w:val="00C01351"/>
    <w:rsid w:val="00C017A0"/>
    <w:rsid w:val="00C03063"/>
    <w:rsid w:val="00C0326C"/>
    <w:rsid w:val="00C0378D"/>
    <w:rsid w:val="00C04278"/>
    <w:rsid w:val="00C04313"/>
    <w:rsid w:val="00C04D12"/>
    <w:rsid w:val="00C059A5"/>
    <w:rsid w:val="00C05CBE"/>
    <w:rsid w:val="00C0668C"/>
    <w:rsid w:val="00C072B1"/>
    <w:rsid w:val="00C07C7B"/>
    <w:rsid w:val="00C07F32"/>
    <w:rsid w:val="00C101C1"/>
    <w:rsid w:val="00C11441"/>
    <w:rsid w:val="00C11C6C"/>
    <w:rsid w:val="00C11E2C"/>
    <w:rsid w:val="00C129DE"/>
    <w:rsid w:val="00C12CC3"/>
    <w:rsid w:val="00C1346A"/>
    <w:rsid w:val="00C146F2"/>
    <w:rsid w:val="00C15433"/>
    <w:rsid w:val="00C159B3"/>
    <w:rsid w:val="00C16D5E"/>
    <w:rsid w:val="00C16E15"/>
    <w:rsid w:val="00C17211"/>
    <w:rsid w:val="00C17621"/>
    <w:rsid w:val="00C17E06"/>
    <w:rsid w:val="00C17F6A"/>
    <w:rsid w:val="00C20830"/>
    <w:rsid w:val="00C214A9"/>
    <w:rsid w:val="00C21FC8"/>
    <w:rsid w:val="00C22C5A"/>
    <w:rsid w:val="00C22DE2"/>
    <w:rsid w:val="00C23A82"/>
    <w:rsid w:val="00C255E8"/>
    <w:rsid w:val="00C258EF"/>
    <w:rsid w:val="00C2591A"/>
    <w:rsid w:val="00C30366"/>
    <w:rsid w:val="00C30F06"/>
    <w:rsid w:val="00C310D8"/>
    <w:rsid w:val="00C310FD"/>
    <w:rsid w:val="00C311AB"/>
    <w:rsid w:val="00C31C8A"/>
    <w:rsid w:val="00C32BE2"/>
    <w:rsid w:val="00C336E1"/>
    <w:rsid w:val="00C33C0E"/>
    <w:rsid w:val="00C3519D"/>
    <w:rsid w:val="00C35902"/>
    <w:rsid w:val="00C37092"/>
    <w:rsid w:val="00C37E49"/>
    <w:rsid w:val="00C37F40"/>
    <w:rsid w:val="00C405AB"/>
    <w:rsid w:val="00C40AB2"/>
    <w:rsid w:val="00C40DC8"/>
    <w:rsid w:val="00C411EA"/>
    <w:rsid w:val="00C41F73"/>
    <w:rsid w:val="00C427E2"/>
    <w:rsid w:val="00C44C2C"/>
    <w:rsid w:val="00C44E61"/>
    <w:rsid w:val="00C4515C"/>
    <w:rsid w:val="00C45C39"/>
    <w:rsid w:val="00C45EA0"/>
    <w:rsid w:val="00C4612A"/>
    <w:rsid w:val="00C46BD1"/>
    <w:rsid w:val="00C5018D"/>
    <w:rsid w:val="00C5138B"/>
    <w:rsid w:val="00C52244"/>
    <w:rsid w:val="00C523A5"/>
    <w:rsid w:val="00C52694"/>
    <w:rsid w:val="00C52FC3"/>
    <w:rsid w:val="00C53CB6"/>
    <w:rsid w:val="00C53F21"/>
    <w:rsid w:val="00C54669"/>
    <w:rsid w:val="00C55CFF"/>
    <w:rsid w:val="00C56110"/>
    <w:rsid w:val="00C56594"/>
    <w:rsid w:val="00C565B5"/>
    <w:rsid w:val="00C56BAF"/>
    <w:rsid w:val="00C56C12"/>
    <w:rsid w:val="00C60536"/>
    <w:rsid w:val="00C613FB"/>
    <w:rsid w:val="00C61925"/>
    <w:rsid w:val="00C61FA9"/>
    <w:rsid w:val="00C642B7"/>
    <w:rsid w:val="00C647A7"/>
    <w:rsid w:val="00C6485C"/>
    <w:rsid w:val="00C649E2"/>
    <w:rsid w:val="00C652F5"/>
    <w:rsid w:val="00C70D83"/>
    <w:rsid w:val="00C70E55"/>
    <w:rsid w:val="00C715F3"/>
    <w:rsid w:val="00C71EBC"/>
    <w:rsid w:val="00C72444"/>
    <w:rsid w:val="00C724BB"/>
    <w:rsid w:val="00C7429E"/>
    <w:rsid w:val="00C74BB0"/>
    <w:rsid w:val="00C74D39"/>
    <w:rsid w:val="00C76107"/>
    <w:rsid w:val="00C764DB"/>
    <w:rsid w:val="00C77467"/>
    <w:rsid w:val="00C779E9"/>
    <w:rsid w:val="00C77C41"/>
    <w:rsid w:val="00C77EB5"/>
    <w:rsid w:val="00C8030E"/>
    <w:rsid w:val="00C80D5C"/>
    <w:rsid w:val="00C8415B"/>
    <w:rsid w:val="00C85560"/>
    <w:rsid w:val="00C8779F"/>
    <w:rsid w:val="00C90127"/>
    <w:rsid w:val="00C91B03"/>
    <w:rsid w:val="00C924EC"/>
    <w:rsid w:val="00C927D4"/>
    <w:rsid w:val="00C92B40"/>
    <w:rsid w:val="00C92EC4"/>
    <w:rsid w:val="00C930A3"/>
    <w:rsid w:val="00C9406A"/>
    <w:rsid w:val="00C94318"/>
    <w:rsid w:val="00C94933"/>
    <w:rsid w:val="00C95EF3"/>
    <w:rsid w:val="00C97509"/>
    <w:rsid w:val="00C97F1F"/>
    <w:rsid w:val="00CA02A8"/>
    <w:rsid w:val="00CA0FF8"/>
    <w:rsid w:val="00CA1216"/>
    <w:rsid w:val="00CA1D35"/>
    <w:rsid w:val="00CA1FE5"/>
    <w:rsid w:val="00CA2355"/>
    <w:rsid w:val="00CA49D8"/>
    <w:rsid w:val="00CA4AB5"/>
    <w:rsid w:val="00CA5A31"/>
    <w:rsid w:val="00CA5FF5"/>
    <w:rsid w:val="00CA7024"/>
    <w:rsid w:val="00CA77FC"/>
    <w:rsid w:val="00CB0DE9"/>
    <w:rsid w:val="00CB0F77"/>
    <w:rsid w:val="00CB0F92"/>
    <w:rsid w:val="00CB1767"/>
    <w:rsid w:val="00CB27BD"/>
    <w:rsid w:val="00CB3211"/>
    <w:rsid w:val="00CB3292"/>
    <w:rsid w:val="00CB3596"/>
    <w:rsid w:val="00CB359A"/>
    <w:rsid w:val="00CB5D0F"/>
    <w:rsid w:val="00CB6018"/>
    <w:rsid w:val="00CB6B94"/>
    <w:rsid w:val="00CB6FE7"/>
    <w:rsid w:val="00CB73E1"/>
    <w:rsid w:val="00CC046F"/>
    <w:rsid w:val="00CC2A69"/>
    <w:rsid w:val="00CC2DC6"/>
    <w:rsid w:val="00CC2FCA"/>
    <w:rsid w:val="00CC323C"/>
    <w:rsid w:val="00CC34A4"/>
    <w:rsid w:val="00CC37C9"/>
    <w:rsid w:val="00CC47E9"/>
    <w:rsid w:val="00CC4918"/>
    <w:rsid w:val="00CC4B1D"/>
    <w:rsid w:val="00CC4C8E"/>
    <w:rsid w:val="00CC5250"/>
    <w:rsid w:val="00CC5F8B"/>
    <w:rsid w:val="00CC699B"/>
    <w:rsid w:val="00CC7CC9"/>
    <w:rsid w:val="00CD03DB"/>
    <w:rsid w:val="00CD1C81"/>
    <w:rsid w:val="00CD2D02"/>
    <w:rsid w:val="00CD3185"/>
    <w:rsid w:val="00CD5709"/>
    <w:rsid w:val="00CD5AEF"/>
    <w:rsid w:val="00CD74D8"/>
    <w:rsid w:val="00CD7CDB"/>
    <w:rsid w:val="00CE00B9"/>
    <w:rsid w:val="00CE03D0"/>
    <w:rsid w:val="00CE1159"/>
    <w:rsid w:val="00CE1472"/>
    <w:rsid w:val="00CE3365"/>
    <w:rsid w:val="00CE5717"/>
    <w:rsid w:val="00CE7B70"/>
    <w:rsid w:val="00CF04CB"/>
    <w:rsid w:val="00CF0FE9"/>
    <w:rsid w:val="00CF105A"/>
    <w:rsid w:val="00CF19CA"/>
    <w:rsid w:val="00CF1D9A"/>
    <w:rsid w:val="00CF23F2"/>
    <w:rsid w:val="00CF29AA"/>
    <w:rsid w:val="00CF2DE4"/>
    <w:rsid w:val="00CF356C"/>
    <w:rsid w:val="00CF50B0"/>
    <w:rsid w:val="00CF5B48"/>
    <w:rsid w:val="00CF5F25"/>
    <w:rsid w:val="00CF614F"/>
    <w:rsid w:val="00CF6923"/>
    <w:rsid w:val="00CF7366"/>
    <w:rsid w:val="00D02227"/>
    <w:rsid w:val="00D046E1"/>
    <w:rsid w:val="00D04E86"/>
    <w:rsid w:val="00D067D9"/>
    <w:rsid w:val="00D068D0"/>
    <w:rsid w:val="00D06950"/>
    <w:rsid w:val="00D06967"/>
    <w:rsid w:val="00D077F9"/>
    <w:rsid w:val="00D10848"/>
    <w:rsid w:val="00D1227C"/>
    <w:rsid w:val="00D1357A"/>
    <w:rsid w:val="00D13E17"/>
    <w:rsid w:val="00D14934"/>
    <w:rsid w:val="00D14EB8"/>
    <w:rsid w:val="00D16C24"/>
    <w:rsid w:val="00D16E37"/>
    <w:rsid w:val="00D1740B"/>
    <w:rsid w:val="00D20395"/>
    <w:rsid w:val="00D226CA"/>
    <w:rsid w:val="00D22D5D"/>
    <w:rsid w:val="00D23921"/>
    <w:rsid w:val="00D23C75"/>
    <w:rsid w:val="00D23C9F"/>
    <w:rsid w:val="00D242F1"/>
    <w:rsid w:val="00D2573F"/>
    <w:rsid w:val="00D27588"/>
    <w:rsid w:val="00D30134"/>
    <w:rsid w:val="00D3032E"/>
    <w:rsid w:val="00D30BF1"/>
    <w:rsid w:val="00D30C6A"/>
    <w:rsid w:val="00D31819"/>
    <w:rsid w:val="00D31CBB"/>
    <w:rsid w:val="00D33AE6"/>
    <w:rsid w:val="00D35993"/>
    <w:rsid w:val="00D35BF2"/>
    <w:rsid w:val="00D35D4B"/>
    <w:rsid w:val="00D35ED3"/>
    <w:rsid w:val="00D36105"/>
    <w:rsid w:val="00D366B1"/>
    <w:rsid w:val="00D36F8C"/>
    <w:rsid w:val="00D37050"/>
    <w:rsid w:val="00D372D4"/>
    <w:rsid w:val="00D37384"/>
    <w:rsid w:val="00D37643"/>
    <w:rsid w:val="00D37C3E"/>
    <w:rsid w:val="00D37DCA"/>
    <w:rsid w:val="00D37EA1"/>
    <w:rsid w:val="00D37FFB"/>
    <w:rsid w:val="00D4141D"/>
    <w:rsid w:val="00D41CF3"/>
    <w:rsid w:val="00D41D60"/>
    <w:rsid w:val="00D42F57"/>
    <w:rsid w:val="00D44D39"/>
    <w:rsid w:val="00D45A1C"/>
    <w:rsid w:val="00D45A42"/>
    <w:rsid w:val="00D45F4F"/>
    <w:rsid w:val="00D47BA9"/>
    <w:rsid w:val="00D47C0F"/>
    <w:rsid w:val="00D50092"/>
    <w:rsid w:val="00D508B0"/>
    <w:rsid w:val="00D50CB2"/>
    <w:rsid w:val="00D52351"/>
    <w:rsid w:val="00D52465"/>
    <w:rsid w:val="00D539C5"/>
    <w:rsid w:val="00D55065"/>
    <w:rsid w:val="00D55088"/>
    <w:rsid w:val="00D55D0C"/>
    <w:rsid w:val="00D566A2"/>
    <w:rsid w:val="00D578DE"/>
    <w:rsid w:val="00D600D0"/>
    <w:rsid w:val="00D60466"/>
    <w:rsid w:val="00D6054A"/>
    <w:rsid w:val="00D60758"/>
    <w:rsid w:val="00D60D1D"/>
    <w:rsid w:val="00D60D79"/>
    <w:rsid w:val="00D61312"/>
    <w:rsid w:val="00D61756"/>
    <w:rsid w:val="00D6328C"/>
    <w:rsid w:val="00D6384A"/>
    <w:rsid w:val="00D639B1"/>
    <w:rsid w:val="00D63D4E"/>
    <w:rsid w:val="00D65618"/>
    <w:rsid w:val="00D6593F"/>
    <w:rsid w:val="00D65C60"/>
    <w:rsid w:val="00D660D4"/>
    <w:rsid w:val="00D66503"/>
    <w:rsid w:val="00D669FB"/>
    <w:rsid w:val="00D66F02"/>
    <w:rsid w:val="00D677AC"/>
    <w:rsid w:val="00D677C6"/>
    <w:rsid w:val="00D67ECA"/>
    <w:rsid w:val="00D7058E"/>
    <w:rsid w:val="00D70ADE"/>
    <w:rsid w:val="00D7107A"/>
    <w:rsid w:val="00D71D11"/>
    <w:rsid w:val="00D72128"/>
    <w:rsid w:val="00D734BF"/>
    <w:rsid w:val="00D736A2"/>
    <w:rsid w:val="00D73A76"/>
    <w:rsid w:val="00D741F5"/>
    <w:rsid w:val="00D7481C"/>
    <w:rsid w:val="00D758D1"/>
    <w:rsid w:val="00D7640C"/>
    <w:rsid w:val="00D76533"/>
    <w:rsid w:val="00D77B6C"/>
    <w:rsid w:val="00D8073A"/>
    <w:rsid w:val="00D82B7B"/>
    <w:rsid w:val="00D838A6"/>
    <w:rsid w:val="00D83C75"/>
    <w:rsid w:val="00D8514A"/>
    <w:rsid w:val="00D86AB7"/>
    <w:rsid w:val="00D873FF"/>
    <w:rsid w:val="00D874CA"/>
    <w:rsid w:val="00D87BA5"/>
    <w:rsid w:val="00D87DC5"/>
    <w:rsid w:val="00D902E2"/>
    <w:rsid w:val="00D90C06"/>
    <w:rsid w:val="00D911D0"/>
    <w:rsid w:val="00D918E7"/>
    <w:rsid w:val="00D91ABF"/>
    <w:rsid w:val="00D92BA3"/>
    <w:rsid w:val="00D92BF8"/>
    <w:rsid w:val="00D931CE"/>
    <w:rsid w:val="00D94905"/>
    <w:rsid w:val="00D94E10"/>
    <w:rsid w:val="00D95150"/>
    <w:rsid w:val="00D9579B"/>
    <w:rsid w:val="00D95BA7"/>
    <w:rsid w:val="00D97094"/>
    <w:rsid w:val="00D97FBC"/>
    <w:rsid w:val="00DA045B"/>
    <w:rsid w:val="00DA2404"/>
    <w:rsid w:val="00DA2824"/>
    <w:rsid w:val="00DA329F"/>
    <w:rsid w:val="00DA3AC6"/>
    <w:rsid w:val="00DA3D68"/>
    <w:rsid w:val="00DA5CDC"/>
    <w:rsid w:val="00DA72C9"/>
    <w:rsid w:val="00DB0984"/>
    <w:rsid w:val="00DB1C6E"/>
    <w:rsid w:val="00DB285C"/>
    <w:rsid w:val="00DB28FF"/>
    <w:rsid w:val="00DB5118"/>
    <w:rsid w:val="00DB54AC"/>
    <w:rsid w:val="00DB5568"/>
    <w:rsid w:val="00DB6DDB"/>
    <w:rsid w:val="00DB7217"/>
    <w:rsid w:val="00DB78B1"/>
    <w:rsid w:val="00DC248C"/>
    <w:rsid w:val="00DC3A67"/>
    <w:rsid w:val="00DC4038"/>
    <w:rsid w:val="00DC46E2"/>
    <w:rsid w:val="00DC47F4"/>
    <w:rsid w:val="00DC4CCC"/>
    <w:rsid w:val="00DC55B2"/>
    <w:rsid w:val="00DC5AC0"/>
    <w:rsid w:val="00DC69E3"/>
    <w:rsid w:val="00DC715D"/>
    <w:rsid w:val="00DC7869"/>
    <w:rsid w:val="00DC7C6A"/>
    <w:rsid w:val="00DD2ECE"/>
    <w:rsid w:val="00DD2F92"/>
    <w:rsid w:val="00DD3728"/>
    <w:rsid w:val="00DD475B"/>
    <w:rsid w:val="00DD5423"/>
    <w:rsid w:val="00DD559C"/>
    <w:rsid w:val="00DD68E4"/>
    <w:rsid w:val="00DD76FB"/>
    <w:rsid w:val="00DE019E"/>
    <w:rsid w:val="00DE0D3C"/>
    <w:rsid w:val="00DE0F4B"/>
    <w:rsid w:val="00DE122F"/>
    <w:rsid w:val="00DE18DE"/>
    <w:rsid w:val="00DE2607"/>
    <w:rsid w:val="00DE293A"/>
    <w:rsid w:val="00DE34F6"/>
    <w:rsid w:val="00DE45FE"/>
    <w:rsid w:val="00DE4ADB"/>
    <w:rsid w:val="00DE63D5"/>
    <w:rsid w:val="00DE7634"/>
    <w:rsid w:val="00DF1211"/>
    <w:rsid w:val="00DF2A2E"/>
    <w:rsid w:val="00DF2B9E"/>
    <w:rsid w:val="00DF310D"/>
    <w:rsid w:val="00DF3613"/>
    <w:rsid w:val="00DF3F40"/>
    <w:rsid w:val="00DF519D"/>
    <w:rsid w:val="00DF52E3"/>
    <w:rsid w:val="00DF5B63"/>
    <w:rsid w:val="00DF6115"/>
    <w:rsid w:val="00DF6FFD"/>
    <w:rsid w:val="00DF7A91"/>
    <w:rsid w:val="00DF7C8A"/>
    <w:rsid w:val="00E00FE3"/>
    <w:rsid w:val="00E031C4"/>
    <w:rsid w:val="00E03D53"/>
    <w:rsid w:val="00E04568"/>
    <w:rsid w:val="00E04C33"/>
    <w:rsid w:val="00E058CD"/>
    <w:rsid w:val="00E06642"/>
    <w:rsid w:val="00E066AF"/>
    <w:rsid w:val="00E067EC"/>
    <w:rsid w:val="00E06FC8"/>
    <w:rsid w:val="00E07C86"/>
    <w:rsid w:val="00E11095"/>
    <w:rsid w:val="00E12205"/>
    <w:rsid w:val="00E12AB0"/>
    <w:rsid w:val="00E136CB"/>
    <w:rsid w:val="00E14321"/>
    <w:rsid w:val="00E14B32"/>
    <w:rsid w:val="00E15715"/>
    <w:rsid w:val="00E168C7"/>
    <w:rsid w:val="00E16C03"/>
    <w:rsid w:val="00E172CE"/>
    <w:rsid w:val="00E17556"/>
    <w:rsid w:val="00E20F50"/>
    <w:rsid w:val="00E218B1"/>
    <w:rsid w:val="00E21F84"/>
    <w:rsid w:val="00E226F4"/>
    <w:rsid w:val="00E22C71"/>
    <w:rsid w:val="00E24832"/>
    <w:rsid w:val="00E24E81"/>
    <w:rsid w:val="00E25D8E"/>
    <w:rsid w:val="00E26296"/>
    <w:rsid w:val="00E26E5C"/>
    <w:rsid w:val="00E2785A"/>
    <w:rsid w:val="00E30656"/>
    <w:rsid w:val="00E3156D"/>
    <w:rsid w:val="00E31680"/>
    <w:rsid w:val="00E32BAE"/>
    <w:rsid w:val="00E332C4"/>
    <w:rsid w:val="00E33D4E"/>
    <w:rsid w:val="00E34C8B"/>
    <w:rsid w:val="00E35057"/>
    <w:rsid w:val="00E35354"/>
    <w:rsid w:val="00E365AD"/>
    <w:rsid w:val="00E3701F"/>
    <w:rsid w:val="00E40A14"/>
    <w:rsid w:val="00E4103C"/>
    <w:rsid w:val="00E4130E"/>
    <w:rsid w:val="00E41847"/>
    <w:rsid w:val="00E42181"/>
    <w:rsid w:val="00E4272E"/>
    <w:rsid w:val="00E429F9"/>
    <w:rsid w:val="00E43C51"/>
    <w:rsid w:val="00E45494"/>
    <w:rsid w:val="00E4567C"/>
    <w:rsid w:val="00E45CAC"/>
    <w:rsid w:val="00E45D5B"/>
    <w:rsid w:val="00E460EC"/>
    <w:rsid w:val="00E4631D"/>
    <w:rsid w:val="00E46462"/>
    <w:rsid w:val="00E4649A"/>
    <w:rsid w:val="00E5023C"/>
    <w:rsid w:val="00E504E9"/>
    <w:rsid w:val="00E50E97"/>
    <w:rsid w:val="00E50F9D"/>
    <w:rsid w:val="00E531D0"/>
    <w:rsid w:val="00E53A33"/>
    <w:rsid w:val="00E53A56"/>
    <w:rsid w:val="00E5436A"/>
    <w:rsid w:val="00E545FE"/>
    <w:rsid w:val="00E55495"/>
    <w:rsid w:val="00E555B3"/>
    <w:rsid w:val="00E5605A"/>
    <w:rsid w:val="00E56F77"/>
    <w:rsid w:val="00E56FB3"/>
    <w:rsid w:val="00E57FCB"/>
    <w:rsid w:val="00E601B4"/>
    <w:rsid w:val="00E6179E"/>
    <w:rsid w:val="00E61909"/>
    <w:rsid w:val="00E61A1A"/>
    <w:rsid w:val="00E61FDF"/>
    <w:rsid w:val="00E628A5"/>
    <w:rsid w:val="00E62AF5"/>
    <w:rsid w:val="00E62E97"/>
    <w:rsid w:val="00E62FCC"/>
    <w:rsid w:val="00E632F7"/>
    <w:rsid w:val="00E63827"/>
    <w:rsid w:val="00E64A91"/>
    <w:rsid w:val="00E65025"/>
    <w:rsid w:val="00E65E56"/>
    <w:rsid w:val="00E66350"/>
    <w:rsid w:val="00E66565"/>
    <w:rsid w:val="00E66606"/>
    <w:rsid w:val="00E66814"/>
    <w:rsid w:val="00E66E4C"/>
    <w:rsid w:val="00E67040"/>
    <w:rsid w:val="00E7114A"/>
    <w:rsid w:val="00E729FD"/>
    <w:rsid w:val="00E72CAB"/>
    <w:rsid w:val="00E73091"/>
    <w:rsid w:val="00E73A64"/>
    <w:rsid w:val="00E741E1"/>
    <w:rsid w:val="00E74859"/>
    <w:rsid w:val="00E74BC1"/>
    <w:rsid w:val="00E75850"/>
    <w:rsid w:val="00E758D7"/>
    <w:rsid w:val="00E75933"/>
    <w:rsid w:val="00E75EC8"/>
    <w:rsid w:val="00E75F1D"/>
    <w:rsid w:val="00E77D10"/>
    <w:rsid w:val="00E80699"/>
    <w:rsid w:val="00E81F93"/>
    <w:rsid w:val="00E83691"/>
    <w:rsid w:val="00E83954"/>
    <w:rsid w:val="00E83AF9"/>
    <w:rsid w:val="00E85D8D"/>
    <w:rsid w:val="00E85F86"/>
    <w:rsid w:val="00E86866"/>
    <w:rsid w:val="00E86C08"/>
    <w:rsid w:val="00E90283"/>
    <w:rsid w:val="00E908D3"/>
    <w:rsid w:val="00E90B62"/>
    <w:rsid w:val="00E91825"/>
    <w:rsid w:val="00E918DB"/>
    <w:rsid w:val="00E91EF8"/>
    <w:rsid w:val="00E92181"/>
    <w:rsid w:val="00E927DA"/>
    <w:rsid w:val="00E939D7"/>
    <w:rsid w:val="00E94866"/>
    <w:rsid w:val="00E94AEA"/>
    <w:rsid w:val="00E94E21"/>
    <w:rsid w:val="00E94F1C"/>
    <w:rsid w:val="00E958AF"/>
    <w:rsid w:val="00E959EC"/>
    <w:rsid w:val="00E9740D"/>
    <w:rsid w:val="00E97A81"/>
    <w:rsid w:val="00EA0982"/>
    <w:rsid w:val="00EA0AB7"/>
    <w:rsid w:val="00EA0D8D"/>
    <w:rsid w:val="00EA0F62"/>
    <w:rsid w:val="00EA2319"/>
    <w:rsid w:val="00EA2BC0"/>
    <w:rsid w:val="00EA3091"/>
    <w:rsid w:val="00EA351F"/>
    <w:rsid w:val="00EA3565"/>
    <w:rsid w:val="00EA3830"/>
    <w:rsid w:val="00EA78D0"/>
    <w:rsid w:val="00EB0373"/>
    <w:rsid w:val="00EB1C58"/>
    <w:rsid w:val="00EB2819"/>
    <w:rsid w:val="00EB2DCC"/>
    <w:rsid w:val="00EB475B"/>
    <w:rsid w:val="00EB51F7"/>
    <w:rsid w:val="00EB588E"/>
    <w:rsid w:val="00EB6391"/>
    <w:rsid w:val="00EB7108"/>
    <w:rsid w:val="00EC00C8"/>
    <w:rsid w:val="00EC03E7"/>
    <w:rsid w:val="00EC1084"/>
    <w:rsid w:val="00EC28AF"/>
    <w:rsid w:val="00EC3A02"/>
    <w:rsid w:val="00EC3EA9"/>
    <w:rsid w:val="00EC3EAE"/>
    <w:rsid w:val="00EC5C59"/>
    <w:rsid w:val="00EC7052"/>
    <w:rsid w:val="00ED07AA"/>
    <w:rsid w:val="00ED1A6A"/>
    <w:rsid w:val="00ED1AC7"/>
    <w:rsid w:val="00ED1D97"/>
    <w:rsid w:val="00ED1FC5"/>
    <w:rsid w:val="00ED206A"/>
    <w:rsid w:val="00ED2D78"/>
    <w:rsid w:val="00ED314A"/>
    <w:rsid w:val="00ED31C5"/>
    <w:rsid w:val="00ED31FC"/>
    <w:rsid w:val="00ED42FB"/>
    <w:rsid w:val="00ED4432"/>
    <w:rsid w:val="00ED46D9"/>
    <w:rsid w:val="00ED4AB7"/>
    <w:rsid w:val="00ED672C"/>
    <w:rsid w:val="00ED677D"/>
    <w:rsid w:val="00ED7003"/>
    <w:rsid w:val="00ED76F0"/>
    <w:rsid w:val="00EE00A2"/>
    <w:rsid w:val="00EE023E"/>
    <w:rsid w:val="00EE059E"/>
    <w:rsid w:val="00EE1A75"/>
    <w:rsid w:val="00EE1AD6"/>
    <w:rsid w:val="00EE1B3B"/>
    <w:rsid w:val="00EE3EC2"/>
    <w:rsid w:val="00EE458F"/>
    <w:rsid w:val="00EE4E9F"/>
    <w:rsid w:val="00EE66A4"/>
    <w:rsid w:val="00EE6ADE"/>
    <w:rsid w:val="00EE6C60"/>
    <w:rsid w:val="00EE7AE6"/>
    <w:rsid w:val="00EF0448"/>
    <w:rsid w:val="00EF0B51"/>
    <w:rsid w:val="00EF0F1E"/>
    <w:rsid w:val="00EF21C0"/>
    <w:rsid w:val="00EF344D"/>
    <w:rsid w:val="00EF36A9"/>
    <w:rsid w:val="00EF4594"/>
    <w:rsid w:val="00EF4953"/>
    <w:rsid w:val="00EF4CDB"/>
    <w:rsid w:val="00EF560A"/>
    <w:rsid w:val="00EF569B"/>
    <w:rsid w:val="00EF5FF1"/>
    <w:rsid w:val="00EF60FA"/>
    <w:rsid w:val="00EF648B"/>
    <w:rsid w:val="00EF6577"/>
    <w:rsid w:val="00EF6720"/>
    <w:rsid w:val="00F01039"/>
    <w:rsid w:val="00F013C8"/>
    <w:rsid w:val="00F018E8"/>
    <w:rsid w:val="00F03DE6"/>
    <w:rsid w:val="00F04863"/>
    <w:rsid w:val="00F049E7"/>
    <w:rsid w:val="00F04DF6"/>
    <w:rsid w:val="00F0544B"/>
    <w:rsid w:val="00F06502"/>
    <w:rsid w:val="00F07D17"/>
    <w:rsid w:val="00F07FA7"/>
    <w:rsid w:val="00F105D4"/>
    <w:rsid w:val="00F10EF3"/>
    <w:rsid w:val="00F11934"/>
    <w:rsid w:val="00F11A8C"/>
    <w:rsid w:val="00F11C5F"/>
    <w:rsid w:val="00F1245A"/>
    <w:rsid w:val="00F12C12"/>
    <w:rsid w:val="00F13908"/>
    <w:rsid w:val="00F141D7"/>
    <w:rsid w:val="00F1492E"/>
    <w:rsid w:val="00F1513B"/>
    <w:rsid w:val="00F15316"/>
    <w:rsid w:val="00F1563F"/>
    <w:rsid w:val="00F157EC"/>
    <w:rsid w:val="00F1594C"/>
    <w:rsid w:val="00F1614F"/>
    <w:rsid w:val="00F17922"/>
    <w:rsid w:val="00F2031A"/>
    <w:rsid w:val="00F20B54"/>
    <w:rsid w:val="00F215FF"/>
    <w:rsid w:val="00F25C21"/>
    <w:rsid w:val="00F25F7B"/>
    <w:rsid w:val="00F2779D"/>
    <w:rsid w:val="00F27D6B"/>
    <w:rsid w:val="00F30AFE"/>
    <w:rsid w:val="00F313D3"/>
    <w:rsid w:val="00F32E0E"/>
    <w:rsid w:val="00F33B8C"/>
    <w:rsid w:val="00F33D55"/>
    <w:rsid w:val="00F34071"/>
    <w:rsid w:val="00F34C7D"/>
    <w:rsid w:val="00F356D3"/>
    <w:rsid w:val="00F35836"/>
    <w:rsid w:val="00F35C13"/>
    <w:rsid w:val="00F36556"/>
    <w:rsid w:val="00F36D21"/>
    <w:rsid w:val="00F37551"/>
    <w:rsid w:val="00F378AE"/>
    <w:rsid w:val="00F37B96"/>
    <w:rsid w:val="00F41BBB"/>
    <w:rsid w:val="00F427E6"/>
    <w:rsid w:val="00F44D01"/>
    <w:rsid w:val="00F4592F"/>
    <w:rsid w:val="00F4695A"/>
    <w:rsid w:val="00F4718D"/>
    <w:rsid w:val="00F505F2"/>
    <w:rsid w:val="00F507C3"/>
    <w:rsid w:val="00F5093D"/>
    <w:rsid w:val="00F50F6E"/>
    <w:rsid w:val="00F52D9D"/>
    <w:rsid w:val="00F530F4"/>
    <w:rsid w:val="00F548D6"/>
    <w:rsid w:val="00F54FD6"/>
    <w:rsid w:val="00F55452"/>
    <w:rsid w:val="00F55CCD"/>
    <w:rsid w:val="00F5668D"/>
    <w:rsid w:val="00F571F4"/>
    <w:rsid w:val="00F5788C"/>
    <w:rsid w:val="00F6045E"/>
    <w:rsid w:val="00F60AAB"/>
    <w:rsid w:val="00F60F26"/>
    <w:rsid w:val="00F6188E"/>
    <w:rsid w:val="00F6235B"/>
    <w:rsid w:val="00F637D2"/>
    <w:rsid w:val="00F63942"/>
    <w:rsid w:val="00F64B91"/>
    <w:rsid w:val="00F652A0"/>
    <w:rsid w:val="00F660A5"/>
    <w:rsid w:val="00F665CB"/>
    <w:rsid w:val="00F66871"/>
    <w:rsid w:val="00F66970"/>
    <w:rsid w:val="00F67CF5"/>
    <w:rsid w:val="00F70139"/>
    <w:rsid w:val="00F701A9"/>
    <w:rsid w:val="00F73393"/>
    <w:rsid w:val="00F73D5B"/>
    <w:rsid w:val="00F744A8"/>
    <w:rsid w:val="00F75114"/>
    <w:rsid w:val="00F75A84"/>
    <w:rsid w:val="00F75B14"/>
    <w:rsid w:val="00F76D17"/>
    <w:rsid w:val="00F77278"/>
    <w:rsid w:val="00F776D3"/>
    <w:rsid w:val="00F77DA8"/>
    <w:rsid w:val="00F77F7D"/>
    <w:rsid w:val="00F80D72"/>
    <w:rsid w:val="00F81F61"/>
    <w:rsid w:val="00F82D06"/>
    <w:rsid w:val="00F848BB"/>
    <w:rsid w:val="00F855D0"/>
    <w:rsid w:val="00F85B56"/>
    <w:rsid w:val="00F8667C"/>
    <w:rsid w:val="00F91F7A"/>
    <w:rsid w:val="00F92223"/>
    <w:rsid w:val="00F922A4"/>
    <w:rsid w:val="00F92401"/>
    <w:rsid w:val="00F942CA"/>
    <w:rsid w:val="00F94B75"/>
    <w:rsid w:val="00F96BD8"/>
    <w:rsid w:val="00F96E44"/>
    <w:rsid w:val="00F97110"/>
    <w:rsid w:val="00F97F53"/>
    <w:rsid w:val="00FA01F6"/>
    <w:rsid w:val="00FA065C"/>
    <w:rsid w:val="00FA13CB"/>
    <w:rsid w:val="00FA248F"/>
    <w:rsid w:val="00FA39CF"/>
    <w:rsid w:val="00FA4138"/>
    <w:rsid w:val="00FA4430"/>
    <w:rsid w:val="00FA4C3E"/>
    <w:rsid w:val="00FA66C0"/>
    <w:rsid w:val="00FB0EB5"/>
    <w:rsid w:val="00FB1FBC"/>
    <w:rsid w:val="00FB2F89"/>
    <w:rsid w:val="00FB5E7F"/>
    <w:rsid w:val="00FB5FF5"/>
    <w:rsid w:val="00FC05E4"/>
    <w:rsid w:val="00FC1891"/>
    <w:rsid w:val="00FC1976"/>
    <w:rsid w:val="00FC1FA3"/>
    <w:rsid w:val="00FC29B9"/>
    <w:rsid w:val="00FC2C7D"/>
    <w:rsid w:val="00FC359C"/>
    <w:rsid w:val="00FC3752"/>
    <w:rsid w:val="00FC40B4"/>
    <w:rsid w:val="00FC4582"/>
    <w:rsid w:val="00FC5245"/>
    <w:rsid w:val="00FC6E51"/>
    <w:rsid w:val="00FC714D"/>
    <w:rsid w:val="00FC7588"/>
    <w:rsid w:val="00FD0205"/>
    <w:rsid w:val="00FD0502"/>
    <w:rsid w:val="00FD126B"/>
    <w:rsid w:val="00FD1630"/>
    <w:rsid w:val="00FD1C4A"/>
    <w:rsid w:val="00FD2308"/>
    <w:rsid w:val="00FD37B9"/>
    <w:rsid w:val="00FD3CC5"/>
    <w:rsid w:val="00FD3F67"/>
    <w:rsid w:val="00FD462D"/>
    <w:rsid w:val="00FD535B"/>
    <w:rsid w:val="00FD5894"/>
    <w:rsid w:val="00FD5B40"/>
    <w:rsid w:val="00FD6598"/>
    <w:rsid w:val="00FD666B"/>
    <w:rsid w:val="00FD6C9A"/>
    <w:rsid w:val="00FD7B28"/>
    <w:rsid w:val="00FE1A37"/>
    <w:rsid w:val="00FE1CB0"/>
    <w:rsid w:val="00FE2F6A"/>
    <w:rsid w:val="00FE2FB6"/>
    <w:rsid w:val="00FE3143"/>
    <w:rsid w:val="00FE3995"/>
    <w:rsid w:val="00FE3BB4"/>
    <w:rsid w:val="00FE49FA"/>
    <w:rsid w:val="00FE4A5D"/>
    <w:rsid w:val="00FE628F"/>
    <w:rsid w:val="00FF359B"/>
    <w:rsid w:val="00FF4043"/>
    <w:rsid w:val="00FF407B"/>
    <w:rsid w:val="00FF47FE"/>
    <w:rsid w:val="00FF523A"/>
    <w:rsid w:val="00FF7225"/>
    <w:rsid w:val="00FF7552"/>
    <w:rsid w:val="00FF76A7"/>
    <w:rsid w:val="00FF7B5F"/>
    <w:rsid w:val="6E0A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8C306"/>
  <w15:docId w15:val="{8DE4BE8F-AA23-4C65-888C-62A1C6C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9D"/>
  </w:style>
  <w:style w:type="paragraph" w:styleId="Heading1">
    <w:name w:val="heading 1"/>
    <w:next w:val="Normal"/>
    <w:link w:val="Heading1Char"/>
    <w:uiPriority w:val="9"/>
    <w:unhideWhenUsed/>
    <w:qFormat/>
    <w:rsid w:val="00A85E58"/>
    <w:pPr>
      <w:keepNext/>
      <w:keepLines/>
      <w:spacing w:after="0"/>
      <w:ind w:left="101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A9"/>
  </w:style>
  <w:style w:type="paragraph" w:styleId="Footer">
    <w:name w:val="footer"/>
    <w:basedOn w:val="Normal"/>
    <w:link w:val="FooterChar"/>
    <w:uiPriority w:val="99"/>
    <w:unhideWhenUsed/>
    <w:rsid w:val="00C2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A9"/>
  </w:style>
  <w:style w:type="paragraph" w:customStyle="1" w:styleId="VBAILTBody">
    <w:name w:val="VBAILT Body"/>
    <w:qFormat/>
    <w:rsid w:val="008D44CD"/>
    <w:pPr>
      <w:spacing w:before="120" w:after="120" w:line="276" w:lineRule="auto"/>
    </w:pPr>
    <w:rPr>
      <w:rFonts w:ascii="Verdana" w:hAnsi="Verdana"/>
    </w:rPr>
  </w:style>
  <w:style w:type="paragraph" w:customStyle="1" w:styleId="VBAILTBodyStrong">
    <w:name w:val="VBAILT Body Strong"/>
    <w:basedOn w:val="VBAILTBody"/>
    <w:qFormat/>
    <w:rsid w:val="008D44CD"/>
    <w:rPr>
      <w:b/>
    </w:rPr>
  </w:style>
  <w:style w:type="paragraph" w:customStyle="1" w:styleId="VBAILTHeading1">
    <w:name w:val="VBAILT Heading 1"/>
    <w:basedOn w:val="VBAILTBody"/>
    <w:next w:val="VBAILTBody"/>
    <w:qFormat/>
    <w:rsid w:val="002D1DCE"/>
    <w:pPr>
      <w:shd w:val="clear" w:color="auto" w:fill="9CC2E5" w:themeFill="accent1" w:themeFillTint="99"/>
      <w:spacing w:before="240" w:line="240" w:lineRule="auto"/>
      <w:outlineLvl w:val="0"/>
    </w:pPr>
    <w:rPr>
      <w:b/>
      <w:sz w:val="28"/>
      <w:szCs w:val="28"/>
    </w:rPr>
  </w:style>
  <w:style w:type="paragraph" w:customStyle="1" w:styleId="VBAILTHeading2">
    <w:name w:val="VBAILT Heading 2"/>
    <w:basedOn w:val="VBAILTBody"/>
    <w:next w:val="VBAILTBody"/>
    <w:qFormat/>
    <w:rsid w:val="002D1DCE"/>
    <w:pPr>
      <w:keepNext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spacing w:before="240" w:line="240" w:lineRule="auto"/>
      <w:outlineLvl w:val="1"/>
    </w:pPr>
    <w:rPr>
      <w:b/>
      <w:sz w:val="24"/>
      <w:szCs w:val="24"/>
    </w:rPr>
  </w:style>
  <w:style w:type="paragraph" w:customStyle="1" w:styleId="VBAILTbullet1">
    <w:name w:val="VBAILT bullet 1"/>
    <w:basedOn w:val="VBAILTBody"/>
    <w:qFormat/>
    <w:rsid w:val="008D44CD"/>
    <w:pPr>
      <w:numPr>
        <w:numId w:val="4"/>
      </w:numPr>
      <w:spacing w:after="0"/>
    </w:pPr>
  </w:style>
  <w:style w:type="paragraph" w:customStyle="1" w:styleId="VBAILTBullet2">
    <w:name w:val="VBAILT Bullet 2"/>
    <w:basedOn w:val="VBAILTBody"/>
    <w:qFormat/>
    <w:rsid w:val="008D44CD"/>
    <w:pPr>
      <w:numPr>
        <w:ilvl w:val="1"/>
        <w:numId w:val="4"/>
      </w:numPr>
    </w:pPr>
  </w:style>
  <w:style w:type="table" w:styleId="TableGrid">
    <w:name w:val="Table Grid"/>
    <w:basedOn w:val="TableNormal"/>
    <w:uiPriority w:val="59"/>
    <w:rsid w:val="006E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AILTTableHeading1">
    <w:name w:val="VBAILT Table Heading 1"/>
    <w:basedOn w:val="VBAILTBody"/>
    <w:next w:val="VBAILTBody"/>
    <w:qFormat/>
    <w:rsid w:val="006E54AE"/>
    <w:pPr>
      <w:spacing w:line="240" w:lineRule="auto"/>
    </w:pPr>
    <w:rPr>
      <w:b/>
      <w:sz w:val="24"/>
      <w:szCs w:val="24"/>
    </w:rPr>
  </w:style>
  <w:style w:type="paragraph" w:customStyle="1" w:styleId="VBAILTHeader">
    <w:name w:val="VBAILT Header"/>
    <w:basedOn w:val="VBAILTBody"/>
    <w:qFormat/>
    <w:rsid w:val="001262F7"/>
    <w:pPr>
      <w:spacing w:before="0" w:after="0" w:line="240" w:lineRule="auto"/>
      <w:jc w:val="center"/>
    </w:pPr>
    <w:rPr>
      <w:rFonts w:ascii="Calibri" w:hAnsi="Calibri"/>
      <w:b/>
      <w:i/>
      <w:sz w:val="28"/>
      <w:szCs w:val="28"/>
    </w:rPr>
  </w:style>
  <w:style w:type="paragraph" w:customStyle="1" w:styleId="VBAILTFooter">
    <w:name w:val="VBAILT Footer"/>
    <w:basedOn w:val="VBAILTBody"/>
    <w:qFormat/>
    <w:rsid w:val="0024084E"/>
    <w:pPr>
      <w:pBdr>
        <w:top w:val="single" w:sz="4" w:space="1" w:color="auto"/>
      </w:pBdr>
      <w:tabs>
        <w:tab w:val="right" w:pos="9360"/>
      </w:tabs>
      <w:spacing w:before="0" w:after="0" w:line="240" w:lineRule="auto"/>
    </w:pPr>
    <w:rPr>
      <w:rFonts w:ascii="Calibri" w:hAnsi="Calibri"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9F361E"/>
    <w:rPr>
      <w:b/>
      <w:bCs/>
    </w:rPr>
  </w:style>
  <w:style w:type="paragraph" w:customStyle="1" w:styleId="VBAILTCoverdoctypecourse">
    <w:name w:val="VBAILT Cover doc type &amp; course"/>
    <w:basedOn w:val="VBAILTBody"/>
    <w:next w:val="VBAILTBody"/>
    <w:qFormat/>
    <w:rsid w:val="001D5A75"/>
    <w:pPr>
      <w:spacing w:after="1200"/>
      <w:jc w:val="center"/>
    </w:pPr>
    <w:rPr>
      <w:color w:val="323E4F" w:themeColor="text2" w:themeShade="BF"/>
      <w:sz w:val="48"/>
      <w:szCs w:val="44"/>
    </w:rPr>
  </w:style>
  <w:style w:type="paragraph" w:customStyle="1" w:styleId="VBAILTCoverLessonTitle">
    <w:name w:val="VBAILT Cover Lesson Title"/>
    <w:basedOn w:val="VBAILTBody"/>
    <w:next w:val="VBAILTBody"/>
    <w:qFormat/>
    <w:rsid w:val="001D5A75"/>
    <w:pPr>
      <w:jc w:val="center"/>
    </w:pPr>
    <w:rPr>
      <w:b/>
      <w:color w:val="323E4F" w:themeColor="text2" w:themeShade="BF"/>
      <w:sz w:val="56"/>
      <w:szCs w:val="56"/>
    </w:rPr>
  </w:style>
  <w:style w:type="paragraph" w:customStyle="1" w:styleId="VBAILTCoverMisc">
    <w:name w:val="VBAILT Cover Misc"/>
    <w:basedOn w:val="VBAILTBody"/>
    <w:next w:val="VBAILTBody"/>
    <w:qFormat/>
    <w:rsid w:val="00C8779F"/>
    <w:pPr>
      <w:jc w:val="center"/>
    </w:pPr>
    <w:rPr>
      <w:sz w:val="28"/>
    </w:rPr>
  </w:style>
  <w:style w:type="paragraph" w:customStyle="1" w:styleId="VBAILTCoverService">
    <w:name w:val="VBAILT Cover Service"/>
    <w:basedOn w:val="VBAILTBody"/>
    <w:next w:val="VBAILTBody"/>
    <w:qFormat/>
    <w:rsid w:val="001D5A75"/>
    <w:pPr>
      <w:spacing w:before="1920" w:after="1440"/>
      <w:jc w:val="center"/>
    </w:pPr>
    <w:rPr>
      <w:rFonts w:ascii="Palatino Linotype" w:hAnsi="Palatino Linotype"/>
      <w:b/>
      <w:caps/>
      <w:outline/>
      <w:color w:val="4472C4" w:themeColor="accent5"/>
      <w:sz w:val="40"/>
      <w:szCs w:val="72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51"/>
    <w:rPr>
      <w:rFonts w:ascii="Segoe UI" w:hAnsi="Segoe UI" w:cs="Segoe UI"/>
      <w:sz w:val="18"/>
      <w:szCs w:val="18"/>
    </w:rPr>
  </w:style>
  <w:style w:type="paragraph" w:customStyle="1" w:styleId="VBAILTAnswer">
    <w:name w:val="VBAILT Answer"/>
    <w:basedOn w:val="VBAILTBody"/>
    <w:next w:val="VBAILTBody"/>
    <w:qFormat/>
    <w:rsid w:val="008D44CD"/>
    <w:rPr>
      <w:i/>
    </w:rPr>
  </w:style>
  <w:style w:type="paragraph" w:customStyle="1" w:styleId="VBAILTAnswerbullet1">
    <w:name w:val="VBAILT Answer bullet 1"/>
    <w:basedOn w:val="VBAILTbullet1"/>
    <w:next w:val="VBAILTBody"/>
    <w:qFormat/>
    <w:rsid w:val="008D44CD"/>
    <w:rPr>
      <w:i/>
    </w:rPr>
  </w:style>
  <w:style w:type="paragraph" w:customStyle="1" w:styleId="VBAILTAnswersbullet2">
    <w:name w:val="VBAILT Answers bullet2"/>
    <w:basedOn w:val="VBAILTBullet2"/>
    <w:next w:val="VBAILTBody"/>
    <w:qFormat/>
    <w:rsid w:val="008D44CD"/>
    <w:rPr>
      <w:i/>
    </w:rPr>
  </w:style>
  <w:style w:type="numbering" w:customStyle="1" w:styleId="VBAILTNumbering">
    <w:name w:val="VBAILT Numbering"/>
    <w:basedOn w:val="NoList"/>
    <w:uiPriority w:val="99"/>
    <w:rsid w:val="00E94AEA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94AEA"/>
    <w:pPr>
      <w:spacing w:after="1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40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86"/>
    <w:rPr>
      <w:b/>
      <w:bCs/>
      <w:sz w:val="20"/>
      <w:szCs w:val="20"/>
    </w:rPr>
  </w:style>
  <w:style w:type="character" w:styleId="Hyperlink">
    <w:name w:val="Hyperlink"/>
    <w:rsid w:val="00271DA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5E58"/>
    <w:rPr>
      <w:rFonts w:ascii="Arial" w:eastAsia="Arial" w:hAnsi="Arial" w:cs="Arial"/>
      <w:b/>
      <w:color w:val="000000"/>
      <w:sz w:val="18"/>
    </w:rPr>
  </w:style>
  <w:style w:type="character" w:styleId="Emphasis">
    <w:name w:val="Emphasis"/>
    <w:basedOn w:val="DefaultParagraphFont"/>
    <w:uiPriority w:val="20"/>
    <w:qFormat/>
    <w:rsid w:val="007F0B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A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34A4"/>
    <w:pPr>
      <w:spacing w:after="0" w:line="240" w:lineRule="auto"/>
    </w:pPr>
  </w:style>
  <w:style w:type="paragraph" w:customStyle="1" w:styleId="QSTBullet1">
    <w:name w:val="QST Bullet 1"/>
    <w:basedOn w:val="Normal"/>
    <w:rsid w:val="00C146F2"/>
    <w:pPr>
      <w:numPr>
        <w:numId w:val="5"/>
      </w:numPr>
      <w:spacing w:after="0" w:line="240" w:lineRule="auto"/>
      <w:jc w:val="both"/>
    </w:pPr>
    <w:rPr>
      <w:rFonts w:ascii="Verdana" w:eastAsia="Calibri" w:hAnsi="Verdana" w:cs="Times New Roman"/>
    </w:rPr>
  </w:style>
  <w:style w:type="character" w:customStyle="1" w:styleId="normaltextrun">
    <w:name w:val="normaltextrun"/>
    <w:basedOn w:val="DefaultParagraphFont"/>
    <w:rsid w:val="00E4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1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4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3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5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4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4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0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2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4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2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330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0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5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8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35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3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12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76712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3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09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6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2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6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947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131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116">
      <w:bodyDiv w:val="1"/>
      <w:marLeft w:val="180"/>
      <w:marRight w:val="12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w.cornell.edu/uscode/text/38/part-III/chapter-35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80DDDBD4C8A4893649D119A9CA56E" ma:contentTypeVersion="12" ma:contentTypeDescription="Create a new document." ma:contentTypeScope="" ma:versionID="68c2b88256eb931aea5c9f499da56601">
  <xsd:schema xmlns:xsd="http://www.w3.org/2001/XMLSchema" xmlns:xs="http://www.w3.org/2001/XMLSchema" xmlns:p="http://schemas.microsoft.com/office/2006/metadata/properties" xmlns:ns1="http://schemas.microsoft.com/sharepoint/v3" xmlns:ns2="b4647670-8a1a-4303-bfca-411bbc0da688" xmlns:ns3="c7ec34b5-d637-4aef-8083-e887a6537c45" targetNamespace="http://schemas.microsoft.com/office/2006/metadata/properties" ma:root="true" ma:fieldsID="fb33626fc69f30413c19bdd9f299d01d" ns1:_="" ns2:_="" ns3:_="">
    <xsd:import namespace="http://schemas.microsoft.com/sharepoint/v3"/>
    <xsd:import namespace="b4647670-8a1a-4303-bfca-411bbc0da688"/>
    <xsd:import namespace="c7ec34b5-d637-4aef-8083-e887a6537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7670-8a1a-4303-bfca-411bbc0d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34b5-d637-4aef-8083-e887a6537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FFE5E-49B2-4370-B376-CCA1C501C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BA2E8-DE3F-44CC-80AE-7346C8CE5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6E26-194B-430C-A531-42F0CCFDE3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593566-36D8-461B-8128-EE4F9DC07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647670-8a1a-4303-bfca-411bbc0da688"/>
    <ds:schemaRef ds:uri="c7ec34b5-d637-4aef-8083-e887a65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2: Overview of the Award Process Trainee Guide</vt:lpstr>
    </vt:vector>
  </TitlesOfParts>
  <Company>Veterans Benefits Administration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2: Overview of the Award Process Trainee Guide</dc:title>
  <dc:creator>Department of Veterans Affairs, Veterans Benefits Administration, Pension and Fiduciary Service, STAFF</dc:creator>
  <cp:lastModifiedBy>Kathy Poole</cp:lastModifiedBy>
  <cp:revision>3</cp:revision>
  <dcterms:created xsi:type="dcterms:W3CDTF">2024-06-14T18:19:00Z</dcterms:created>
  <dcterms:modified xsi:type="dcterms:W3CDTF">2024-07-01T20:01:00Z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0x01010016680DDDBD4C8A4893649D119A9CA56E</vt:lpwstr>
  </property>
  <property fmtid="{D5CDD505-2E9C-101B-9397-08002B2CF9AE}" pid="3" name="Language">
    <vt:lpwstr>en</vt:lpwstr>
  </property>
  <property fmtid="{D5CDD505-2E9C-101B-9397-08002B2CF9AE}" pid="4" name="Type">
    <vt:lpwstr>Guide</vt:lpwstr>
  </property>
</Properties>
</file>