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8BA4" w14:textId="55B53CA8" w:rsidR="00C8779F" w:rsidRDefault="00204062" w:rsidP="003E3D02">
      <w:pPr>
        <w:pStyle w:val="VBAILTCoverService"/>
      </w:pPr>
      <w:r>
        <w:t>Pension and Fiduciary Service</w:t>
      </w:r>
    </w:p>
    <w:p w14:paraId="5D70E5F9" w14:textId="320D664B" w:rsidR="00C8779F" w:rsidRDefault="00204062" w:rsidP="00E83754">
      <w:pPr>
        <w:pStyle w:val="VBAILTCoverdoctypecourse"/>
      </w:pPr>
      <w:r>
        <w:t xml:space="preserve">PMC VSR </w:t>
      </w:r>
      <w:r w:rsidR="00E83754">
        <w:t>Intermediate</w:t>
      </w:r>
      <w:r w:rsidR="00F06DC2">
        <w:t xml:space="preserve"> </w:t>
      </w:r>
      <w:r>
        <w:t>Core Course</w:t>
      </w:r>
      <w:r>
        <w:br/>
        <w:t xml:space="preserve">Phase 5: </w:t>
      </w:r>
      <w:r w:rsidR="00E83754">
        <w:t>Proficiency Development</w:t>
      </w:r>
      <w:r>
        <w:br/>
        <w:t>Part 1</w:t>
      </w:r>
      <w:r w:rsidR="00E83754">
        <w:t>(c):</w:t>
      </w:r>
      <w:r>
        <w:t xml:space="preserve"> </w:t>
      </w:r>
      <w:r w:rsidR="00E83754">
        <w:t>Income</w:t>
      </w:r>
      <w:r>
        <w:t xml:space="preserve"> Eligibility </w:t>
      </w:r>
    </w:p>
    <w:p w14:paraId="4F3361AA" w14:textId="1715284F" w:rsidR="00C214A9" w:rsidRDefault="003B32AA" w:rsidP="00C8779F">
      <w:pPr>
        <w:pStyle w:val="VBAILTCoverLessonTitle"/>
      </w:pPr>
      <w:r>
        <w:t>Select Qualifying Expenses</w:t>
      </w:r>
    </w:p>
    <w:p w14:paraId="0136994B" w14:textId="68FAEF15" w:rsidR="00C30F06" w:rsidRPr="00C214A9" w:rsidRDefault="00A01F06" w:rsidP="00C8779F">
      <w:pPr>
        <w:pStyle w:val="VBAILTCoverdoctypecourse"/>
      </w:pPr>
      <w:r>
        <w:t>Trainee Guide</w:t>
      </w:r>
    </w:p>
    <w:p w14:paraId="697C0552" w14:textId="40B3215B" w:rsidR="00C30F06" w:rsidRDefault="64F488E4" w:rsidP="106C915B">
      <w:pPr>
        <w:pStyle w:val="VBAILTCoverMisc"/>
        <w:rPr>
          <w:sz w:val="72"/>
          <w:szCs w:val="72"/>
        </w:rPr>
      </w:pPr>
      <w:r>
        <w:t>June 2024</w:t>
      </w:r>
      <w:r w:rsidR="00CF4DDE">
        <w:br w:type="page"/>
      </w:r>
    </w:p>
    <w:p w14:paraId="4C48BD86" w14:textId="4833A214" w:rsidR="00C214A9" w:rsidRPr="0041489C" w:rsidRDefault="003B32AA" w:rsidP="002D1DCE">
      <w:pPr>
        <w:pStyle w:val="VBAILTHeading1"/>
      </w:pPr>
      <w:r w:rsidRPr="0041489C">
        <w:lastRenderedPageBreak/>
        <w:t>Select Qualifying Expenses</w:t>
      </w:r>
    </w:p>
    <w:p w14:paraId="1D9B8E15" w14:textId="77777777" w:rsidR="00C214A9" w:rsidRPr="0041489C" w:rsidRDefault="00C214A9" w:rsidP="002E7FD3">
      <w:pPr>
        <w:pStyle w:val="VBAILTHeading2"/>
      </w:pPr>
      <w:r w:rsidRPr="0041489C">
        <w:t xml:space="preserve">Lesson </w:t>
      </w:r>
      <w:r w:rsidR="002D1DCE" w:rsidRPr="0041489C">
        <w:t>Overview</w:t>
      </w:r>
    </w:p>
    <w:tbl>
      <w:tblPr>
        <w:tblStyle w:val="TableGrid"/>
        <w:tblW w:w="9360" w:type="dxa"/>
        <w:tblLook w:val="04A0" w:firstRow="1" w:lastRow="0" w:firstColumn="1" w:lastColumn="0" w:noHBand="0" w:noVBand="1"/>
        <w:tblCaption w:val="Lesson overview table specifying the characteristics of the lesson"/>
      </w:tblPr>
      <w:tblGrid>
        <w:gridCol w:w="1883"/>
        <w:gridCol w:w="7477"/>
      </w:tblGrid>
      <w:tr w:rsidR="0041489C" w:rsidRPr="0041489C" w14:paraId="77A69FB9" w14:textId="77777777" w:rsidTr="00D360D5">
        <w:trPr>
          <w:cantSplit/>
          <w:tblHeader/>
        </w:trPr>
        <w:tc>
          <w:tcPr>
            <w:tcW w:w="1883" w:type="dxa"/>
            <w:shd w:val="clear" w:color="auto" w:fill="BDD6EE" w:themeFill="accent1" w:themeFillTint="66"/>
          </w:tcPr>
          <w:p w14:paraId="73A66B48" w14:textId="77777777" w:rsidR="003B118F" w:rsidRPr="0041489C" w:rsidRDefault="003B118F" w:rsidP="003B118F">
            <w:pPr>
              <w:pStyle w:val="VBAILTTableHeading1"/>
            </w:pPr>
            <w:r w:rsidRPr="0041489C">
              <w:t>Topic</w:t>
            </w:r>
          </w:p>
        </w:tc>
        <w:tc>
          <w:tcPr>
            <w:tcW w:w="7477" w:type="dxa"/>
            <w:shd w:val="clear" w:color="auto" w:fill="BDD6EE" w:themeFill="accent1" w:themeFillTint="66"/>
          </w:tcPr>
          <w:p w14:paraId="526E9713" w14:textId="77777777" w:rsidR="003B118F" w:rsidRPr="0041489C" w:rsidRDefault="003B118F" w:rsidP="003B118F">
            <w:pPr>
              <w:pStyle w:val="VBAILTTableHeading1"/>
            </w:pPr>
            <w:r w:rsidRPr="0041489C">
              <w:t>Description</w:t>
            </w:r>
          </w:p>
        </w:tc>
      </w:tr>
      <w:tr w:rsidR="0041489C" w:rsidRPr="0041489C" w14:paraId="1E5560B8" w14:textId="77777777" w:rsidTr="00D360D5">
        <w:trPr>
          <w:cantSplit/>
        </w:trPr>
        <w:tc>
          <w:tcPr>
            <w:tcW w:w="1883" w:type="dxa"/>
          </w:tcPr>
          <w:p w14:paraId="4E4A64A8" w14:textId="77777777" w:rsidR="00267BA2" w:rsidRPr="0041489C" w:rsidRDefault="00267BA2" w:rsidP="00414D1D">
            <w:pPr>
              <w:pStyle w:val="VBAILTBody"/>
            </w:pPr>
            <w:r w:rsidRPr="0041489C">
              <w:t>Time Estimate</w:t>
            </w:r>
            <w:r w:rsidR="00077BE7" w:rsidRPr="0041489C">
              <w:t>:</w:t>
            </w:r>
          </w:p>
        </w:tc>
        <w:tc>
          <w:tcPr>
            <w:tcW w:w="7477" w:type="dxa"/>
          </w:tcPr>
          <w:p w14:paraId="170462F7" w14:textId="0C187AF0" w:rsidR="00267BA2" w:rsidRPr="0041489C" w:rsidRDefault="005C2F5B" w:rsidP="00414D1D">
            <w:pPr>
              <w:pStyle w:val="VBAILTBody"/>
            </w:pPr>
            <w:r w:rsidRPr="0041489C">
              <w:t>2</w:t>
            </w:r>
            <w:r w:rsidR="0024093A" w:rsidRPr="0041489C">
              <w:t xml:space="preserve"> hours</w:t>
            </w:r>
          </w:p>
        </w:tc>
      </w:tr>
      <w:tr w:rsidR="0041489C" w:rsidRPr="0041489C" w14:paraId="2AAD139C" w14:textId="77777777" w:rsidTr="00D360D5">
        <w:trPr>
          <w:cantSplit/>
        </w:trPr>
        <w:tc>
          <w:tcPr>
            <w:tcW w:w="1883" w:type="dxa"/>
          </w:tcPr>
          <w:p w14:paraId="4C6C3528" w14:textId="77777777" w:rsidR="002D1DCE" w:rsidRPr="0041489C" w:rsidRDefault="00267BA2" w:rsidP="001262F7">
            <w:pPr>
              <w:pStyle w:val="VBAILTBody"/>
            </w:pPr>
            <w:r w:rsidRPr="0041489C">
              <w:t>Purpose of the Lesson:</w:t>
            </w:r>
          </w:p>
        </w:tc>
        <w:tc>
          <w:tcPr>
            <w:tcW w:w="7477" w:type="dxa"/>
          </w:tcPr>
          <w:p w14:paraId="6E400FDA" w14:textId="34163447" w:rsidR="002D1DCE" w:rsidRPr="0041489C" w:rsidRDefault="008E2F2E" w:rsidP="00A01F06">
            <w:pPr>
              <w:pStyle w:val="VBAILTBody"/>
            </w:pPr>
            <w:r w:rsidRPr="0041489C">
              <w:t xml:space="preserve">The </w:t>
            </w:r>
            <w:r w:rsidR="00F06594" w:rsidRPr="0041489C">
              <w:t>purpose</w:t>
            </w:r>
            <w:r w:rsidRPr="0041489C">
              <w:t xml:space="preserve"> of this lesson is to prepare </w:t>
            </w:r>
            <w:r w:rsidR="00A01F06" w:rsidRPr="0041489C">
              <w:t>you</w:t>
            </w:r>
            <w:r w:rsidRPr="0041489C">
              <w:t xml:space="preserve"> to </w:t>
            </w:r>
            <w:r w:rsidR="00E879A1" w:rsidRPr="0041489C">
              <w:t>select qualifying expenses to deduct when calculating income for VA purposes.</w:t>
            </w:r>
          </w:p>
        </w:tc>
      </w:tr>
      <w:tr w:rsidR="003A1BE1" w:rsidRPr="0041489C" w14:paraId="54B9D049" w14:textId="77777777" w:rsidTr="00D360D5">
        <w:trPr>
          <w:cantSplit/>
        </w:trPr>
        <w:tc>
          <w:tcPr>
            <w:tcW w:w="1883" w:type="dxa"/>
          </w:tcPr>
          <w:p w14:paraId="4CD6136D" w14:textId="77777777" w:rsidR="003A1BE1" w:rsidRPr="0041489C" w:rsidRDefault="003A1BE1" w:rsidP="003A1BE1">
            <w:pPr>
              <w:pStyle w:val="VBAILTBody"/>
            </w:pPr>
            <w:r w:rsidRPr="0041489C">
              <w:t>Prerequisite Training Requirements:</w:t>
            </w:r>
          </w:p>
        </w:tc>
        <w:tc>
          <w:tcPr>
            <w:tcW w:w="7477" w:type="dxa"/>
          </w:tcPr>
          <w:p w14:paraId="4BB40893" w14:textId="49C9D22E" w:rsidR="003A1BE1" w:rsidRPr="0041489C" w:rsidRDefault="003A1BE1" w:rsidP="003A1BE1">
            <w:pPr>
              <w:pStyle w:val="VBAILTBody"/>
            </w:pPr>
            <w:r w:rsidRPr="00BF10BD">
              <w:t>Prior to taking the Select Qualifying Expenses lesson, trainees must complete PMC VSR Core Course Phases 1–4 and Phase 5</w:t>
            </w:r>
            <w:r>
              <w:t>.1 (a) and (b</w:t>
            </w:r>
            <w:r w:rsidR="00CF777B">
              <w:t>)</w:t>
            </w:r>
          </w:p>
        </w:tc>
      </w:tr>
      <w:tr w:rsidR="0041489C" w:rsidRPr="0041489C" w14:paraId="1F260CF3" w14:textId="77777777" w:rsidTr="00D360D5">
        <w:trPr>
          <w:cantSplit/>
        </w:trPr>
        <w:tc>
          <w:tcPr>
            <w:tcW w:w="1883" w:type="dxa"/>
          </w:tcPr>
          <w:p w14:paraId="77785509" w14:textId="77777777" w:rsidR="001262F7" w:rsidRPr="0041489C" w:rsidRDefault="001262F7" w:rsidP="001262F7">
            <w:pPr>
              <w:pStyle w:val="VBAILTBody"/>
            </w:pPr>
            <w:r w:rsidRPr="0041489C">
              <w:t>Target Audience:</w:t>
            </w:r>
          </w:p>
        </w:tc>
        <w:tc>
          <w:tcPr>
            <w:tcW w:w="7477" w:type="dxa"/>
          </w:tcPr>
          <w:p w14:paraId="5E633646" w14:textId="66CAA8D6" w:rsidR="001262F7" w:rsidRPr="0041489C" w:rsidRDefault="00F800AE" w:rsidP="0027419D">
            <w:pPr>
              <w:pStyle w:val="VBAILTBody"/>
            </w:pPr>
            <w:r w:rsidRPr="0041489C">
              <w:t xml:space="preserve">This lesson is for </w:t>
            </w:r>
            <w:r w:rsidR="0027419D" w:rsidRPr="0041489C">
              <w:t>entry-</w:t>
            </w:r>
            <w:r w:rsidRPr="0041489C">
              <w:t>level PMC VSRs.</w:t>
            </w:r>
          </w:p>
        </w:tc>
      </w:tr>
      <w:tr w:rsidR="0041489C" w:rsidRPr="0041489C" w14:paraId="45AA27A2" w14:textId="77777777" w:rsidTr="00D360D5">
        <w:trPr>
          <w:cantSplit/>
        </w:trPr>
        <w:tc>
          <w:tcPr>
            <w:tcW w:w="1883" w:type="dxa"/>
          </w:tcPr>
          <w:p w14:paraId="11CB80E0" w14:textId="77777777" w:rsidR="002D1DCE" w:rsidRPr="0041489C" w:rsidRDefault="00077BE7" w:rsidP="001262F7">
            <w:pPr>
              <w:pStyle w:val="VBAILTBody"/>
            </w:pPr>
            <w:r w:rsidRPr="0041489C">
              <w:t>Lesson References:</w:t>
            </w:r>
          </w:p>
        </w:tc>
        <w:tc>
          <w:tcPr>
            <w:tcW w:w="7477" w:type="dxa"/>
          </w:tcPr>
          <w:p w14:paraId="2658F24E" w14:textId="77777777" w:rsidR="00CF777B" w:rsidRPr="00BF10BD" w:rsidRDefault="00CF777B" w:rsidP="00CF777B">
            <w:pPr>
              <w:pStyle w:val="VBAILTbullet1"/>
            </w:pPr>
            <w:r w:rsidRPr="00BF10BD">
              <w:t>38 CFR 3.262.o (</w:t>
            </w:r>
            <w:r>
              <w:t>Final Expenses of Veteran or Parent’s Spouse; Dependency and Indemnity Compensation</w:t>
            </w:r>
            <w:r w:rsidRPr="00BF10BD">
              <w:t>)</w:t>
            </w:r>
          </w:p>
          <w:p w14:paraId="279F53A7" w14:textId="113ABFD6" w:rsidR="00CF777B" w:rsidRDefault="00CF777B" w:rsidP="00CF777B">
            <w:pPr>
              <w:pStyle w:val="VBAILTbullet1"/>
            </w:pPr>
            <w:r w:rsidRPr="00BF10BD">
              <w:t>38 CFR 3.272 (Exclusions from income)</w:t>
            </w:r>
          </w:p>
          <w:p w14:paraId="631E05D6" w14:textId="14A561A3" w:rsidR="003A1BE1" w:rsidRDefault="003A1BE1" w:rsidP="003A1BE1">
            <w:pPr>
              <w:pStyle w:val="VBAILTbullet1"/>
            </w:pPr>
            <w:r>
              <w:t xml:space="preserve">M21-1 </w:t>
            </w:r>
            <w:r w:rsidR="009F69D7" w:rsidRPr="009F69D7">
              <w:t>X.iii.1.A (Reports of Hospitalization and Other Information Exchanges Between Department of Veterans Affairs (VA) Regional Offices (ROs) and Medical Facilities)</w:t>
            </w:r>
          </w:p>
          <w:p w14:paraId="11D2D3AA" w14:textId="2CCE9094" w:rsidR="003A1BE1" w:rsidRPr="0041489C" w:rsidRDefault="003A1BE1" w:rsidP="003A1BE1">
            <w:pPr>
              <w:pStyle w:val="VBAILTbullet1"/>
            </w:pPr>
            <w:r w:rsidRPr="0041489C">
              <w:t xml:space="preserve">M21-1 </w:t>
            </w:r>
            <w:r w:rsidR="009F69D7">
              <w:t>IX</w:t>
            </w:r>
            <w:r w:rsidRPr="0041489C">
              <w:t>.i.3.D.1 (Determining When Unreimbursed Medical Expenses Are Deductible)</w:t>
            </w:r>
          </w:p>
          <w:p w14:paraId="600EC9F7" w14:textId="4E67BA17" w:rsidR="003A1BE1" w:rsidRPr="0041489C" w:rsidRDefault="003A1BE1" w:rsidP="003A1BE1">
            <w:pPr>
              <w:pStyle w:val="VBAILTbullet1"/>
            </w:pPr>
            <w:r w:rsidRPr="0041489C">
              <w:t xml:space="preserve">M21-1 </w:t>
            </w:r>
            <w:r w:rsidR="009F69D7">
              <w:t>IX</w:t>
            </w:r>
            <w:r w:rsidRPr="0041489C">
              <w:t>.iii.1.A.3.g (Definition of Initial Year for Pension and Time Limit for Establishing Entitlement for the Initial Year)</w:t>
            </w:r>
          </w:p>
          <w:p w14:paraId="32670530" w14:textId="5A469AAA" w:rsidR="003A1BE1" w:rsidRPr="0041489C" w:rsidRDefault="003A1BE1" w:rsidP="003A1BE1">
            <w:pPr>
              <w:pStyle w:val="VBAILTbullet1"/>
            </w:pPr>
            <w:r w:rsidRPr="0041489C">
              <w:t xml:space="preserve">M21-1 </w:t>
            </w:r>
            <w:r w:rsidR="009F69D7">
              <w:t>IX</w:t>
            </w:r>
            <w:r w:rsidRPr="0041489C">
              <w:t>.iii.1.E.7 (</w:t>
            </w:r>
            <w:r>
              <w:t>Counting Income During the Initial Year</w:t>
            </w:r>
            <w:r w:rsidRPr="0041489C">
              <w:t>)</w:t>
            </w:r>
          </w:p>
          <w:p w14:paraId="353ED0F7" w14:textId="149D729E" w:rsidR="003A1BE1" w:rsidRDefault="003A1BE1" w:rsidP="003A1BE1">
            <w:pPr>
              <w:pStyle w:val="VBAILTbullet1"/>
            </w:pPr>
            <w:r w:rsidRPr="0041489C">
              <w:t xml:space="preserve">M21-1 </w:t>
            </w:r>
            <w:r w:rsidR="009F69D7">
              <w:t>IX</w:t>
            </w:r>
            <w:r w:rsidRPr="0041489C">
              <w:t>.iii.1.G.</w:t>
            </w:r>
            <w:r>
              <w:t xml:space="preserve"> (Pension – Deductible Medical Expenses)</w:t>
            </w:r>
          </w:p>
          <w:p w14:paraId="45E354FE" w14:textId="5E3193E9" w:rsidR="003A1BE1" w:rsidRDefault="003A1BE1" w:rsidP="003A1BE1">
            <w:pPr>
              <w:pStyle w:val="VBAILTbullet1"/>
            </w:pPr>
            <w:r w:rsidRPr="0041489C">
              <w:t xml:space="preserve">M21-1 </w:t>
            </w:r>
            <w:r w:rsidR="009F69D7">
              <w:t>IX</w:t>
            </w:r>
            <w:r w:rsidRPr="0041489C">
              <w:t>.iii.1.</w:t>
            </w:r>
            <w:r>
              <w:t>K. (Pension – Other Deductible Expenses)</w:t>
            </w:r>
          </w:p>
          <w:p w14:paraId="4EC7ACF2" w14:textId="77777777" w:rsidR="003A1BE1" w:rsidRPr="00C2307D" w:rsidRDefault="003A1BE1" w:rsidP="003A1BE1">
            <w:pPr>
              <w:pStyle w:val="VBAILTbullet1"/>
            </w:pPr>
            <w:r w:rsidRPr="00C2307D">
              <w:rPr>
                <w:b/>
              </w:rPr>
              <w:t>Care Expense Guide</w:t>
            </w:r>
            <w:r w:rsidRPr="00C2307D">
              <w:t xml:space="preserve"> job aid</w:t>
            </w:r>
          </w:p>
          <w:p w14:paraId="5D428FDC" w14:textId="77777777" w:rsidR="003A1BE1" w:rsidRPr="00C2307D" w:rsidRDefault="003A1BE1" w:rsidP="003A1BE1">
            <w:pPr>
              <w:pStyle w:val="VBAILTbullet1"/>
            </w:pPr>
            <w:r w:rsidRPr="00C2307D">
              <w:rPr>
                <w:b/>
              </w:rPr>
              <w:t>Claim Types</w:t>
            </w:r>
            <w:r w:rsidRPr="00C2307D">
              <w:t xml:space="preserve"> job aid</w:t>
            </w:r>
          </w:p>
          <w:p w14:paraId="5D95E3DB" w14:textId="77777777" w:rsidR="003A1BE1" w:rsidRPr="00C2307D" w:rsidRDefault="003A1BE1" w:rsidP="003A1BE1">
            <w:pPr>
              <w:pStyle w:val="VBAILTbullet1"/>
            </w:pPr>
            <w:r w:rsidRPr="00C2307D">
              <w:rPr>
                <w:b/>
              </w:rPr>
              <w:t>Income and Net Worth Status</w:t>
            </w:r>
            <w:r w:rsidRPr="00C2307D">
              <w:t xml:space="preserve"> job aid</w:t>
            </w:r>
          </w:p>
          <w:p w14:paraId="0F9AEE06" w14:textId="59008766" w:rsidR="00576816" w:rsidRPr="0041489C" w:rsidRDefault="003A1BE1" w:rsidP="003A1BE1">
            <w:pPr>
              <w:pStyle w:val="VBAILTbullet1"/>
            </w:pPr>
            <w:r w:rsidRPr="00C2307D">
              <w:rPr>
                <w:b/>
              </w:rPr>
              <w:t xml:space="preserve">Initial Year </w:t>
            </w:r>
            <w:r w:rsidRPr="00C2307D">
              <w:t>job aid</w:t>
            </w:r>
          </w:p>
        </w:tc>
      </w:tr>
      <w:tr w:rsidR="0041489C" w:rsidRPr="0041489C" w14:paraId="3DFDF67B" w14:textId="77777777" w:rsidTr="00D360D5">
        <w:trPr>
          <w:cantSplit/>
        </w:trPr>
        <w:tc>
          <w:tcPr>
            <w:tcW w:w="1883" w:type="dxa"/>
          </w:tcPr>
          <w:p w14:paraId="7D55A281" w14:textId="322F1CB1" w:rsidR="00F800AE" w:rsidRPr="0041489C" w:rsidRDefault="00F800AE" w:rsidP="00414D1D">
            <w:pPr>
              <w:pStyle w:val="VBAILTBody"/>
            </w:pPr>
            <w:r w:rsidRPr="0041489C">
              <w:lastRenderedPageBreak/>
              <w:t>Technical Competencies:</w:t>
            </w:r>
          </w:p>
        </w:tc>
        <w:tc>
          <w:tcPr>
            <w:tcW w:w="7477" w:type="dxa"/>
          </w:tcPr>
          <w:p w14:paraId="058EDFE9" w14:textId="77777777" w:rsidR="004828FA" w:rsidRPr="0041489C" w:rsidRDefault="004828FA" w:rsidP="004828FA">
            <w:pPr>
              <w:pStyle w:val="VBAILTbullet1"/>
            </w:pPr>
            <w:r w:rsidRPr="0041489C">
              <w:t>Income Counting and Net Worth</w:t>
            </w:r>
          </w:p>
          <w:p w14:paraId="59481943" w14:textId="63CC70EF" w:rsidR="00F800AE" w:rsidRPr="0041489C" w:rsidRDefault="004828FA" w:rsidP="00576816">
            <w:pPr>
              <w:pStyle w:val="VBAILTbullet1"/>
            </w:pPr>
            <w:r w:rsidRPr="0041489C">
              <w:t>Program Benefits and Eligibility (PMC VSR)</w:t>
            </w:r>
          </w:p>
        </w:tc>
      </w:tr>
      <w:tr w:rsidR="0041489C" w:rsidRPr="0041489C" w14:paraId="3E84E4EF" w14:textId="77777777" w:rsidTr="00D360D5">
        <w:trPr>
          <w:cantSplit/>
        </w:trPr>
        <w:tc>
          <w:tcPr>
            <w:tcW w:w="1883" w:type="dxa"/>
          </w:tcPr>
          <w:p w14:paraId="2BBF4852" w14:textId="77777777" w:rsidR="002D1DCE" w:rsidRPr="0041489C" w:rsidRDefault="001262F7" w:rsidP="001262F7">
            <w:pPr>
              <w:pStyle w:val="VBAILTBody"/>
            </w:pPr>
            <w:r w:rsidRPr="0041489C">
              <w:t>Lesson Objectives:</w:t>
            </w:r>
          </w:p>
        </w:tc>
        <w:tc>
          <w:tcPr>
            <w:tcW w:w="7477" w:type="dxa"/>
          </w:tcPr>
          <w:p w14:paraId="73EB5E53" w14:textId="78F3F444" w:rsidR="00A108D7" w:rsidRPr="0041489C" w:rsidRDefault="00A108D7" w:rsidP="00611DCC">
            <w:pPr>
              <w:pStyle w:val="VBAILTBody"/>
              <w:numPr>
                <w:ilvl w:val="0"/>
                <w:numId w:val="3"/>
              </w:numPr>
            </w:pPr>
            <w:r w:rsidRPr="0041489C">
              <w:t>Select qualifying expenses</w:t>
            </w:r>
            <w:r w:rsidR="00065D5B" w:rsidRPr="0041489C">
              <w:t xml:space="preserve"> for calculating income</w:t>
            </w:r>
            <w:r w:rsidR="000E3D59" w:rsidRPr="0041489C">
              <w:t>.</w:t>
            </w:r>
          </w:p>
          <w:p w14:paraId="3A539698" w14:textId="5C9B13AA" w:rsidR="00A108D7" w:rsidRPr="0041489C" w:rsidRDefault="00A108D7" w:rsidP="00ED1B4F">
            <w:pPr>
              <w:pStyle w:val="VBAILTbullet1"/>
            </w:pPr>
            <w:r w:rsidRPr="0041489C">
              <w:t>Describe the rules for allowing medical expenses as a deduction</w:t>
            </w:r>
            <w:r w:rsidR="00065D5B" w:rsidRPr="0041489C">
              <w:t xml:space="preserve"> when calculating income</w:t>
            </w:r>
            <w:r w:rsidRPr="0041489C">
              <w:t>.</w:t>
            </w:r>
          </w:p>
          <w:p w14:paraId="6D6041E5" w14:textId="74516E93" w:rsidR="00A108D7" w:rsidRPr="0041489C" w:rsidRDefault="00A108D7" w:rsidP="00ED1B4F">
            <w:pPr>
              <w:pStyle w:val="VBAILTbullet1"/>
            </w:pPr>
            <w:r w:rsidRPr="0041489C">
              <w:t>Describe the rules for allowing final expenses as a deduction</w:t>
            </w:r>
            <w:r w:rsidR="00065D5B" w:rsidRPr="0041489C">
              <w:t xml:space="preserve"> when calculating income</w:t>
            </w:r>
            <w:r w:rsidRPr="0041489C">
              <w:t>.</w:t>
            </w:r>
          </w:p>
          <w:p w14:paraId="18E42E21" w14:textId="120C6D1A" w:rsidR="00A108D7" w:rsidRPr="0041489C" w:rsidRDefault="00A108D7" w:rsidP="00ED1B4F">
            <w:pPr>
              <w:pStyle w:val="VBAILTbullet1"/>
            </w:pPr>
            <w:r w:rsidRPr="0041489C">
              <w:t>Describe the rules for allowing education expenses as a deduction</w:t>
            </w:r>
            <w:r w:rsidR="00065D5B" w:rsidRPr="0041489C">
              <w:t xml:space="preserve"> when calculating income</w:t>
            </w:r>
            <w:r w:rsidRPr="0041489C">
              <w:t>.</w:t>
            </w:r>
          </w:p>
          <w:p w14:paraId="71A25EBC" w14:textId="6DACB2E5" w:rsidR="00A108D7" w:rsidRPr="0041489C" w:rsidRDefault="00A108D7" w:rsidP="00ED1B4F">
            <w:pPr>
              <w:pStyle w:val="VBAILTbullet1"/>
            </w:pPr>
            <w:r w:rsidRPr="0041489C">
              <w:t>Determine if claimed expenses are acceptable</w:t>
            </w:r>
            <w:r w:rsidR="00065D5B" w:rsidRPr="0041489C">
              <w:t xml:space="preserve"> when calculating income</w:t>
            </w:r>
            <w:r w:rsidRPr="0041489C">
              <w:t>.</w:t>
            </w:r>
          </w:p>
          <w:p w14:paraId="75970AC4" w14:textId="337F9FBB" w:rsidR="001262F7" w:rsidRPr="0041489C" w:rsidRDefault="00A108D7" w:rsidP="00ED1B4F">
            <w:pPr>
              <w:pStyle w:val="VBAILTbullet1"/>
            </w:pPr>
            <w:r w:rsidRPr="0041489C">
              <w:t>Determine whether to develop for claimed expenses</w:t>
            </w:r>
            <w:r w:rsidR="00065D5B" w:rsidRPr="0041489C">
              <w:t xml:space="preserve"> when calculating income</w:t>
            </w:r>
            <w:r w:rsidRPr="0041489C">
              <w:t>.</w:t>
            </w:r>
          </w:p>
        </w:tc>
      </w:tr>
      <w:tr w:rsidR="0041489C" w:rsidRPr="0041489C" w14:paraId="7C07EC96" w14:textId="77777777" w:rsidTr="00AF09C1">
        <w:tc>
          <w:tcPr>
            <w:tcW w:w="1883" w:type="dxa"/>
          </w:tcPr>
          <w:p w14:paraId="0B4F75AD" w14:textId="278E996E" w:rsidR="00267BA2" w:rsidRPr="0041489C" w:rsidRDefault="00267BA2" w:rsidP="001262F7">
            <w:pPr>
              <w:pStyle w:val="VBAILTBody"/>
            </w:pPr>
            <w:r w:rsidRPr="0041489C">
              <w:t>What You Need:</w:t>
            </w:r>
          </w:p>
        </w:tc>
        <w:tc>
          <w:tcPr>
            <w:tcW w:w="7477" w:type="dxa"/>
          </w:tcPr>
          <w:p w14:paraId="0B64D713" w14:textId="77777777" w:rsidR="003A1BE1" w:rsidRPr="00BF10BD" w:rsidRDefault="003A1BE1" w:rsidP="003A1BE1">
            <w:pPr>
              <w:pStyle w:val="VBAILTbullet1"/>
            </w:pPr>
            <w:r w:rsidRPr="00BF10BD">
              <w:t>Income and Net Worth Determination EPSS</w:t>
            </w:r>
          </w:p>
          <w:p w14:paraId="369BB95D" w14:textId="77777777" w:rsidR="003A1BE1" w:rsidRPr="00BF10BD" w:rsidRDefault="003A1BE1" w:rsidP="003A1BE1">
            <w:pPr>
              <w:pStyle w:val="VBAILTbullet1"/>
            </w:pPr>
            <w:r w:rsidRPr="00BF10BD">
              <w:t>Whiteboard or flip chart</w:t>
            </w:r>
          </w:p>
          <w:p w14:paraId="0F22E6E0" w14:textId="77777777" w:rsidR="003A1BE1" w:rsidRPr="00BF10BD" w:rsidRDefault="003A1BE1" w:rsidP="003A1BE1">
            <w:pPr>
              <w:pStyle w:val="VBAILTbullet1"/>
            </w:pPr>
            <w:r>
              <w:t xml:space="preserve">Access to the following job aids from </w:t>
            </w:r>
            <w:r w:rsidRPr="00BF10BD">
              <w:t xml:space="preserve">VSR Assistant: </w:t>
            </w:r>
          </w:p>
          <w:p w14:paraId="48FFDACB" w14:textId="77777777" w:rsidR="003A1BE1" w:rsidRPr="00BF10BD" w:rsidRDefault="003A1BE1" w:rsidP="003A1BE1">
            <w:pPr>
              <w:pStyle w:val="VBAILTBullet2"/>
            </w:pPr>
            <w:r w:rsidRPr="00BF10BD">
              <w:rPr>
                <w:b/>
              </w:rPr>
              <w:t>Care Expense Guide</w:t>
            </w:r>
            <w:r w:rsidRPr="00BF10BD">
              <w:t xml:space="preserve"> job aid</w:t>
            </w:r>
          </w:p>
          <w:p w14:paraId="1A797929" w14:textId="77777777" w:rsidR="003A1BE1" w:rsidRPr="00BF10BD" w:rsidRDefault="003A1BE1" w:rsidP="003A1BE1">
            <w:pPr>
              <w:pStyle w:val="VBAILTBullet2"/>
            </w:pPr>
            <w:r w:rsidRPr="00BF10BD">
              <w:rPr>
                <w:b/>
              </w:rPr>
              <w:t>Claim Types</w:t>
            </w:r>
            <w:r w:rsidRPr="00BF10BD">
              <w:t xml:space="preserve"> job aid</w:t>
            </w:r>
          </w:p>
          <w:p w14:paraId="4129E473" w14:textId="2603C621" w:rsidR="003A1BE1" w:rsidRDefault="003A1BE1" w:rsidP="003A1BE1">
            <w:pPr>
              <w:pStyle w:val="VBAILTBullet2"/>
            </w:pPr>
            <w:r w:rsidRPr="00BF10BD">
              <w:rPr>
                <w:b/>
              </w:rPr>
              <w:t>Income and Net Worth Status</w:t>
            </w:r>
            <w:r w:rsidRPr="00BF10BD">
              <w:t xml:space="preserve"> job aid</w:t>
            </w:r>
          </w:p>
          <w:p w14:paraId="0996DF79" w14:textId="7F2DDF59" w:rsidR="00E66515" w:rsidRPr="0041489C" w:rsidRDefault="003A1BE1" w:rsidP="00034970">
            <w:pPr>
              <w:pStyle w:val="VBAILTBullet2"/>
            </w:pPr>
            <w:r w:rsidRPr="00034970">
              <w:rPr>
                <w:b/>
                <w:bCs/>
              </w:rPr>
              <w:t>Initial Year</w:t>
            </w:r>
            <w:r>
              <w:t xml:space="preserve"> </w:t>
            </w:r>
            <w:r w:rsidRPr="00C2307D">
              <w:t>job aid</w:t>
            </w:r>
          </w:p>
        </w:tc>
      </w:tr>
    </w:tbl>
    <w:p w14:paraId="22C54F4D" w14:textId="6AF0EE83" w:rsidR="00C214A9" w:rsidRDefault="002677A1" w:rsidP="001262F7">
      <w:pPr>
        <w:pStyle w:val="VBAILTBody"/>
      </w:pPr>
      <w:r w:rsidRPr="0041489C">
        <w:t xml:space="preserve"> </w:t>
      </w:r>
    </w:p>
    <w:p w14:paraId="37FB0FA0" w14:textId="2E0AF83F" w:rsidR="003A1BE1" w:rsidRDefault="003A1BE1" w:rsidP="001262F7">
      <w:pPr>
        <w:pStyle w:val="VBAILTBody"/>
      </w:pPr>
    </w:p>
    <w:p w14:paraId="75E255AF" w14:textId="06FE21C0" w:rsidR="003A1BE1" w:rsidRDefault="003A1BE1" w:rsidP="001262F7">
      <w:pPr>
        <w:pStyle w:val="VBAILTBody"/>
      </w:pPr>
    </w:p>
    <w:p w14:paraId="5E6169F0" w14:textId="77777777" w:rsidR="003A1BE1" w:rsidRPr="0041489C" w:rsidRDefault="003A1BE1" w:rsidP="001262F7">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41489C" w:rsidRPr="0041489C" w14:paraId="77451685" w14:textId="77777777" w:rsidTr="00A01F06">
        <w:trPr>
          <w:cantSplit/>
          <w:tblHeader/>
          <w:jc w:val="center"/>
        </w:trPr>
        <w:tc>
          <w:tcPr>
            <w:tcW w:w="4104" w:type="dxa"/>
            <w:tcBorders>
              <w:right w:val="dashSmallGap" w:sz="4" w:space="0" w:color="auto"/>
            </w:tcBorders>
            <w:shd w:val="clear" w:color="auto" w:fill="BDD6EE" w:themeFill="accent1" w:themeFillTint="66"/>
          </w:tcPr>
          <w:p w14:paraId="068008E1" w14:textId="77777777" w:rsidR="009F361E" w:rsidRPr="0041489C" w:rsidRDefault="009F361E" w:rsidP="006E54AE">
            <w:pPr>
              <w:pStyle w:val="VBAILTTableHeading1"/>
            </w:pPr>
            <w:r w:rsidRPr="0041489C">
              <w:lastRenderedPageBreak/>
              <w:t>PowerPoint Slides</w:t>
            </w:r>
          </w:p>
        </w:tc>
        <w:tc>
          <w:tcPr>
            <w:tcW w:w="5976" w:type="dxa"/>
            <w:tcBorders>
              <w:left w:val="dashSmallGap" w:sz="4" w:space="0" w:color="auto"/>
            </w:tcBorders>
            <w:shd w:val="clear" w:color="auto" w:fill="BDD6EE" w:themeFill="accent1" w:themeFillTint="66"/>
          </w:tcPr>
          <w:p w14:paraId="78E15349" w14:textId="638FCA4A" w:rsidR="009F361E" w:rsidRPr="0041489C" w:rsidRDefault="00A01F06" w:rsidP="006E54AE">
            <w:pPr>
              <w:pStyle w:val="VBAILTTableHeading1"/>
            </w:pPr>
            <w:r w:rsidRPr="0041489C">
              <w:t>Notes</w:t>
            </w:r>
          </w:p>
        </w:tc>
      </w:tr>
      <w:tr w:rsidR="0041489C" w:rsidRPr="0041489C" w14:paraId="7F6D5FEB" w14:textId="77777777" w:rsidTr="00A01F06">
        <w:trPr>
          <w:cantSplit/>
          <w:jc w:val="center"/>
        </w:trPr>
        <w:tc>
          <w:tcPr>
            <w:tcW w:w="4104" w:type="dxa"/>
            <w:tcBorders>
              <w:right w:val="dashSmallGap" w:sz="4" w:space="0" w:color="auto"/>
            </w:tcBorders>
          </w:tcPr>
          <w:p w14:paraId="5F5C797A" w14:textId="77777777" w:rsidR="009F361E" w:rsidRDefault="003B32AA" w:rsidP="003B32AA">
            <w:pPr>
              <w:pStyle w:val="VBAILTBodyStrong"/>
            </w:pPr>
            <w:r w:rsidRPr="0041489C">
              <w:t>Select Qualifying Expenses</w:t>
            </w:r>
          </w:p>
          <w:p w14:paraId="6536D1AC" w14:textId="77777777" w:rsidR="003A1BE1" w:rsidRDefault="003A1BE1" w:rsidP="003A1BE1"/>
          <w:p w14:paraId="13B6F523" w14:textId="77777777" w:rsidR="00CF777B" w:rsidRPr="00CF777B" w:rsidRDefault="00CF777B" w:rsidP="00CF777B"/>
          <w:p w14:paraId="748DB625" w14:textId="77777777" w:rsidR="00CF777B" w:rsidRPr="00CF777B" w:rsidRDefault="00CF777B" w:rsidP="00CF777B"/>
          <w:p w14:paraId="1A771B1C" w14:textId="77777777" w:rsidR="00CF777B" w:rsidRDefault="00CF777B" w:rsidP="00CF777B"/>
          <w:p w14:paraId="307DE806" w14:textId="7B919110" w:rsidR="00CF777B" w:rsidRPr="00CF777B" w:rsidRDefault="00CF777B" w:rsidP="00CF777B"/>
        </w:tc>
        <w:tc>
          <w:tcPr>
            <w:tcW w:w="5976" w:type="dxa"/>
            <w:tcBorders>
              <w:left w:val="dashSmallGap" w:sz="4" w:space="0" w:color="auto"/>
            </w:tcBorders>
          </w:tcPr>
          <w:p w14:paraId="180E80BC" w14:textId="65A18442" w:rsidR="009F361E" w:rsidRPr="0041489C" w:rsidRDefault="009F361E" w:rsidP="00A324C5">
            <w:pPr>
              <w:pStyle w:val="VBAILTBody"/>
            </w:pPr>
          </w:p>
        </w:tc>
      </w:tr>
      <w:tr w:rsidR="0041489C" w:rsidRPr="0041489C" w14:paraId="7050A1C8" w14:textId="77777777" w:rsidTr="00A01F06">
        <w:trPr>
          <w:cantSplit/>
          <w:jc w:val="center"/>
        </w:trPr>
        <w:tc>
          <w:tcPr>
            <w:tcW w:w="4104" w:type="dxa"/>
            <w:tcBorders>
              <w:right w:val="dashSmallGap" w:sz="4" w:space="0" w:color="auto"/>
            </w:tcBorders>
          </w:tcPr>
          <w:p w14:paraId="68780C65" w14:textId="77777777" w:rsidR="00396526" w:rsidRPr="0041489C" w:rsidRDefault="00396526" w:rsidP="006E54AE">
            <w:pPr>
              <w:pStyle w:val="VBAILTBody"/>
              <w:rPr>
                <w:b/>
              </w:rPr>
            </w:pPr>
            <w:r w:rsidRPr="0041489C">
              <w:rPr>
                <w:b/>
              </w:rPr>
              <w:t>Objectives</w:t>
            </w:r>
          </w:p>
          <w:p w14:paraId="503270DD" w14:textId="2AB0A4F9" w:rsidR="00A9561A" w:rsidRPr="0041489C" w:rsidRDefault="00A9561A" w:rsidP="00611DCC">
            <w:pPr>
              <w:pStyle w:val="VBAILTBody"/>
              <w:numPr>
                <w:ilvl w:val="0"/>
                <w:numId w:val="3"/>
              </w:numPr>
            </w:pPr>
            <w:r w:rsidRPr="0041489C">
              <w:t>Select qualifying expenses for calculating income</w:t>
            </w:r>
            <w:r w:rsidR="00AF2D32" w:rsidRPr="0041489C">
              <w:t>.</w:t>
            </w:r>
          </w:p>
          <w:p w14:paraId="3A20B982" w14:textId="77777777" w:rsidR="00A9561A" w:rsidRPr="0041489C" w:rsidRDefault="00A9561A" w:rsidP="00582CC1">
            <w:pPr>
              <w:pStyle w:val="VBAILTbullet1"/>
            </w:pPr>
            <w:r w:rsidRPr="0041489C">
              <w:t>Describe the rules for allowing medical expenses as a deduction when calculating income.</w:t>
            </w:r>
          </w:p>
          <w:p w14:paraId="1479874C" w14:textId="77777777" w:rsidR="00A9561A" w:rsidRPr="0041489C" w:rsidRDefault="00A9561A" w:rsidP="00582CC1">
            <w:pPr>
              <w:pStyle w:val="VBAILTbullet1"/>
            </w:pPr>
            <w:r w:rsidRPr="0041489C">
              <w:t>Describe the rules for allowing final expenses as a deduction when calculating income.</w:t>
            </w:r>
          </w:p>
          <w:p w14:paraId="154824A3" w14:textId="77777777" w:rsidR="00A9561A" w:rsidRPr="0041489C" w:rsidRDefault="00A9561A" w:rsidP="00582CC1">
            <w:pPr>
              <w:pStyle w:val="VBAILTbullet1"/>
            </w:pPr>
            <w:r w:rsidRPr="0041489C">
              <w:t>Describe the rules for allowing education expenses as a deduction when calculating income.</w:t>
            </w:r>
          </w:p>
          <w:p w14:paraId="0BB23345" w14:textId="77777777" w:rsidR="00A9561A" w:rsidRPr="0041489C" w:rsidRDefault="00A9561A" w:rsidP="00582CC1">
            <w:pPr>
              <w:pStyle w:val="VBAILTbullet1"/>
            </w:pPr>
            <w:r w:rsidRPr="0041489C">
              <w:t>Determine if claimed expenses are acceptable when calculating income.</w:t>
            </w:r>
          </w:p>
          <w:p w14:paraId="4488A82F" w14:textId="4E659E6E" w:rsidR="00ED314A" w:rsidRPr="0041489C" w:rsidRDefault="00A9561A" w:rsidP="00582CC1">
            <w:pPr>
              <w:pStyle w:val="VBAILTbullet1"/>
            </w:pPr>
            <w:r w:rsidRPr="0041489C">
              <w:t>Determine whether to develop for claimed expenses when calculating income.</w:t>
            </w:r>
          </w:p>
        </w:tc>
        <w:tc>
          <w:tcPr>
            <w:tcW w:w="5976" w:type="dxa"/>
            <w:tcBorders>
              <w:left w:val="dashSmallGap" w:sz="4" w:space="0" w:color="auto"/>
            </w:tcBorders>
          </w:tcPr>
          <w:p w14:paraId="49A8EB1D" w14:textId="674E79B6" w:rsidR="00ED314A" w:rsidRPr="0041489C" w:rsidRDefault="00ED314A" w:rsidP="00134BB7">
            <w:pPr>
              <w:pStyle w:val="VBAILTBody"/>
              <w:rPr>
                <w:rStyle w:val="Strong"/>
                <w:b w:val="0"/>
                <w:bCs w:val="0"/>
              </w:rPr>
            </w:pPr>
          </w:p>
        </w:tc>
      </w:tr>
      <w:tr w:rsidR="00CF777B" w:rsidRPr="0041489C" w14:paraId="25843A4C" w14:textId="77777777" w:rsidTr="00A01F06">
        <w:trPr>
          <w:cantSplit/>
          <w:jc w:val="center"/>
        </w:trPr>
        <w:tc>
          <w:tcPr>
            <w:tcW w:w="4104" w:type="dxa"/>
            <w:tcBorders>
              <w:right w:val="dashSmallGap" w:sz="4" w:space="0" w:color="auto"/>
            </w:tcBorders>
          </w:tcPr>
          <w:p w14:paraId="58D54BB2" w14:textId="77777777" w:rsidR="00CF777B" w:rsidRPr="0041489C" w:rsidRDefault="00CF777B" w:rsidP="00CF777B">
            <w:pPr>
              <w:pStyle w:val="VBAILTBody"/>
              <w:rPr>
                <w:b/>
              </w:rPr>
            </w:pPr>
            <w:r w:rsidRPr="0041489C">
              <w:rPr>
                <w:b/>
              </w:rPr>
              <w:lastRenderedPageBreak/>
              <w:t>Why It Matters!</w:t>
            </w:r>
          </w:p>
          <w:p w14:paraId="09C5CB0D" w14:textId="77777777" w:rsidR="00CF777B" w:rsidRPr="0041489C" w:rsidRDefault="00CF777B" w:rsidP="00CF777B">
            <w:pPr>
              <w:pStyle w:val="VBAILTbullet1"/>
            </w:pPr>
            <w:r w:rsidRPr="0041489C">
              <w:t xml:space="preserve">Correct calculation of claimant income affects amount of benefit for claimant. </w:t>
            </w:r>
          </w:p>
          <w:p w14:paraId="311D64C0" w14:textId="77777777" w:rsidR="00CF777B" w:rsidRPr="00CF777B" w:rsidRDefault="00CF777B" w:rsidP="00CF777B">
            <w:pPr>
              <w:pStyle w:val="VBAILTbullet1"/>
              <w:rPr>
                <w:b/>
              </w:rPr>
            </w:pPr>
            <w:r w:rsidRPr="0041489C">
              <w:t xml:space="preserve">Qualifying expenses reduce claimant income; therefore, qualifying expenses may result in an increase in benefits. </w:t>
            </w:r>
          </w:p>
          <w:p w14:paraId="3BA76C39" w14:textId="2986BD6A" w:rsidR="00CF777B" w:rsidRPr="0041489C" w:rsidRDefault="00CF777B" w:rsidP="00CF777B">
            <w:pPr>
              <w:pStyle w:val="VBAILTbullet1"/>
              <w:rPr>
                <w:b/>
              </w:rPr>
            </w:pPr>
            <w:r w:rsidRPr="0041489C">
              <w:t xml:space="preserve">The PMC VSR selects expenses that qualify for deduction from income. </w:t>
            </w:r>
          </w:p>
        </w:tc>
        <w:tc>
          <w:tcPr>
            <w:tcW w:w="5976" w:type="dxa"/>
            <w:tcBorders>
              <w:left w:val="dashSmallGap" w:sz="4" w:space="0" w:color="auto"/>
            </w:tcBorders>
          </w:tcPr>
          <w:p w14:paraId="20EFAB1D" w14:textId="77777777" w:rsidR="00CF777B" w:rsidRPr="0041489C" w:rsidRDefault="00CF777B" w:rsidP="00CF777B">
            <w:pPr>
              <w:pStyle w:val="VBAILTBody"/>
              <w:rPr>
                <w:rStyle w:val="Strong"/>
                <w:b w:val="0"/>
                <w:bCs w:val="0"/>
              </w:rPr>
            </w:pPr>
          </w:p>
        </w:tc>
      </w:tr>
      <w:tr w:rsidR="00CF777B" w:rsidRPr="0041489C" w14:paraId="2E5B0279" w14:textId="77777777" w:rsidTr="00A01F06">
        <w:trPr>
          <w:cantSplit/>
          <w:jc w:val="center"/>
        </w:trPr>
        <w:tc>
          <w:tcPr>
            <w:tcW w:w="4104" w:type="dxa"/>
            <w:tcBorders>
              <w:right w:val="dashSmallGap" w:sz="4" w:space="0" w:color="auto"/>
            </w:tcBorders>
          </w:tcPr>
          <w:p w14:paraId="38B78A74" w14:textId="280B5950" w:rsidR="00CF777B" w:rsidRPr="0041489C" w:rsidRDefault="00CF777B" w:rsidP="00CF777B">
            <w:pPr>
              <w:pStyle w:val="VBAILTBody"/>
              <w:rPr>
                <w:b/>
              </w:rPr>
            </w:pPr>
            <w:r w:rsidRPr="0041489C">
              <w:rPr>
                <w:b/>
              </w:rPr>
              <w:t>Applicable Benefits</w:t>
            </w:r>
          </w:p>
          <w:p w14:paraId="1A9382BD" w14:textId="77777777" w:rsidR="00CF777B" w:rsidRPr="0041489C" w:rsidRDefault="00CF777B" w:rsidP="00CF777B">
            <w:pPr>
              <w:pStyle w:val="VBAILTbullet1"/>
            </w:pPr>
            <w:r w:rsidRPr="0041489C">
              <w:t>Current Law Pension</w:t>
            </w:r>
          </w:p>
          <w:p w14:paraId="566E24EF" w14:textId="77777777" w:rsidR="00CF777B" w:rsidRPr="0041489C" w:rsidRDefault="00CF777B" w:rsidP="00CF777B">
            <w:pPr>
              <w:pStyle w:val="VBAILTBullet2"/>
            </w:pPr>
            <w:r w:rsidRPr="0041489C">
              <w:t>Veterans Pension</w:t>
            </w:r>
          </w:p>
          <w:p w14:paraId="4068A7D5" w14:textId="630322EF" w:rsidR="00CF777B" w:rsidRPr="0041489C" w:rsidRDefault="00CF777B" w:rsidP="00CF777B">
            <w:pPr>
              <w:pStyle w:val="VBAILTBullet2"/>
            </w:pPr>
            <w:r w:rsidRPr="0041489C">
              <w:t>Survivors Pension</w:t>
            </w:r>
          </w:p>
          <w:p w14:paraId="0A6005A4" w14:textId="6521A384" w:rsidR="00CF777B" w:rsidRPr="0041489C" w:rsidRDefault="00CF777B" w:rsidP="00CF777B">
            <w:pPr>
              <w:pStyle w:val="VBAILTbullet1"/>
            </w:pPr>
            <w:r w:rsidRPr="0041489C">
              <w:t xml:space="preserve">Parents’ DIC </w:t>
            </w:r>
          </w:p>
          <w:p w14:paraId="31E47336" w14:textId="249E0D5E" w:rsidR="00CF777B" w:rsidRPr="0041489C" w:rsidRDefault="00CF777B" w:rsidP="00CF777B">
            <w:pPr>
              <w:pStyle w:val="VBAILTbullet1"/>
            </w:pPr>
            <w:r w:rsidRPr="0041489C">
              <w:t>Section 306 Pension</w:t>
            </w:r>
          </w:p>
        </w:tc>
        <w:tc>
          <w:tcPr>
            <w:tcW w:w="5976" w:type="dxa"/>
            <w:tcBorders>
              <w:left w:val="dashSmallGap" w:sz="4" w:space="0" w:color="auto"/>
            </w:tcBorders>
          </w:tcPr>
          <w:p w14:paraId="2424AF04" w14:textId="3CA6F31F" w:rsidR="00CF777B" w:rsidRPr="0041489C" w:rsidRDefault="00CF777B" w:rsidP="00CF777B">
            <w:pPr>
              <w:pStyle w:val="VBAILTBody"/>
            </w:pPr>
          </w:p>
        </w:tc>
      </w:tr>
      <w:tr w:rsidR="00CF777B" w:rsidRPr="0041489C" w14:paraId="14BD6E8E" w14:textId="77777777" w:rsidTr="0006299E">
        <w:trPr>
          <w:cantSplit/>
          <w:trHeight w:val="2447"/>
          <w:jc w:val="center"/>
        </w:trPr>
        <w:tc>
          <w:tcPr>
            <w:tcW w:w="4104" w:type="dxa"/>
            <w:tcBorders>
              <w:right w:val="dashSmallGap" w:sz="4" w:space="0" w:color="auto"/>
            </w:tcBorders>
          </w:tcPr>
          <w:p w14:paraId="0962FC2F" w14:textId="2C0BB1B8" w:rsidR="00CF777B" w:rsidRPr="0041489C" w:rsidRDefault="00CF777B" w:rsidP="00CF777B">
            <w:pPr>
              <w:pStyle w:val="VBAILTBody"/>
              <w:rPr>
                <w:b/>
              </w:rPr>
            </w:pPr>
            <w:r w:rsidRPr="0041489C">
              <w:rPr>
                <w:b/>
              </w:rPr>
              <w:t xml:space="preserve">When Expenses </w:t>
            </w:r>
            <w:r>
              <w:rPr>
                <w:b/>
              </w:rPr>
              <w:t>are</w:t>
            </w:r>
            <w:r w:rsidRPr="0041489C">
              <w:rPr>
                <w:b/>
              </w:rPr>
              <w:t xml:space="preserve"> Considered</w:t>
            </w:r>
          </w:p>
          <w:p w14:paraId="162872AF" w14:textId="77777777" w:rsidR="00CF777B" w:rsidRPr="0041489C" w:rsidRDefault="00CF777B" w:rsidP="00CF777B">
            <w:pPr>
              <w:pStyle w:val="VBAILTbullet1"/>
            </w:pPr>
            <w:r w:rsidRPr="0041489C">
              <w:t xml:space="preserve">Original </w:t>
            </w:r>
          </w:p>
          <w:p w14:paraId="694F936D" w14:textId="77777777" w:rsidR="00CF777B" w:rsidRPr="0041489C" w:rsidRDefault="00CF777B" w:rsidP="00CF777B">
            <w:pPr>
              <w:pStyle w:val="VBAILTbullet1"/>
            </w:pPr>
            <w:r w:rsidRPr="0041489C">
              <w:t>Maintenance (Award Adjustments)</w:t>
            </w:r>
          </w:p>
          <w:p w14:paraId="460A72C2" w14:textId="7F7CADE6" w:rsidR="00CF777B" w:rsidRPr="0041489C" w:rsidRDefault="00CF777B" w:rsidP="00CF777B">
            <w:pPr>
              <w:pStyle w:val="VBAILTbullet1"/>
            </w:pPr>
            <w:r>
              <w:t>New/Supplemental</w:t>
            </w:r>
          </w:p>
        </w:tc>
        <w:tc>
          <w:tcPr>
            <w:tcW w:w="5976" w:type="dxa"/>
            <w:tcBorders>
              <w:left w:val="dashSmallGap" w:sz="4" w:space="0" w:color="auto"/>
            </w:tcBorders>
          </w:tcPr>
          <w:p w14:paraId="22EDB820" w14:textId="77CF8D25" w:rsidR="00CF777B" w:rsidRPr="0041489C" w:rsidRDefault="00CF777B" w:rsidP="00CF777B">
            <w:pPr>
              <w:pStyle w:val="VBAILTBody"/>
              <w:rPr>
                <w:rStyle w:val="Strong"/>
                <w:b w:val="0"/>
              </w:rPr>
            </w:pPr>
          </w:p>
        </w:tc>
      </w:tr>
      <w:tr w:rsidR="00CF777B" w:rsidRPr="0041489C" w14:paraId="0EA97290" w14:textId="77777777" w:rsidTr="00A01F06">
        <w:trPr>
          <w:cantSplit/>
          <w:jc w:val="center"/>
        </w:trPr>
        <w:tc>
          <w:tcPr>
            <w:tcW w:w="4104" w:type="dxa"/>
            <w:tcBorders>
              <w:right w:val="dashSmallGap" w:sz="4" w:space="0" w:color="auto"/>
            </w:tcBorders>
          </w:tcPr>
          <w:p w14:paraId="65A85990" w14:textId="44C915BE" w:rsidR="00CF777B" w:rsidRPr="0041489C" w:rsidRDefault="00CF777B" w:rsidP="00CF777B">
            <w:pPr>
              <w:pStyle w:val="VBAILTBody"/>
              <w:rPr>
                <w:b/>
              </w:rPr>
            </w:pPr>
            <w:r>
              <w:rPr>
                <w:b/>
              </w:rPr>
              <w:t xml:space="preserve">Definition: What are </w:t>
            </w:r>
            <w:r w:rsidRPr="0041489C">
              <w:rPr>
                <w:b/>
              </w:rPr>
              <w:t>Deductible Expenses</w:t>
            </w:r>
            <w:r>
              <w:rPr>
                <w:b/>
              </w:rPr>
              <w:t>?</w:t>
            </w:r>
          </w:p>
          <w:p w14:paraId="28068FE8" w14:textId="3956087E" w:rsidR="00CF777B" w:rsidRPr="0041489C" w:rsidRDefault="00CF777B" w:rsidP="00CF777B">
            <w:pPr>
              <w:pStyle w:val="VBAILTbullet1"/>
            </w:pPr>
            <w:r w:rsidRPr="0041489C">
              <w:t>Medical expenses greater than 5% of MAPR</w:t>
            </w:r>
          </w:p>
          <w:p w14:paraId="3DC86C1E" w14:textId="513A947E" w:rsidR="00CF777B" w:rsidRPr="0041489C" w:rsidRDefault="00CF777B" w:rsidP="00CF777B">
            <w:pPr>
              <w:pStyle w:val="VBAILTbullet1"/>
            </w:pPr>
            <w:r w:rsidRPr="0041489C">
              <w:t xml:space="preserve">Final expenses </w:t>
            </w:r>
          </w:p>
          <w:p w14:paraId="030785B6" w14:textId="54904665" w:rsidR="00CF777B" w:rsidRPr="0041489C" w:rsidRDefault="00CF777B" w:rsidP="00CF777B">
            <w:pPr>
              <w:pStyle w:val="VBAILTbullet1"/>
            </w:pPr>
            <w:r w:rsidRPr="0041489C">
              <w:t xml:space="preserve">Education expenses </w:t>
            </w:r>
          </w:p>
        </w:tc>
        <w:tc>
          <w:tcPr>
            <w:tcW w:w="5976" w:type="dxa"/>
            <w:tcBorders>
              <w:left w:val="dashSmallGap" w:sz="4" w:space="0" w:color="auto"/>
            </w:tcBorders>
          </w:tcPr>
          <w:p w14:paraId="52A13CE1" w14:textId="1F288526" w:rsidR="00CF777B" w:rsidRPr="0041489C" w:rsidRDefault="00CF777B" w:rsidP="00CF777B">
            <w:pPr>
              <w:pStyle w:val="VBAILTBody"/>
              <w:rPr>
                <w:rStyle w:val="Strong"/>
                <w:b w:val="0"/>
                <w:bCs w:val="0"/>
              </w:rPr>
            </w:pPr>
          </w:p>
        </w:tc>
      </w:tr>
      <w:tr w:rsidR="00CF777B" w:rsidRPr="0041489C" w14:paraId="5154A2CC" w14:textId="77777777" w:rsidTr="00A01F06">
        <w:trPr>
          <w:cantSplit/>
          <w:jc w:val="center"/>
        </w:trPr>
        <w:tc>
          <w:tcPr>
            <w:tcW w:w="4104" w:type="dxa"/>
            <w:tcBorders>
              <w:right w:val="dashSmallGap" w:sz="4" w:space="0" w:color="auto"/>
            </w:tcBorders>
          </w:tcPr>
          <w:p w14:paraId="69E999B1" w14:textId="77777777" w:rsidR="00CF777B" w:rsidRPr="00BF10BD" w:rsidRDefault="00CF777B" w:rsidP="00CF777B">
            <w:pPr>
              <w:pStyle w:val="VBAILTBody"/>
              <w:rPr>
                <w:b/>
              </w:rPr>
            </w:pPr>
            <w:r w:rsidRPr="00BF10BD">
              <w:rPr>
                <w:b/>
              </w:rPr>
              <w:lastRenderedPageBreak/>
              <w:t>Rules for Deducting Medical Expenses</w:t>
            </w:r>
          </w:p>
          <w:p w14:paraId="41BA11B0" w14:textId="77777777" w:rsidR="00CF777B" w:rsidRPr="00BF10BD" w:rsidRDefault="00CF777B" w:rsidP="00611DCC">
            <w:pPr>
              <w:pStyle w:val="VBAILTBody"/>
              <w:numPr>
                <w:ilvl w:val="0"/>
                <w:numId w:val="3"/>
              </w:numPr>
            </w:pPr>
            <w:r>
              <w:t>Expenses paid may be used to reduce the claimant’s countable income.  All the conditions below must exist:</w:t>
            </w:r>
          </w:p>
          <w:p w14:paraId="1A45667B" w14:textId="77777777" w:rsidR="00CF777B" w:rsidRPr="00BF10BD" w:rsidRDefault="00CF777B" w:rsidP="00CF777B">
            <w:pPr>
              <w:pStyle w:val="VBAILTbullet1"/>
            </w:pPr>
            <w:r w:rsidRPr="00BF10BD">
              <w:t>Expenses actually paid by claimant or claimant</w:t>
            </w:r>
            <w:r>
              <w:t>’</w:t>
            </w:r>
            <w:r w:rsidRPr="00BF10BD">
              <w:t xml:space="preserve">s </w:t>
            </w:r>
            <w:r>
              <w:t>dependent(s) for VA purposes</w:t>
            </w:r>
          </w:p>
          <w:p w14:paraId="7379327B" w14:textId="77777777" w:rsidR="00CF777B" w:rsidRPr="00BF10BD" w:rsidRDefault="00CF777B" w:rsidP="00CF777B">
            <w:pPr>
              <w:pStyle w:val="VBAILTbullet1"/>
            </w:pPr>
            <w:r w:rsidRPr="00BF10BD">
              <w:t>Expenses are unreimbursed</w:t>
            </w:r>
          </w:p>
          <w:p w14:paraId="0B928290" w14:textId="77777777" w:rsidR="00CF777B" w:rsidRPr="00BF10BD" w:rsidRDefault="00CF777B" w:rsidP="00CF777B">
            <w:pPr>
              <w:pStyle w:val="VBAILTbullet1"/>
            </w:pPr>
            <w:r w:rsidRPr="00BF10BD">
              <w:t>Expenses for claimant or relative who is a member of household</w:t>
            </w:r>
          </w:p>
          <w:p w14:paraId="0EA774C1" w14:textId="77777777" w:rsidR="00CF777B" w:rsidRPr="00BF10BD" w:rsidRDefault="00CF777B" w:rsidP="00CF777B">
            <w:pPr>
              <w:pStyle w:val="VBAILTbullet1"/>
            </w:pPr>
            <w:r w:rsidRPr="00BF10BD">
              <w:t>Paid on or after date of pension entitlement or date of Veteran’s death (if after date of pension entitlement)</w:t>
            </w:r>
          </w:p>
          <w:p w14:paraId="5A374F26" w14:textId="4936CA8F" w:rsidR="00CF777B" w:rsidRPr="0041489C" w:rsidRDefault="00CF777B" w:rsidP="00CF777B">
            <w:pPr>
              <w:pStyle w:val="VBAILTbullet1"/>
              <w:rPr>
                <w:b/>
              </w:rPr>
            </w:pPr>
            <w:r w:rsidRPr="00BF10BD">
              <w:t xml:space="preserve">Expenses exceed </w:t>
            </w:r>
            <w:r>
              <w:t>five percent deductible (MAPR x .05)</w:t>
            </w:r>
          </w:p>
        </w:tc>
        <w:tc>
          <w:tcPr>
            <w:tcW w:w="5976" w:type="dxa"/>
            <w:tcBorders>
              <w:left w:val="dashSmallGap" w:sz="4" w:space="0" w:color="auto"/>
            </w:tcBorders>
          </w:tcPr>
          <w:p w14:paraId="177FB25C" w14:textId="77777777" w:rsidR="00CF777B" w:rsidRDefault="00CF777B" w:rsidP="00CF777B">
            <w:pPr>
              <w:pStyle w:val="VBAILTBody"/>
              <w:rPr>
                <w:rStyle w:val="Strong"/>
                <w:b w:val="0"/>
              </w:rPr>
            </w:pPr>
          </w:p>
          <w:p w14:paraId="71C22390" w14:textId="77777777" w:rsidR="00CF777B" w:rsidRDefault="00CF777B" w:rsidP="00CF777B">
            <w:pPr>
              <w:pStyle w:val="VBAILTBody"/>
              <w:rPr>
                <w:rStyle w:val="Strong"/>
                <w:b w:val="0"/>
              </w:rPr>
            </w:pPr>
          </w:p>
          <w:p w14:paraId="16E459C5" w14:textId="696C1081" w:rsidR="00CF777B" w:rsidRPr="0041489C" w:rsidRDefault="00CF777B" w:rsidP="00CF777B">
            <w:pPr>
              <w:pStyle w:val="VBAILTBody"/>
              <w:rPr>
                <w:rStyle w:val="Strong"/>
                <w:b w:val="0"/>
              </w:rPr>
            </w:pPr>
          </w:p>
        </w:tc>
      </w:tr>
      <w:tr w:rsidR="00CF777B" w:rsidRPr="0041489C" w14:paraId="227A2806" w14:textId="77777777" w:rsidTr="00A01F06">
        <w:trPr>
          <w:cantSplit/>
          <w:jc w:val="center"/>
        </w:trPr>
        <w:tc>
          <w:tcPr>
            <w:tcW w:w="4104" w:type="dxa"/>
            <w:tcBorders>
              <w:right w:val="dashSmallGap" w:sz="4" w:space="0" w:color="auto"/>
            </w:tcBorders>
          </w:tcPr>
          <w:p w14:paraId="2A1B6D86" w14:textId="77777777" w:rsidR="00CF777B" w:rsidRPr="00585376" w:rsidRDefault="00CF777B" w:rsidP="00CF777B">
            <w:pPr>
              <w:pStyle w:val="VBAILTbullet1"/>
              <w:numPr>
                <w:ilvl w:val="0"/>
                <w:numId w:val="0"/>
              </w:numPr>
              <w:ind w:left="360" w:hanging="360"/>
              <w:rPr>
                <w:b/>
                <w:bCs/>
              </w:rPr>
            </w:pPr>
            <w:r w:rsidRPr="00585376">
              <w:rPr>
                <w:b/>
                <w:bCs/>
              </w:rPr>
              <w:lastRenderedPageBreak/>
              <w:t>Prescribed Form</w:t>
            </w:r>
          </w:p>
          <w:p w14:paraId="79456FD7" w14:textId="77777777" w:rsidR="00CF777B" w:rsidRPr="00B36037" w:rsidRDefault="00CF777B" w:rsidP="00CF777B">
            <w:pPr>
              <w:pStyle w:val="VBAILTbullet1"/>
            </w:pPr>
            <w:r w:rsidRPr="00B36037">
              <w:t>A claim for a medical expense deduction that will result in increased benefit payments must be supported by a:</w:t>
            </w:r>
          </w:p>
          <w:p w14:paraId="77E073DA" w14:textId="77777777" w:rsidR="00CF777B" w:rsidRPr="00B36037" w:rsidRDefault="00CF777B" w:rsidP="00CF777B">
            <w:pPr>
              <w:pStyle w:val="VBAILTbullet1"/>
            </w:pPr>
            <w:r w:rsidRPr="00B36037">
              <w:t xml:space="preserve">Fully completed VA Form 21P-8416, Medical Expense Report, or </w:t>
            </w:r>
          </w:p>
          <w:p w14:paraId="78C96FFF" w14:textId="77777777" w:rsidR="00CF777B" w:rsidRPr="00B36037" w:rsidRDefault="00CF777B" w:rsidP="00CF777B">
            <w:pPr>
              <w:pStyle w:val="VBAILTbullet1"/>
            </w:pPr>
            <w:r w:rsidRPr="00B36037">
              <w:t>Another standard form that requests information consistent with what is requested on the                        VA Form 21P-8416 such as:</w:t>
            </w:r>
          </w:p>
          <w:p w14:paraId="62DA88F0" w14:textId="77777777" w:rsidR="00CF777B" w:rsidRPr="00B36037" w:rsidRDefault="00CF777B" w:rsidP="00CF777B">
            <w:pPr>
              <w:pStyle w:val="VBAILTBullet2"/>
            </w:pPr>
            <w:r w:rsidRPr="00B36037">
              <w:t>VA Form 21P-527EZ</w:t>
            </w:r>
          </w:p>
          <w:p w14:paraId="74C45067" w14:textId="77777777" w:rsidR="00CF777B" w:rsidRPr="00B36037" w:rsidRDefault="00CF777B" w:rsidP="00CF777B">
            <w:pPr>
              <w:pStyle w:val="VBAILTBullet2"/>
            </w:pPr>
            <w:r w:rsidRPr="00B36037">
              <w:t xml:space="preserve">VA Form 21P-534EZ </w:t>
            </w:r>
          </w:p>
          <w:p w14:paraId="52FFB89E" w14:textId="2A4D6ADE" w:rsidR="00CF777B" w:rsidRPr="00BF10BD" w:rsidRDefault="00CF777B" w:rsidP="00CF777B">
            <w:pPr>
              <w:pStyle w:val="VBAILTBullet2"/>
              <w:rPr>
                <w:b/>
              </w:rPr>
            </w:pPr>
            <w:r w:rsidRPr="00B36037">
              <w:t>Proper standard form accompanying evidence of paid medical expenses that is appropriate to the benefit sought</w:t>
            </w:r>
          </w:p>
        </w:tc>
        <w:tc>
          <w:tcPr>
            <w:tcW w:w="5976" w:type="dxa"/>
            <w:tcBorders>
              <w:left w:val="dashSmallGap" w:sz="4" w:space="0" w:color="auto"/>
            </w:tcBorders>
          </w:tcPr>
          <w:p w14:paraId="375A68FB" w14:textId="77777777" w:rsidR="00CF777B" w:rsidRDefault="00CF777B" w:rsidP="00CF777B">
            <w:pPr>
              <w:pStyle w:val="VBAILTBody"/>
              <w:rPr>
                <w:rStyle w:val="Strong"/>
                <w:b w:val="0"/>
              </w:rPr>
            </w:pPr>
          </w:p>
        </w:tc>
      </w:tr>
      <w:tr w:rsidR="00CF777B" w:rsidRPr="0041489C" w14:paraId="3BFB93F0" w14:textId="77777777" w:rsidTr="00A01F06">
        <w:trPr>
          <w:cantSplit/>
          <w:jc w:val="center"/>
        </w:trPr>
        <w:tc>
          <w:tcPr>
            <w:tcW w:w="4104" w:type="dxa"/>
            <w:tcBorders>
              <w:right w:val="dashSmallGap" w:sz="4" w:space="0" w:color="auto"/>
            </w:tcBorders>
          </w:tcPr>
          <w:p w14:paraId="0DBCA936" w14:textId="77777777" w:rsidR="00CF777B" w:rsidRPr="00BF10BD" w:rsidRDefault="00CF777B" w:rsidP="00CF777B">
            <w:pPr>
              <w:pStyle w:val="VBAILTBody"/>
              <w:rPr>
                <w:b/>
              </w:rPr>
            </w:pPr>
            <w:r w:rsidRPr="00BF10BD">
              <w:rPr>
                <w:b/>
              </w:rPr>
              <w:t>Information Required for a Medical Expense Deduction Claim</w:t>
            </w:r>
          </w:p>
          <w:p w14:paraId="19B44513" w14:textId="1DDA88D9" w:rsidR="00CF777B" w:rsidRDefault="00CF777B" w:rsidP="00CF777B">
            <w:pPr>
              <w:pStyle w:val="VBAILTBody"/>
            </w:pPr>
            <w:r w:rsidRPr="00BF10BD">
              <w:t xml:space="preserve">M21-1 </w:t>
            </w:r>
            <w:r>
              <w:t>IX</w:t>
            </w:r>
            <w:r w:rsidRPr="00BF10BD">
              <w:t>.iii.1.G.4.b. (Require</w:t>
            </w:r>
            <w:r>
              <w:t>ments</w:t>
            </w:r>
            <w:r w:rsidRPr="00BF10BD">
              <w:t xml:space="preserve"> for a Medical Expense Deduction Claim)</w:t>
            </w:r>
          </w:p>
          <w:p w14:paraId="33CAB62E" w14:textId="5C621AE9" w:rsidR="00CF777B" w:rsidRPr="00BF10BD" w:rsidRDefault="00CF777B" w:rsidP="00CF777B">
            <w:pPr>
              <w:pStyle w:val="VBAILTBody"/>
            </w:pPr>
            <w:r>
              <w:t>M21-1 IX.iii.1.G.4.e (Information Required on VA Form 21P-8416 for Medical Expenses)</w:t>
            </w:r>
          </w:p>
          <w:p w14:paraId="02BBD91B" w14:textId="77777777" w:rsidR="00CF777B" w:rsidRPr="00BF10BD" w:rsidRDefault="00CF777B" w:rsidP="00CF777B">
            <w:pPr>
              <w:pStyle w:val="VBAILTbullet1"/>
            </w:pPr>
            <w:r w:rsidRPr="00BF10BD">
              <w:t>Purpose</w:t>
            </w:r>
          </w:p>
          <w:p w14:paraId="7B84A4D7" w14:textId="77777777" w:rsidR="00CF777B" w:rsidRPr="00BF10BD" w:rsidRDefault="00CF777B" w:rsidP="00CF777B">
            <w:pPr>
              <w:pStyle w:val="VBAILTbullet1"/>
            </w:pPr>
            <w:r w:rsidRPr="00BF10BD">
              <w:t>Amount paid</w:t>
            </w:r>
          </w:p>
          <w:p w14:paraId="2AB4C99D" w14:textId="77777777" w:rsidR="00CF777B" w:rsidRPr="00BF10BD" w:rsidRDefault="00CF777B" w:rsidP="00CF777B">
            <w:pPr>
              <w:pStyle w:val="VBAILTbullet1"/>
            </w:pPr>
            <w:r w:rsidRPr="00BF10BD">
              <w:t>Date paid</w:t>
            </w:r>
          </w:p>
          <w:p w14:paraId="74A76007" w14:textId="77777777" w:rsidR="00CF777B" w:rsidRPr="00BF10BD" w:rsidRDefault="00CF777B" w:rsidP="00CF777B">
            <w:pPr>
              <w:pStyle w:val="VBAILTbullet1"/>
            </w:pPr>
            <w:r w:rsidRPr="00BF10BD">
              <w:t>Provider</w:t>
            </w:r>
          </w:p>
          <w:p w14:paraId="0E65D713" w14:textId="541BDE22" w:rsidR="00CF777B" w:rsidRPr="0041489C" w:rsidRDefault="00CF777B" w:rsidP="00CF777B">
            <w:pPr>
              <w:pStyle w:val="VBAILTbullet1"/>
            </w:pPr>
            <w:r w:rsidRPr="00BF10BD">
              <w:t>For whom paid</w:t>
            </w:r>
          </w:p>
        </w:tc>
        <w:tc>
          <w:tcPr>
            <w:tcW w:w="5976" w:type="dxa"/>
            <w:tcBorders>
              <w:left w:val="dashSmallGap" w:sz="4" w:space="0" w:color="auto"/>
            </w:tcBorders>
          </w:tcPr>
          <w:p w14:paraId="258D6229" w14:textId="240A47BD" w:rsidR="00CF777B" w:rsidRPr="0041489C" w:rsidRDefault="00CF777B" w:rsidP="00CF777B">
            <w:pPr>
              <w:pStyle w:val="VBAILTBody"/>
              <w:rPr>
                <w:rStyle w:val="Strong"/>
                <w:b w:val="0"/>
                <w:bCs w:val="0"/>
              </w:rPr>
            </w:pPr>
          </w:p>
        </w:tc>
      </w:tr>
      <w:tr w:rsidR="00CF777B" w:rsidRPr="0041489C" w14:paraId="21981A5E" w14:textId="77777777" w:rsidTr="00A01F06">
        <w:trPr>
          <w:cantSplit/>
          <w:jc w:val="center"/>
        </w:trPr>
        <w:tc>
          <w:tcPr>
            <w:tcW w:w="4104" w:type="dxa"/>
            <w:tcBorders>
              <w:right w:val="dashSmallGap" w:sz="4" w:space="0" w:color="auto"/>
            </w:tcBorders>
          </w:tcPr>
          <w:p w14:paraId="6D3BFD05" w14:textId="77777777" w:rsidR="00CF777B" w:rsidRPr="0041489C" w:rsidRDefault="00CF777B" w:rsidP="00CF777B">
            <w:pPr>
              <w:pStyle w:val="VBAILTBody"/>
              <w:rPr>
                <w:b/>
              </w:rPr>
            </w:pPr>
            <w:r w:rsidRPr="0041489C">
              <w:rPr>
                <w:b/>
              </w:rPr>
              <w:lastRenderedPageBreak/>
              <w:t>Information Required for a Medical Expense Deduction Claim—Exceptions (1 of 2 and 2 of 2)</w:t>
            </w:r>
          </w:p>
          <w:p w14:paraId="658C4784" w14:textId="77777777" w:rsidR="00CF777B" w:rsidRPr="0041489C" w:rsidRDefault="00CF777B" w:rsidP="00CF777B">
            <w:pPr>
              <w:pStyle w:val="VBAILTBody"/>
              <w:rPr>
                <w:b/>
              </w:rPr>
            </w:pPr>
            <w:r w:rsidRPr="0041489C">
              <w:rPr>
                <w:noProof/>
              </w:rPr>
              <w:drawing>
                <wp:inline distT="0" distB="0" distL="0" distR="0" wp14:anchorId="1D8D115B" wp14:editId="48EFA1D5">
                  <wp:extent cx="2459990" cy="1075055"/>
                  <wp:effectExtent l="0" t="0" r="0" b="0"/>
                  <wp:docPr id="9" name="Picture 9" descr="Medical Expense If healthcare provider listed, assume the purpose was an appointment&#10;Allow a deduction for Medicare Part B premiums as a continuing medical expense without a specific claim from the claimant, if information obtained from a Share Social Security Administration (SSA) inquiry or submitted by the claimant indicates that the claimant pays the premium. (M21-1 V.iii.1.G.3.t Medicare Premiums)Amount Paid None&#10;" title="Expense deduction exceptions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9990" cy="1075055"/>
                          </a:xfrm>
                          <a:prstGeom prst="rect">
                            <a:avLst/>
                          </a:prstGeom>
                        </pic:spPr>
                      </pic:pic>
                    </a:graphicData>
                  </a:graphic>
                </wp:inline>
              </w:drawing>
            </w:r>
          </w:p>
          <w:p w14:paraId="092ACF03" w14:textId="53EE5F12" w:rsidR="00CF777B" w:rsidRPr="0041489C" w:rsidRDefault="00CF777B" w:rsidP="00CF777B">
            <w:pPr>
              <w:pStyle w:val="VBAILTBody"/>
              <w:rPr>
                <w:b/>
              </w:rPr>
            </w:pPr>
            <w:r w:rsidRPr="0041489C">
              <w:rPr>
                <w:noProof/>
              </w:rPr>
              <w:drawing>
                <wp:inline distT="0" distB="0" distL="0" distR="0" wp14:anchorId="7AC2234E" wp14:editId="23627B4A">
                  <wp:extent cx="2459990" cy="1200150"/>
                  <wp:effectExtent l="0" t="0" r="0" b="0"/>
                  <wp:docPr id="38" name="Picture 38" descr="Date Paid If there is an overlapping calendar year period, the day, month, and year must be shown for the initial month of entitlement, and the month and year for the other months in the overlapping period.Provider • Provider listed in the Medical Expense field&#10;• Prescriptions or over-the-counter drugs listed in Medical Expense field&#10;• “Part C,” “Part D,” or “Medicare” listed instead of the name of an insurance company&#10;For Whom Paid If there are no dependents" title="Expense deduction exceptions 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59990" cy="1200150"/>
                          </a:xfrm>
                          <a:prstGeom prst="rect">
                            <a:avLst/>
                          </a:prstGeom>
                        </pic:spPr>
                      </pic:pic>
                    </a:graphicData>
                  </a:graphic>
                </wp:inline>
              </w:drawing>
            </w:r>
          </w:p>
        </w:tc>
        <w:tc>
          <w:tcPr>
            <w:tcW w:w="5976" w:type="dxa"/>
            <w:tcBorders>
              <w:left w:val="dashSmallGap" w:sz="4" w:space="0" w:color="auto"/>
            </w:tcBorders>
          </w:tcPr>
          <w:p w14:paraId="4A545D9D" w14:textId="6CDC0D15" w:rsidR="00CF777B" w:rsidRPr="0041489C" w:rsidRDefault="00CF777B" w:rsidP="00CF777B">
            <w:pPr>
              <w:pStyle w:val="VBAILTBody"/>
              <w:rPr>
                <w:rStyle w:val="Strong"/>
              </w:rPr>
            </w:pPr>
          </w:p>
        </w:tc>
      </w:tr>
    </w:tbl>
    <w:p w14:paraId="283D855A" w14:textId="77777777" w:rsidR="009952DD" w:rsidRPr="0041489C" w:rsidRDefault="009952DD"/>
    <w:p w14:paraId="6D7ECAD9" w14:textId="77777777" w:rsidR="00A01F06" w:rsidRPr="0041489C" w:rsidRDefault="00A01F06"/>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41489C" w:rsidRPr="0041489C" w14:paraId="2283EAC5" w14:textId="77777777" w:rsidTr="005C77AC">
        <w:trPr>
          <w:cantSplit/>
          <w:tblHeader/>
          <w:jc w:val="center"/>
        </w:trPr>
        <w:tc>
          <w:tcPr>
            <w:tcW w:w="4104" w:type="dxa"/>
            <w:tcBorders>
              <w:right w:val="dashSmallGap" w:sz="4" w:space="0" w:color="auto"/>
            </w:tcBorders>
            <w:shd w:val="clear" w:color="auto" w:fill="BDD6EE" w:themeFill="accent1" w:themeFillTint="66"/>
          </w:tcPr>
          <w:p w14:paraId="25D12D5E" w14:textId="77777777" w:rsidR="009952DD" w:rsidRPr="0041489C" w:rsidRDefault="009952DD" w:rsidP="005C77AC">
            <w:pPr>
              <w:pStyle w:val="VBAILTTableHeading1"/>
            </w:pPr>
            <w:r w:rsidRPr="0041489C">
              <w:lastRenderedPageBreak/>
              <w:t>PowerPoint Slides</w:t>
            </w:r>
          </w:p>
        </w:tc>
        <w:tc>
          <w:tcPr>
            <w:tcW w:w="5976" w:type="dxa"/>
            <w:tcBorders>
              <w:left w:val="dashSmallGap" w:sz="4" w:space="0" w:color="auto"/>
            </w:tcBorders>
            <w:shd w:val="clear" w:color="auto" w:fill="BDD6EE" w:themeFill="accent1" w:themeFillTint="66"/>
          </w:tcPr>
          <w:p w14:paraId="64C63248" w14:textId="4EAA11EF" w:rsidR="009952DD" w:rsidRPr="0041489C" w:rsidRDefault="00A01F06" w:rsidP="005C77AC">
            <w:pPr>
              <w:pStyle w:val="VBAILTTableHeading1"/>
            </w:pPr>
            <w:r w:rsidRPr="0041489C">
              <w:t>Notes</w:t>
            </w:r>
          </w:p>
        </w:tc>
      </w:tr>
      <w:tr w:rsidR="0041489C" w:rsidRPr="0041489C" w14:paraId="3A986CD3" w14:textId="77777777" w:rsidTr="00EF4CDB">
        <w:trPr>
          <w:cantSplit/>
          <w:jc w:val="center"/>
        </w:trPr>
        <w:tc>
          <w:tcPr>
            <w:tcW w:w="4104" w:type="dxa"/>
            <w:tcBorders>
              <w:right w:val="dashSmallGap" w:sz="4" w:space="0" w:color="auto"/>
            </w:tcBorders>
          </w:tcPr>
          <w:p w14:paraId="5B8053B4" w14:textId="77777777" w:rsidR="0006299E" w:rsidRPr="00BF10BD" w:rsidRDefault="0006299E" w:rsidP="0006299E">
            <w:pPr>
              <w:pStyle w:val="VBAILTBody"/>
              <w:rPr>
                <w:b/>
              </w:rPr>
            </w:pPr>
            <w:r w:rsidRPr="00BF10BD">
              <w:rPr>
                <w:b/>
              </w:rPr>
              <w:t>Medical Expense Deduction Claim</w:t>
            </w:r>
          </w:p>
          <w:p w14:paraId="6517F74E" w14:textId="77777777" w:rsidR="0006299E" w:rsidRPr="00BF10BD" w:rsidRDefault="0006299E" w:rsidP="0006299E">
            <w:pPr>
              <w:pStyle w:val="VBAILTbullet1"/>
            </w:pPr>
            <w:r w:rsidRPr="00BF10BD">
              <w:t>Develop for missing information</w:t>
            </w:r>
          </w:p>
          <w:p w14:paraId="63776026" w14:textId="77777777" w:rsidR="0006299E" w:rsidRDefault="0006299E" w:rsidP="0006299E">
            <w:pPr>
              <w:pStyle w:val="VBAILTbullet1"/>
            </w:pPr>
            <w:r w:rsidRPr="00BF10BD">
              <w:t>Do not develop just to deny if there is already a clear reason to deny</w:t>
            </w:r>
          </w:p>
          <w:p w14:paraId="75B07276" w14:textId="77777777" w:rsidR="0006299E" w:rsidRPr="008E5751" w:rsidRDefault="0006299E" w:rsidP="0006299E">
            <w:pPr>
              <w:pStyle w:val="VBAILTbullet1"/>
            </w:pPr>
            <w:r w:rsidRPr="008E5751">
              <w:t xml:space="preserve">Normally medical expenses are allowed as a deduction after the fact based on the claim’s report of expenses actually paid. </w:t>
            </w:r>
          </w:p>
          <w:p w14:paraId="328C0C69" w14:textId="63E96A27" w:rsidR="00394EA8" w:rsidRPr="0041489C" w:rsidRDefault="0006299E" w:rsidP="0006299E">
            <w:pPr>
              <w:pStyle w:val="VBAILTbullet1"/>
            </w:pPr>
            <w:r w:rsidRPr="008E5751">
              <w:t>May be allowed prospectively if the beneficiary is paying recurring nursing home fees or in other situations where medical expenses are reasonably predictable.</w:t>
            </w:r>
          </w:p>
        </w:tc>
        <w:tc>
          <w:tcPr>
            <w:tcW w:w="5976" w:type="dxa"/>
            <w:tcBorders>
              <w:left w:val="dashSmallGap" w:sz="4" w:space="0" w:color="auto"/>
            </w:tcBorders>
          </w:tcPr>
          <w:p w14:paraId="15BB2085" w14:textId="77777777" w:rsidR="00394EA8" w:rsidRDefault="00394EA8" w:rsidP="0027419D">
            <w:pPr>
              <w:pStyle w:val="VBAILTBody"/>
              <w:rPr>
                <w:rStyle w:val="Strong"/>
                <w:b w:val="0"/>
                <w:bCs w:val="0"/>
              </w:rPr>
            </w:pPr>
          </w:p>
          <w:p w14:paraId="41C4EBD7" w14:textId="0C9A47A4" w:rsidR="0006299E" w:rsidRPr="0041489C" w:rsidRDefault="0006299E" w:rsidP="0027419D">
            <w:pPr>
              <w:pStyle w:val="VBAILTBody"/>
              <w:rPr>
                <w:rStyle w:val="Strong"/>
                <w:b w:val="0"/>
                <w:bCs w:val="0"/>
              </w:rPr>
            </w:pPr>
          </w:p>
        </w:tc>
      </w:tr>
      <w:tr w:rsidR="0006299E" w:rsidRPr="0041489C" w14:paraId="456A64E9" w14:textId="77777777" w:rsidTr="00EF4CDB">
        <w:trPr>
          <w:cantSplit/>
          <w:jc w:val="center"/>
        </w:trPr>
        <w:tc>
          <w:tcPr>
            <w:tcW w:w="4104" w:type="dxa"/>
            <w:tcBorders>
              <w:right w:val="dashSmallGap" w:sz="4" w:space="0" w:color="auto"/>
            </w:tcBorders>
          </w:tcPr>
          <w:p w14:paraId="696D3D89" w14:textId="77777777" w:rsidR="0006299E" w:rsidRDefault="0006299E" w:rsidP="0006299E">
            <w:pPr>
              <w:pStyle w:val="VBAILTBody"/>
              <w:rPr>
                <w:b/>
              </w:rPr>
            </w:pPr>
            <w:r>
              <w:rPr>
                <w:b/>
              </w:rPr>
              <w:t>Unreimbursed Medical Expenses</w:t>
            </w:r>
          </w:p>
          <w:p w14:paraId="1EDE915B" w14:textId="77777777" w:rsidR="0006299E" w:rsidRDefault="0006299E" w:rsidP="0006299E">
            <w:pPr>
              <w:pStyle w:val="VBAILTBody"/>
              <w:rPr>
                <w:bCs/>
              </w:rPr>
            </w:pPr>
            <w:r>
              <w:rPr>
                <w:bCs/>
              </w:rPr>
              <w:t>Most often seen:</w:t>
            </w:r>
          </w:p>
          <w:p w14:paraId="5B7B08B4" w14:textId="77777777" w:rsidR="0006299E" w:rsidRPr="008E5751" w:rsidRDefault="0006299E" w:rsidP="0006299E">
            <w:pPr>
              <w:pStyle w:val="VBAILTbullet1"/>
            </w:pPr>
            <w:r w:rsidRPr="008E5751">
              <w:t xml:space="preserve">Medical Insurance </w:t>
            </w:r>
          </w:p>
          <w:p w14:paraId="1A09C785" w14:textId="77777777" w:rsidR="0006299E" w:rsidRPr="008E5751" w:rsidRDefault="0006299E" w:rsidP="0006299E">
            <w:pPr>
              <w:pStyle w:val="VBAILTBullet2"/>
            </w:pPr>
            <w:r w:rsidRPr="008E5751">
              <w:t>Medicare premiums</w:t>
            </w:r>
          </w:p>
          <w:p w14:paraId="043802E6" w14:textId="77777777" w:rsidR="0006299E" w:rsidRPr="00C64023" w:rsidRDefault="0006299E" w:rsidP="0006299E">
            <w:pPr>
              <w:pStyle w:val="VBAILTbullet1"/>
            </w:pPr>
            <w:r w:rsidRPr="00C64023">
              <w:t>Prescriptive or Nonprescription drugs</w:t>
            </w:r>
          </w:p>
          <w:p w14:paraId="73D3F344" w14:textId="77777777" w:rsidR="0006299E" w:rsidRPr="00C64023" w:rsidRDefault="0006299E" w:rsidP="0006299E">
            <w:pPr>
              <w:pStyle w:val="VBAILTbullet1"/>
            </w:pPr>
            <w:r w:rsidRPr="00C64023">
              <w:t>Adaptive Equipment</w:t>
            </w:r>
          </w:p>
          <w:p w14:paraId="25285D02" w14:textId="77777777" w:rsidR="0006299E" w:rsidRPr="00C64023" w:rsidRDefault="0006299E" w:rsidP="0006299E">
            <w:pPr>
              <w:pStyle w:val="VBAILTbullet1"/>
            </w:pPr>
            <w:r w:rsidRPr="00C64023">
              <w:t>Facility fees</w:t>
            </w:r>
          </w:p>
          <w:p w14:paraId="1884DF62" w14:textId="77777777" w:rsidR="0006299E" w:rsidRPr="00C64023" w:rsidRDefault="0006299E" w:rsidP="0006299E">
            <w:pPr>
              <w:pStyle w:val="VBAILTbullet1"/>
            </w:pPr>
            <w:r w:rsidRPr="00C64023">
              <w:t>In home care fees</w:t>
            </w:r>
          </w:p>
          <w:p w14:paraId="6F01FD01" w14:textId="3C7A7B48" w:rsidR="0006299E" w:rsidRPr="00BF10BD" w:rsidRDefault="0006299E" w:rsidP="0006299E">
            <w:pPr>
              <w:pStyle w:val="VBAILTbullet1"/>
              <w:rPr>
                <w:b/>
              </w:rPr>
            </w:pPr>
            <w:r w:rsidRPr="00C64023">
              <w:t>Transportation expenses for medical purposes</w:t>
            </w:r>
          </w:p>
        </w:tc>
        <w:tc>
          <w:tcPr>
            <w:tcW w:w="5976" w:type="dxa"/>
            <w:tcBorders>
              <w:left w:val="dashSmallGap" w:sz="4" w:space="0" w:color="auto"/>
            </w:tcBorders>
          </w:tcPr>
          <w:p w14:paraId="3A540C58" w14:textId="77777777" w:rsidR="0006299E" w:rsidRDefault="0006299E" w:rsidP="0027419D">
            <w:pPr>
              <w:pStyle w:val="VBAILTBody"/>
              <w:rPr>
                <w:rStyle w:val="Strong"/>
                <w:b w:val="0"/>
                <w:bCs w:val="0"/>
              </w:rPr>
            </w:pPr>
          </w:p>
        </w:tc>
      </w:tr>
      <w:tr w:rsidR="0041489C" w:rsidRPr="0041489C" w14:paraId="26660115" w14:textId="77777777" w:rsidTr="00EF4CDB">
        <w:trPr>
          <w:cantSplit/>
          <w:jc w:val="center"/>
        </w:trPr>
        <w:tc>
          <w:tcPr>
            <w:tcW w:w="4104" w:type="dxa"/>
            <w:tcBorders>
              <w:right w:val="dashSmallGap" w:sz="4" w:space="0" w:color="auto"/>
            </w:tcBorders>
          </w:tcPr>
          <w:p w14:paraId="06881B33" w14:textId="77777777" w:rsidR="0006299E" w:rsidRPr="00BF10BD" w:rsidRDefault="0006299E" w:rsidP="0006299E">
            <w:pPr>
              <w:pStyle w:val="VBAILTBody"/>
              <w:rPr>
                <w:b/>
              </w:rPr>
            </w:pPr>
            <w:r w:rsidRPr="00BF10BD">
              <w:rPr>
                <w:b/>
              </w:rPr>
              <w:lastRenderedPageBreak/>
              <w:t>Qualifying Types of Medical Expenses</w:t>
            </w:r>
          </w:p>
          <w:p w14:paraId="2E8814A6" w14:textId="28B52A36" w:rsidR="0006299E" w:rsidRPr="00BF10BD" w:rsidRDefault="0006299E" w:rsidP="0006299E">
            <w:pPr>
              <w:pStyle w:val="VBAILTbullet1"/>
            </w:pPr>
            <w:r w:rsidRPr="00BF10BD">
              <w:t xml:space="preserve">M21-1 </w:t>
            </w:r>
            <w:r w:rsidR="009F69D7">
              <w:t>IX</w:t>
            </w:r>
            <w:r w:rsidRPr="00BF10BD">
              <w:t>.iii.1.G.2.c (Common Allowable Medical Expenses)</w:t>
            </w:r>
          </w:p>
          <w:p w14:paraId="5D347EAC" w14:textId="77F44A44" w:rsidR="00D41E13" w:rsidRPr="0041489C" w:rsidRDefault="0006299E" w:rsidP="00402811">
            <w:pPr>
              <w:pStyle w:val="VBAILTbullet1"/>
            </w:pPr>
            <w:r w:rsidRPr="00BF10BD">
              <w:t xml:space="preserve">M21-1 </w:t>
            </w:r>
            <w:r w:rsidR="009F69D7">
              <w:t>IX</w:t>
            </w:r>
            <w:r w:rsidRPr="00BF10BD">
              <w:t>.iii.1.G.3 (Sources of Medical Expenses)</w:t>
            </w:r>
          </w:p>
        </w:tc>
        <w:tc>
          <w:tcPr>
            <w:tcW w:w="5976" w:type="dxa"/>
            <w:tcBorders>
              <w:left w:val="dashSmallGap" w:sz="4" w:space="0" w:color="auto"/>
            </w:tcBorders>
          </w:tcPr>
          <w:p w14:paraId="41EC6EDE" w14:textId="65880277" w:rsidR="000B58CE" w:rsidRPr="0041489C" w:rsidRDefault="000B58CE" w:rsidP="00A01F06">
            <w:pPr>
              <w:pStyle w:val="VBAILTBody"/>
              <w:rPr>
                <w:rStyle w:val="Strong"/>
                <w:b w:val="0"/>
                <w:bCs w:val="0"/>
              </w:rPr>
            </w:pPr>
          </w:p>
        </w:tc>
      </w:tr>
      <w:tr w:rsidR="0041489C" w:rsidRPr="0041489C" w14:paraId="11B77803" w14:textId="77777777" w:rsidTr="00EF4CDB">
        <w:trPr>
          <w:cantSplit/>
          <w:jc w:val="center"/>
        </w:trPr>
        <w:tc>
          <w:tcPr>
            <w:tcW w:w="4104" w:type="dxa"/>
            <w:tcBorders>
              <w:right w:val="dashSmallGap" w:sz="4" w:space="0" w:color="auto"/>
            </w:tcBorders>
          </w:tcPr>
          <w:p w14:paraId="2F0566A2" w14:textId="77777777" w:rsidR="0006299E" w:rsidRDefault="0006299E" w:rsidP="0006299E">
            <w:pPr>
              <w:pStyle w:val="VBAILTBody"/>
              <w:rPr>
                <w:b/>
              </w:rPr>
            </w:pPr>
            <w:r>
              <w:rPr>
                <w:b/>
              </w:rPr>
              <w:t>Overlapping Period</w:t>
            </w:r>
          </w:p>
          <w:p w14:paraId="7D3F2253" w14:textId="77777777" w:rsidR="0006299E" w:rsidRPr="00EB0939" w:rsidRDefault="0006299E" w:rsidP="0006299E">
            <w:pPr>
              <w:pStyle w:val="VBAILTbullet1"/>
            </w:pPr>
            <w:r w:rsidRPr="00EB0939">
              <w:t>Overlapping periods occur when the initial year overlaps the first calendar year.</w:t>
            </w:r>
          </w:p>
          <w:p w14:paraId="7A14C34F" w14:textId="77777777" w:rsidR="0006299E" w:rsidRPr="00EB0939" w:rsidRDefault="0006299E" w:rsidP="0006299E">
            <w:pPr>
              <w:pStyle w:val="VBAILTbullet1"/>
            </w:pPr>
            <w:r w:rsidRPr="00EB0939">
              <w:t>If an overlapping period is involved:</w:t>
            </w:r>
          </w:p>
          <w:p w14:paraId="0995A2F7" w14:textId="77777777" w:rsidR="0006299E" w:rsidRPr="00EB0939" w:rsidRDefault="0006299E" w:rsidP="0006299E">
            <w:pPr>
              <w:pStyle w:val="VBAILTBullet2"/>
            </w:pPr>
            <w:r w:rsidRPr="00EB0939">
              <w:t xml:space="preserve">Calculate medical expenses for each reporting period separately, and </w:t>
            </w:r>
          </w:p>
          <w:p w14:paraId="4B691EF6" w14:textId="4C999B8C" w:rsidR="004A6692" w:rsidRPr="0041489C" w:rsidRDefault="0006299E" w:rsidP="0006299E">
            <w:pPr>
              <w:pStyle w:val="VBAILTBullet2"/>
            </w:pPr>
            <w:r w:rsidRPr="00EB0939">
              <w:t>Allow the greater amount of medical expenses during the overlap, subject to 38 CFR 3.31</w:t>
            </w:r>
          </w:p>
        </w:tc>
        <w:tc>
          <w:tcPr>
            <w:tcW w:w="5976" w:type="dxa"/>
            <w:tcBorders>
              <w:left w:val="dashSmallGap" w:sz="4" w:space="0" w:color="auto"/>
            </w:tcBorders>
          </w:tcPr>
          <w:p w14:paraId="1AD5A8BF" w14:textId="29034248" w:rsidR="00E26E36" w:rsidRPr="0041489C" w:rsidRDefault="00E26E36" w:rsidP="00A324C5">
            <w:pPr>
              <w:pStyle w:val="VBAILTAnswer"/>
              <w:rPr>
                <w:rStyle w:val="Strong"/>
                <w:b w:val="0"/>
                <w:bCs w:val="0"/>
              </w:rPr>
            </w:pPr>
          </w:p>
        </w:tc>
      </w:tr>
      <w:tr w:rsidR="0006299E" w:rsidRPr="0041489C" w14:paraId="2B373DCC" w14:textId="77777777" w:rsidTr="00EF4CDB">
        <w:trPr>
          <w:cantSplit/>
          <w:jc w:val="center"/>
        </w:trPr>
        <w:tc>
          <w:tcPr>
            <w:tcW w:w="4104" w:type="dxa"/>
            <w:tcBorders>
              <w:right w:val="dashSmallGap" w:sz="4" w:space="0" w:color="auto"/>
            </w:tcBorders>
          </w:tcPr>
          <w:p w14:paraId="014A8D9C" w14:textId="77777777" w:rsidR="0006299E" w:rsidRDefault="0006299E" w:rsidP="0006299E">
            <w:pPr>
              <w:pStyle w:val="VBAILTBody"/>
              <w:rPr>
                <w:b/>
              </w:rPr>
            </w:pPr>
            <w:r>
              <w:rPr>
                <w:b/>
              </w:rPr>
              <w:lastRenderedPageBreak/>
              <w:t>Overlapping Period Example</w:t>
            </w:r>
          </w:p>
          <w:p w14:paraId="24274CA0" w14:textId="77777777" w:rsidR="0006299E" w:rsidRPr="00EB0939" w:rsidRDefault="0006299E" w:rsidP="0006299E">
            <w:pPr>
              <w:pStyle w:val="VBAILTBody"/>
            </w:pPr>
            <w:r w:rsidRPr="00402811">
              <w:rPr>
                <w:b/>
                <w:bCs/>
                <w:i/>
                <w:iCs/>
              </w:rPr>
              <w:t>Example</w:t>
            </w:r>
            <w:r w:rsidRPr="00EB0939">
              <w:t>:  A surviving spouse’s initial year is July 15, 2020, through July 31, 2021.</w:t>
            </w:r>
            <w:r w:rsidRPr="00EB0939">
              <w:rPr>
                <w:rFonts w:ascii="Arial" w:hAnsi="Arial" w:cs="Arial"/>
              </w:rPr>
              <w:t>​</w:t>
            </w:r>
          </w:p>
          <w:p w14:paraId="12B35D63" w14:textId="77777777" w:rsidR="0006299E" w:rsidRPr="00EB0939" w:rsidRDefault="0006299E" w:rsidP="0006299E">
            <w:pPr>
              <w:pStyle w:val="VBAILTBody"/>
            </w:pPr>
            <w:r w:rsidRPr="00402811">
              <w:rPr>
                <w:b/>
                <w:bCs/>
                <w:i/>
                <w:iCs/>
              </w:rPr>
              <w:t>Result</w:t>
            </w:r>
            <w:r w:rsidRPr="00EB0939">
              <w:t>:  Compare the medical expenses for the following two periods:</w:t>
            </w:r>
            <w:r w:rsidRPr="00EB0939">
              <w:rPr>
                <w:rFonts w:ascii="Arial" w:hAnsi="Arial" w:cs="Arial"/>
              </w:rPr>
              <w:t>​</w:t>
            </w:r>
          </w:p>
          <w:p w14:paraId="061253FB" w14:textId="77777777" w:rsidR="0006299E" w:rsidRPr="00EB0939" w:rsidRDefault="0006299E" w:rsidP="0006299E">
            <w:pPr>
              <w:pStyle w:val="VBAILTbullet1"/>
            </w:pPr>
            <w:r w:rsidRPr="00EB0939">
              <w:t>July 15, </w:t>
            </w:r>
            <w:proofErr w:type="gramStart"/>
            <w:r w:rsidRPr="00EB0939">
              <w:t>2020</w:t>
            </w:r>
            <w:proofErr w:type="gramEnd"/>
            <w:r w:rsidRPr="00EB0939">
              <w:t> through July 31, 2021, and</w:t>
            </w:r>
            <w:r w:rsidRPr="00EB0939">
              <w:rPr>
                <w:rFonts w:ascii="Arial" w:hAnsi="Arial" w:cs="Arial"/>
              </w:rPr>
              <w:t>​</w:t>
            </w:r>
          </w:p>
          <w:p w14:paraId="082C7813" w14:textId="77777777" w:rsidR="0006299E" w:rsidRPr="00EB0939" w:rsidRDefault="0006299E" w:rsidP="0006299E">
            <w:pPr>
              <w:pStyle w:val="VBAILTbullet1"/>
            </w:pPr>
            <w:r w:rsidRPr="00EB0939">
              <w:t>calendar year 2021.</w:t>
            </w:r>
            <w:r w:rsidRPr="00EB0939">
              <w:rPr>
                <w:rFonts w:ascii="Arial" w:hAnsi="Arial" w:cs="Arial"/>
              </w:rPr>
              <w:t>​</w:t>
            </w:r>
          </w:p>
          <w:p w14:paraId="30E1AEE0" w14:textId="2D072F5B" w:rsidR="0006299E" w:rsidRDefault="0006299E" w:rsidP="0006299E">
            <w:pPr>
              <w:pStyle w:val="VBAILTbullet1"/>
              <w:rPr>
                <w:b/>
              </w:rPr>
            </w:pPr>
            <w:r w:rsidRPr="00EB0939">
              <w:t>For the overlapping period (January 1, </w:t>
            </w:r>
            <w:proofErr w:type="gramStart"/>
            <w:r w:rsidRPr="00EB0939">
              <w:t>2021</w:t>
            </w:r>
            <w:proofErr w:type="gramEnd"/>
            <w:r w:rsidRPr="00EB0939">
              <w:t> through July 31, 2021) pay based on the higher period of medical expenses.</w:t>
            </w:r>
          </w:p>
        </w:tc>
        <w:tc>
          <w:tcPr>
            <w:tcW w:w="5976" w:type="dxa"/>
            <w:tcBorders>
              <w:left w:val="dashSmallGap" w:sz="4" w:space="0" w:color="auto"/>
            </w:tcBorders>
          </w:tcPr>
          <w:p w14:paraId="5CFE84BD" w14:textId="77777777" w:rsidR="0006299E" w:rsidRPr="0041489C" w:rsidRDefault="0006299E" w:rsidP="00A324C5">
            <w:pPr>
              <w:pStyle w:val="VBAILTAnswer"/>
              <w:rPr>
                <w:rStyle w:val="Strong"/>
                <w:b w:val="0"/>
                <w:bCs w:val="0"/>
              </w:rPr>
            </w:pPr>
          </w:p>
        </w:tc>
      </w:tr>
      <w:tr w:rsidR="0006299E" w:rsidRPr="0041489C" w14:paraId="78E23123" w14:textId="77777777" w:rsidTr="00EF4CDB">
        <w:trPr>
          <w:cantSplit/>
          <w:jc w:val="center"/>
        </w:trPr>
        <w:tc>
          <w:tcPr>
            <w:tcW w:w="4104" w:type="dxa"/>
            <w:tcBorders>
              <w:right w:val="dashSmallGap" w:sz="4" w:space="0" w:color="auto"/>
            </w:tcBorders>
          </w:tcPr>
          <w:p w14:paraId="757EB25D" w14:textId="77777777" w:rsidR="0006299E" w:rsidRPr="00BF10BD" w:rsidRDefault="0006299E" w:rsidP="0006299E">
            <w:pPr>
              <w:pStyle w:val="VBAILTBody"/>
              <w:rPr>
                <w:b/>
              </w:rPr>
            </w:pPr>
            <w:r w:rsidRPr="00BF10BD">
              <w:rPr>
                <w:b/>
              </w:rPr>
              <w:t>Dates for Medical Expenses for an Original Claim</w:t>
            </w:r>
          </w:p>
          <w:p w14:paraId="188D9E30" w14:textId="004398F6" w:rsidR="0006299E" w:rsidRPr="00BF10BD" w:rsidRDefault="0006299E" w:rsidP="0006299E">
            <w:pPr>
              <w:pStyle w:val="VBAILTbullet1"/>
            </w:pPr>
            <w:r w:rsidRPr="00BF10BD">
              <w:t xml:space="preserve">M21-1 </w:t>
            </w:r>
            <w:r w:rsidR="009F69D7">
              <w:t>IX</w:t>
            </w:r>
            <w:r w:rsidRPr="00BF10BD">
              <w:t>.iii.1.A.3.g. (Definition of Initial Year for Pension and Time Limit for Establishing Entitlement for the Initial Year)</w:t>
            </w:r>
          </w:p>
          <w:p w14:paraId="0BFA496B" w14:textId="30A37238" w:rsidR="0006299E" w:rsidRPr="00BF10BD" w:rsidRDefault="0006299E" w:rsidP="0006299E">
            <w:pPr>
              <w:pStyle w:val="VBAILTbullet1"/>
            </w:pPr>
            <w:r w:rsidRPr="00BF10BD">
              <w:t xml:space="preserve">M21-1 </w:t>
            </w:r>
            <w:r w:rsidR="009F69D7">
              <w:t>IX</w:t>
            </w:r>
            <w:r w:rsidRPr="00BF10BD">
              <w:t>.iii.1.E.7.a. (Definition: Initial Period)</w:t>
            </w:r>
          </w:p>
          <w:p w14:paraId="286641DC" w14:textId="76525183" w:rsidR="0006299E" w:rsidRDefault="0006299E" w:rsidP="0006299E">
            <w:pPr>
              <w:pStyle w:val="VBAILTbullet1"/>
              <w:rPr>
                <w:b/>
              </w:rPr>
            </w:pPr>
            <w:r w:rsidRPr="00BF10BD">
              <w:t xml:space="preserve">M21-1 </w:t>
            </w:r>
            <w:r w:rsidR="009F69D7">
              <w:t>IX</w:t>
            </w:r>
            <w:r w:rsidRPr="00BF10BD">
              <w:t>.iii.1.E.7.</w:t>
            </w:r>
            <w:r>
              <w:t>b</w:t>
            </w:r>
            <w:r w:rsidRPr="00BF10BD">
              <w:t xml:space="preserve">. (Deductible Medical Expenses Paid During the Initial </w:t>
            </w:r>
            <w:r>
              <w:t>Year</w:t>
            </w:r>
            <w:r w:rsidRPr="00BF10BD">
              <w:t>)</w:t>
            </w:r>
          </w:p>
        </w:tc>
        <w:tc>
          <w:tcPr>
            <w:tcW w:w="5976" w:type="dxa"/>
            <w:tcBorders>
              <w:left w:val="dashSmallGap" w:sz="4" w:space="0" w:color="auto"/>
            </w:tcBorders>
          </w:tcPr>
          <w:p w14:paraId="75F95296" w14:textId="77777777" w:rsidR="0006299E" w:rsidRPr="0041489C" w:rsidRDefault="0006299E" w:rsidP="00A324C5">
            <w:pPr>
              <w:pStyle w:val="VBAILTAnswer"/>
              <w:rPr>
                <w:rStyle w:val="Strong"/>
                <w:b w:val="0"/>
                <w:bCs w:val="0"/>
              </w:rPr>
            </w:pPr>
          </w:p>
        </w:tc>
      </w:tr>
      <w:tr w:rsidR="0041489C" w:rsidRPr="0041489C" w14:paraId="4559777E" w14:textId="77777777" w:rsidTr="00EF4CDB">
        <w:trPr>
          <w:cantSplit/>
          <w:jc w:val="center"/>
        </w:trPr>
        <w:tc>
          <w:tcPr>
            <w:tcW w:w="4104" w:type="dxa"/>
            <w:tcBorders>
              <w:right w:val="dashSmallGap" w:sz="4" w:space="0" w:color="auto"/>
            </w:tcBorders>
          </w:tcPr>
          <w:p w14:paraId="730CD0BA" w14:textId="319002C5" w:rsidR="00F359F1" w:rsidRPr="0041489C" w:rsidRDefault="00451DA8" w:rsidP="004A6692">
            <w:pPr>
              <w:pStyle w:val="VBAILTBody"/>
              <w:rPr>
                <w:b/>
              </w:rPr>
            </w:pPr>
            <w:r w:rsidRPr="0041489C">
              <w:rPr>
                <w:b/>
              </w:rPr>
              <w:lastRenderedPageBreak/>
              <w:t>Allowing Prospective Continuing Medical Expenses (</w:t>
            </w:r>
            <w:r w:rsidR="00F359F1" w:rsidRPr="0041489C">
              <w:rPr>
                <w:b/>
              </w:rPr>
              <w:t>CMEs</w:t>
            </w:r>
            <w:r w:rsidRPr="0041489C">
              <w:rPr>
                <w:b/>
              </w:rPr>
              <w:t>)</w:t>
            </w:r>
            <w:r w:rsidR="00414D1D" w:rsidRPr="0041489C">
              <w:rPr>
                <w:b/>
              </w:rPr>
              <w:t xml:space="preserve"> (1 of 2)</w:t>
            </w:r>
          </w:p>
          <w:p w14:paraId="4090191D" w14:textId="6B4AA5B6" w:rsidR="000A4567" w:rsidRPr="0041489C" w:rsidRDefault="000A4567" w:rsidP="000A4567">
            <w:pPr>
              <w:pStyle w:val="VBAILTbullet1"/>
              <w:rPr>
                <w:rStyle w:val="Strong"/>
                <w:b w:val="0"/>
                <w:bCs w:val="0"/>
              </w:rPr>
            </w:pPr>
            <w:r w:rsidRPr="0041489C">
              <w:rPr>
                <w:rStyle w:val="Strong"/>
                <w:b w:val="0"/>
              </w:rPr>
              <w:t>M21-1</w:t>
            </w:r>
            <w:r w:rsidR="004B2F42" w:rsidRPr="0041489C">
              <w:rPr>
                <w:rStyle w:val="Strong"/>
                <w:b w:val="0"/>
              </w:rPr>
              <w:t xml:space="preserve"> </w:t>
            </w:r>
            <w:r w:rsidR="009F69D7">
              <w:rPr>
                <w:rStyle w:val="Strong"/>
                <w:b w:val="0"/>
              </w:rPr>
              <w:t>IX</w:t>
            </w:r>
            <w:r w:rsidRPr="0041489C">
              <w:rPr>
                <w:rStyle w:val="Strong"/>
                <w:b w:val="0"/>
              </w:rPr>
              <w:t>.iii.G.4.</w:t>
            </w:r>
            <w:r w:rsidR="0006299E">
              <w:rPr>
                <w:rStyle w:val="Strong"/>
                <w:b w:val="0"/>
              </w:rPr>
              <w:t>f</w:t>
            </w:r>
            <w:r w:rsidRPr="0041489C">
              <w:rPr>
                <w:rStyle w:val="Strong"/>
                <w:b w:val="0"/>
              </w:rPr>
              <w:t xml:space="preserve"> (Allowing Medical Expenses Prospectively)</w:t>
            </w:r>
          </w:p>
          <w:p w14:paraId="4D6F0A35" w14:textId="1ECCD139" w:rsidR="000A4567" w:rsidRPr="0041489C" w:rsidRDefault="000A4567" w:rsidP="00B10A72">
            <w:pPr>
              <w:pStyle w:val="VBAILTbullet1"/>
            </w:pPr>
            <w:r w:rsidRPr="0041489C">
              <w:rPr>
                <w:rStyle w:val="Strong"/>
                <w:b w:val="0"/>
              </w:rPr>
              <w:t>38 CFR 3.272</w:t>
            </w:r>
            <w:r w:rsidR="00B10A72" w:rsidRPr="0041489C">
              <w:rPr>
                <w:rStyle w:val="Strong"/>
                <w:b w:val="0"/>
              </w:rPr>
              <w:t>.</w:t>
            </w:r>
            <w:r w:rsidRPr="0041489C">
              <w:rPr>
                <w:rStyle w:val="Strong"/>
                <w:b w:val="0"/>
              </w:rPr>
              <w:t xml:space="preserve">g (Exclusions from </w:t>
            </w:r>
            <w:r w:rsidR="00B10A72" w:rsidRPr="0041489C">
              <w:rPr>
                <w:rStyle w:val="Strong"/>
                <w:b w:val="0"/>
              </w:rPr>
              <w:t>i</w:t>
            </w:r>
            <w:r w:rsidRPr="0041489C">
              <w:rPr>
                <w:rStyle w:val="Strong"/>
                <w:b w:val="0"/>
              </w:rPr>
              <w:t xml:space="preserve">ncome; Medical </w:t>
            </w:r>
            <w:r w:rsidR="00B10A72" w:rsidRPr="0041489C">
              <w:rPr>
                <w:rStyle w:val="Strong"/>
                <w:b w:val="0"/>
              </w:rPr>
              <w:t>e</w:t>
            </w:r>
            <w:r w:rsidRPr="0041489C">
              <w:rPr>
                <w:rStyle w:val="Strong"/>
                <w:b w:val="0"/>
              </w:rPr>
              <w:t>xpenses)</w:t>
            </w:r>
          </w:p>
        </w:tc>
        <w:tc>
          <w:tcPr>
            <w:tcW w:w="5976" w:type="dxa"/>
            <w:tcBorders>
              <w:left w:val="dashSmallGap" w:sz="4" w:space="0" w:color="auto"/>
            </w:tcBorders>
          </w:tcPr>
          <w:p w14:paraId="37E773FD" w14:textId="230AD6A9" w:rsidR="008D41C1" w:rsidRPr="0041489C" w:rsidRDefault="008D41C1" w:rsidP="0084039F">
            <w:pPr>
              <w:pStyle w:val="VBAILTAnswer"/>
              <w:rPr>
                <w:rStyle w:val="Strong"/>
                <w:b w:val="0"/>
              </w:rPr>
            </w:pPr>
          </w:p>
        </w:tc>
      </w:tr>
      <w:tr w:rsidR="0041489C" w:rsidRPr="0041489C" w14:paraId="1A51D175" w14:textId="77777777" w:rsidTr="00EF4CDB">
        <w:trPr>
          <w:cantSplit/>
          <w:jc w:val="center"/>
        </w:trPr>
        <w:tc>
          <w:tcPr>
            <w:tcW w:w="4104" w:type="dxa"/>
            <w:tcBorders>
              <w:right w:val="dashSmallGap" w:sz="4" w:space="0" w:color="auto"/>
            </w:tcBorders>
          </w:tcPr>
          <w:p w14:paraId="6815CD7A" w14:textId="77777777" w:rsidR="0006299E" w:rsidRPr="00BF10BD" w:rsidRDefault="0006299E" w:rsidP="0006299E">
            <w:pPr>
              <w:pStyle w:val="VBAILTBody"/>
              <w:rPr>
                <w:b/>
              </w:rPr>
            </w:pPr>
            <w:r w:rsidRPr="00BF10BD">
              <w:rPr>
                <w:b/>
              </w:rPr>
              <w:t>Allowing Prospective Continuing Medical Expenses (CMEs) (2 of 2)</w:t>
            </w:r>
          </w:p>
          <w:p w14:paraId="2778C2E0" w14:textId="77777777" w:rsidR="0006299E" w:rsidRPr="00BF10BD" w:rsidRDefault="0006299E" w:rsidP="0006299E">
            <w:pPr>
              <w:pStyle w:val="VBAILTbullet1"/>
            </w:pPr>
            <w:r w:rsidRPr="00BF10BD">
              <w:t>A prediction of future expenses</w:t>
            </w:r>
          </w:p>
          <w:p w14:paraId="5ED8C106" w14:textId="77777777" w:rsidR="0006299E" w:rsidRPr="00BF10BD" w:rsidRDefault="0006299E" w:rsidP="0006299E">
            <w:pPr>
              <w:pStyle w:val="VBAILTbullet1"/>
            </w:pPr>
            <w:r w:rsidRPr="00BF10BD">
              <w:t>Amount and frequency of payment is easily predictable</w:t>
            </w:r>
          </w:p>
          <w:p w14:paraId="3C71DF1E" w14:textId="77777777" w:rsidR="0006299E" w:rsidRPr="00BF10BD" w:rsidRDefault="0006299E" w:rsidP="0006299E">
            <w:pPr>
              <w:pStyle w:val="VBAILTbullet1"/>
            </w:pPr>
            <w:r w:rsidRPr="00BF10BD">
              <w:t xml:space="preserve">Examples of common continuing medical expenses: </w:t>
            </w:r>
          </w:p>
          <w:p w14:paraId="778956DD" w14:textId="77777777" w:rsidR="0006299E" w:rsidRPr="00BF10BD" w:rsidRDefault="0006299E" w:rsidP="0006299E">
            <w:pPr>
              <w:pStyle w:val="VBAILTBullet2"/>
              <w:ind w:left="720"/>
            </w:pPr>
            <w:r w:rsidRPr="00BF10BD">
              <w:t>Nursing home, assisted living, in-home care</w:t>
            </w:r>
          </w:p>
          <w:p w14:paraId="6AD65BBC" w14:textId="77777777" w:rsidR="0006299E" w:rsidRPr="00BF10BD" w:rsidRDefault="0006299E" w:rsidP="0006299E">
            <w:pPr>
              <w:pStyle w:val="VBAILTBullet2"/>
              <w:ind w:left="720"/>
            </w:pPr>
            <w:r w:rsidRPr="00BF10BD">
              <w:t>Private medical insurance</w:t>
            </w:r>
          </w:p>
          <w:p w14:paraId="3C8A3A73" w14:textId="77777777" w:rsidR="0006299E" w:rsidRPr="00BF10BD" w:rsidRDefault="0006299E" w:rsidP="0006299E">
            <w:pPr>
              <w:pStyle w:val="VBAILTBullet2"/>
              <w:ind w:left="720"/>
            </w:pPr>
            <w:r w:rsidRPr="00BF10BD">
              <w:t>Medicare Part B and D</w:t>
            </w:r>
          </w:p>
          <w:p w14:paraId="1DF1310F" w14:textId="77777777" w:rsidR="0006299E" w:rsidRPr="00BF10BD" w:rsidRDefault="0006299E" w:rsidP="0006299E">
            <w:pPr>
              <w:pStyle w:val="VBAILTbullet1"/>
              <w:rPr>
                <w:b/>
              </w:rPr>
            </w:pPr>
            <w:r w:rsidRPr="00BF10BD">
              <w:t>Subject to adjustment</w:t>
            </w:r>
          </w:p>
          <w:p w14:paraId="059F2C2E" w14:textId="48F3D9C6" w:rsidR="001901BC" w:rsidRPr="0041489C" w:rsidRDefault="0006299E" w:rsidP="0006299E">
            <w:pPr>
              <w:pStyle w:val="VBAILTbullet1"/>
            </w:pPr>
            <w:r w:rsidRPr="00BF10BD">
              <w:t>Prescription drugs (claims processed on a case-by-case basis)</w:t>
            </w:r>
          </w:p>
        </w:tc>
        <w:tc>
          <w:tcPr>
            <w:tcW w:w="5976" w:type="dxa"/>
            <w:tcBorders>
              <w:left w:val="dashSmallGap" w:sz="4" w:space="0" w:color="auto"/>
            </w:tcBorders>
          </w:tcPr>
          <w:p w14:paraId="466E8E31" w14:textId="51D19FD3" w:rsidR="00F125BA" w:rsidRPr="0041489C" w:rsidRDefault="00F125BA" w:rsidP="007868EB">
            <w:pPr>
              <w:pStyle w:val="VBAILTBody"/>
              <w:rPr>
                <w:rStyle w:val="Strong"/>
                <w:b w:val="0"/>
              </w:rPr>
            </w:pPr>
          </w:p>
        </w:tc>
      </w:tr>
      <w:tr w:rsidR="0006299E" w:rsidRPr="0041489C" w14:paraId="5E45C06B" w14:textId="77777777" w:rsidTr="00EF4CDB">
        <w:trPr>
          <w:cantSplit/>
          <w:jc w:val="center"/>
        </w:trPr>
        <w:tc>
          <w:tcPr>
            <w:tcW w:w="4104" w:type="dxa"/>
            <w:tcBorders>
              <w:right w:val="dashSmallGap" w:sz="4" w:space="0" w:color="auto"/>
            </w:tcBorders>
          </w:tcPr>
          <w:p w14:paraId="6B94B803" w14:textId="77777777" w:rsidR="0006299E" w:rsidRPr="00BF10BD" w:rsidRDefault="0006299E" w:rsidP="0006299E">
            <w:pPr>
              <w:pStyle w:val="VBAILTBody"/>
              <w:rPr>
                <w:b/>
              </w:rPr>
            </w:pPr>
            <w:r w:rsidRPr="00BF10BD">
              <w:rPr>
                <w:b/>
              </w:rPr>
              <w:lastRenderedPageBreak/>
              <w:t>Final Expenses</w:t>
            </w:r>
          </w:p>
          <w:p w14:paraId="436433D7" w14:textId="77777777" w:rsidR="0006299E" w:rsidRPr="00BF10BD" w:rsidRDefault="0006299E" w:rsidP="0006299E">
            <w:pPr>
              <w:pStyle w:val="VBAILTBody"/>
            </w:pPr>
            <w:r w:rsidRPr="00BF10BD">
              <w:t>38 CFR 3.272.h (Expenses of last illnesses, burials, and just debts)</w:t>
            </w:r>
          </w:p>
          <w:p w14:paraId="7625968B" w14:textId="77777777" w:rsidR="0006299E" w:rsidRPr="00BF10BD" w:rsidRDefault="0006299E" w:rsidP="0006299E">
            <w:pPr>
              <w:pStyle w:val="VBAILTbullet1"/>
            </w:pPr>
            <w:r w:rsidRPr="00BF10BD">
              <w:t>Three categories of final expenses</w:t>
            </w:r>
          </w:p>
          <w:p w14:paraId="1B0D51BA" w14:textId="77777777" w:rsidR="0006299E" w:rsidRPr="00BF10BD" w:rsidRDefault="0006299E" w:rsidP="0006299E">
            <w:pPr>
              <w:pStyle w:val="VBAILTbullet1"/>
            </w:pPr>
            <w:r w:rsidRPr="00BF10BD">
              <w:t>When final expenses are deducted</w:t>
            </w:r>
          </w:p>
          <w:p w14:paraId="69051087" w14:textId="77777777" w:rsidR="0006299E" w:rsidRPr="00BF10BD" w:rsidRDefault="0006299E" w:rsidP="0006299E">
            <w:pPr>
              <w:pStyle w:val="VBAILTbullet1"/>
            </w:pPr>
            <w:r w:rsidRPr="00BF10BD">
              <w:t>Veteran’s final expense</w:t>
            </w:r>
          </w:p>
          <w:p w14:paraId="4F063A05" w14:textId="098C785B" w:rsidR="0006299E" w:rsidRPr="0006299E" w:rsidRDefault="0006299E" w:rsidP="0006299E">
            <w:pPr>
              <w:pStyle w:val="VBAILTbullet1"/>
            </w:pPr>
            <w:r w:rsidRPr="00BF10BD">
              <w:t xml:space="preserve">Spouse or child’s final expense </w:t>
            </w:r>
          </w:p>
        </w:tc>
        <w:tc>
          <w:tcPr>
            <w:tcW w:w="5976" w:type="dxa"/>
            <w:tcBorders>
              <w:left w:val="dashSmallGap" w:sz="4" w:space="0" w:color="auto"/>
            </w:tcBorders>
          </w:tcPr>
          <w:p w14:paraId="3CECAA15" w14:textId="77777777" w:rsidR="0006299E" w:rsidRPr="0041489C" w:rsidRDefault="0006299E" w:rsidP="007868EB">
            <w:pPr>
              <w:pStyle w:val="VBAILTBody"/>
              <w:rPr>
                <w:rStyle w:val="Strong"/>
                <w:b w:val="0"/>
              </w:rPr>
            </w:pPr>
          </w:p>
        </w:tc>
      </w:tr>
      <w:tr w:rsidR="0006299E" w:rsidRPr="0041489C" w14:paraId="0D300B19" w14:textId="77777777" w:rsidTr="00EF4CDB">
        <w:trPr>
          <w:cantSplit/>
          <w:jc w:val="center"/>
        </w:trPr>
        <w:tc>
          <w:tcPr>
            <w:tcW w:w="4104" w:type="dxa"/>
            <w:tcBorders>
              <w:right w:val="dashSmallGap" w:sz="4" w:space="0" w:color="auto"/>
            </w:tcBorders>
          </w:tcPr>
          <w:p w14:paraId="2791BA8A" w14:textId="77777777" w:rsidR="0006299E" w:rsidRPr="00BF10BD" w:rsidRDefault="0006299E" w:rsidP="0006299E">
            <w:pPr>
              <w:pStyle w:val="VBAILTBody"/>
              <w:rPr>
                <w:b/>
              </w:rPr>
            </w:pPr>
            <w:r w:rsidRPr="00BF10BD">
              <w:rPr>
                <w:b/>
              </w:rPr>
              <w:t>Final Expense Deductions—Overview and Definitions</w:t>
            </w:r>
          </w:p>
          <w:p w14:paraId="1CAE06B8" w14:textId="38D0900F" w:rsidR="0006299E" w:rsidRPr="00BF10BD" w:rsidRDefault="0006299E" w:rsidP="0006299E">
            <w:pPr>
              <w:pStyle w:val="VBAILTBody"/>
            </w:pPr>
            <w:r w:rsidRPr="00BF10BD">
              <w:t xml:space="preserve">M21-1 </w:t>
            </w:r>
            <w:r w:rsidR="009F69D7">
              <w:t>IX</w:t>
            </w:r>
            <w:r w:rsidRPr="00BF10BD">
              <w:t>.iii.1.</w:t>
            </w:r>
            <w:r>
              <w:t>K</w:t>
            </w:r>
            <w:r w:rsidRPr="00BF10BD">
              <w:t>.</w:t>
            </w:r>
            <w:r>
              <w:t>1</w:t>
            </w:r>
            <w:r w:rsidRPr="00BF10BD">
              <w:t xml:space="preserve"> (Final Expense Deductions—Overview and Definitions):</w:t>
            </w:r>
          </w:p>
          <w:p w14:paraId="5B44785D" w14:textId="77777777" w:rsidR="0006299E" w:rsidRPr="00BF10BD" w:rsidRDefault="0006299E" w:rsidP="0006299E">
            <w:pPr>
              <w:pStyle w:val="VBAILTbullet1"/>
            </w:pPr>
            <w:r w:rsidRPr="00BF10BD">
              <w:t>Last illness</w:t>
            </w:r>
          </w:p>
          <w:p w14:paraId="6CCA787A" w14:textId="77777777" w:rsidR="0006299E" w:rsidRPr="00BF10BD" w:rsidRDefault="0006299E" w:rsidP="0006299E">
            <w:pPr>
              <w:pStyle w:val="VBAILTbullet1"/>
            </w:pPr>
            <w:r w:rsidRPr="00BF10BD">
              <w:t>Burial</w:t>
            </w:r>
          </w:p>
          <w:p w14:paraId="632D8AA7" w14:textId="2E7CC15B" w:rsidR="0006299E" w:rsidRPr="00BF10BD" w:rsidRDefault="0006299E" w:rsidP="0006299E">
            <w:pPr>
              <w:pStyle w:val="VBAILTbullet1"/>
              <w:rPr>
                <w:b/>
              </w:rPr>
            </w:pPr>
            <w:r w:rsidRPr="00BF10BD">
              <w:t>Just debts of the Veteran</w:t>
            </w:r>
          </w:p>
        </w:tc>
        <w:tc>
          <w:tcPr>
            <w:tcW w:w="5976" w:type="dxa"/>
            <w:tcBorders>
              <w:left w:val="dashSmallGap" w:sz="4" w:space="0" w:color="auto"/>
            </w:tcBorders>
          </w:tcPr>
          <w:p w14:paraId="652D129D" w14:textId="77777777" w:rsidR="0006299E" w:rsidRPr="0041489C" w:rsidRDefault="0006299E" w:rsidP="007868EB">
            <w:pPr>
              <w:pStyle w:val="VBAILTBody"/>
              <w:rPr>
                <w:rStyle w:val="Strong"/>
                <w:b w:val="0"/>
              </w:rPr>
            </w:pPr>
          </w:p>
        </w:tc>
      </w:tr>
      <w:tr w:rsidR="0006299E" w:rsidRPr="0041489C" w14:paraId="154D668A" w14:textId="77777777" w:rsidTr="00EF4CDB">
        <w:trPr>
          <w:cantSplit/>
          <w:jc w:val="center"/>
        </w:trPr>
        <w:tc>
          <w:tcPr>
            <w:tcW w:w="4104" w:type="dxa"/>
            <w:tcBorders>
              <w:right w:val="dashSmallGap" w:sz="4" w:space="0" w:color="auto"/>
            </w:tcBorders>
          </w:tcPr>
          <w:p w14:paraId="31A4E5AD" w14:textId="77777777" w:rsidR="0006299E" w:rsidRDefault="0006299E" w:rsidP="0006299E">
            <w:pPr>
              <w:pStyle w:val="VBAILTBody"/>
              <w:rPr>
                <w:b/>
              </w:rPr>
            </w:pPr>
            <w:r>
              <w:rPr>
                <w:b/>
              </w:rPr>
              <w:lastRenderedPageBreak/>
              <w:t>Final Expenses (1 of 2)</w:t>
            </w:r>
          </w:p>
          <w:p w14:paraId="1E0BF897" w14:textId="77777777" w:rsidR="0006299E" w:rsidRPr="00EB0939" w:rsidRDefault="0006299E" w:rsidP="0006299E">
            <w:pPr>
              <w:pStyle w:val="VBAILTBody"/>
              <w:rPr>
                <w:bCs/>
              </w:rPr>
            </w:pPr>
            <w:r w:rsidRPr="00EB0939">
              <w:rPr>
                <w:bCs/>
              </w:rPr>
              <w:t>Under </w:t>
            </w:r>
            <w:hyperlink r:id="rId13" w:history="1">
              <w:r w:rsidRPr="00EB0939">
                <w:rPr>
                  <w:rStyle w:val="Hyperlink"/>
                  <w:bCs/>
                </w:rPr>
                <w:t>38 CFR 3.272(h)(1)</w:t>
              </w:r>
            </w:hyperlink>
            <w:r w:rsidRPr="00EB0939">
              <w:rPr>
                <w:bCs/>
              </w:rPr>
              <w:t> and </w:t>
            </w:r>
            <w:hyperlink r:id="rId14" w:history="1">
              <w:r w:rsidRPr="00EB0939">
                <w:rPr>
                  <w:rStyle w:val="Hyperlink"/>
                  <w:bCs/>
                </w:rPr>
                <w:t>38 CFR 3.272(h)(2)(</w:t>
              </w:r>
              <w:proofErr w:type="spellStart"/>
              <w:r w:rsidRPr="00EB0939">
                <w:rPr>
                  <w:rStyle w:val="Hyperlink"/>
                  <w:bCs/>
                </w:rPr>
                <w:t>i</w:t>
              </w:r>
              <w:proofErr w:type="spellEnd"/>
              <w:r w:rsidRPr="00EB0939">
                <w:rPr>
                  <w:rStyle w:val="Hyperlink"/>
                  <w:bCs/>
                </w:rPr>
                <w:t>)</w:t>
              </w:r>
            </w:hyperlink>
            <w:r w:rsidRPr="00EB0939">
              <w:rPr>
                <w:bCs/>
              </w:rPr>
              <w:t>, deductible final expenses include amounts paid by a</w:t>
            </w:r>
            <w:r w:rsidRPr="00EB0939">
              <w:rPr>
                <w:rFonts w:ascii="Arial" w:hAnsi="Arial" w:cs="Arial"/>
                <w:bCs/>
              </w:rPr>
              <w:t>​</w:t>
            </w:r>
          </w:p>
          <w:p w14:paraId="4C4C6B0F" w14:textId="77777777" w:rsidR="0006299E" w:rsidRPr="00EB0939" w:rsidRDefault="0006299E" w:rsidP="0006299E">
            <w:pPr>
              <w:pStyle w:val="VBAILTbullet1"/>
            </w:pPr>
            <w:r w:rsidRPr="00EB0939">
              <w:t>surviving spouse or child for the unreimbursed expenses of a Veteran’s last illness and burial as well as the Veteran’s just debts</w:t>
            </w:r>
            <w:r w:rsidRPr="00EB0939">
              <w:rPr>
                <w:rFonts w:ascii="Arial" w:hAnsi="Arial" w:cs="Arial"/>
              </w:rPr>
              <w:t>​</w:t>
            </w:r>
          </w:p>
          <w:p w14:paraId="2AB3ECC0" w14:textId="77777777" w:rsidR="0006299E" w:rsidRPr="00EB0939" w:rsidRDefault="0006299E" w:rsidP="0006299E">
            <w:pPr>
              <w:pStyle w:val="VBAILTbullet1"/>
            </w:pPr>
            <w:r w:rsidRPr="00EB0939">
              <w:t>Veteran for the unreimbursed expenses of a spouse’s or child’s last illness and burial, but not amounts paid for the spouse’s or child’s just debts, and</w:t>
            </w:r>
            <w:r w:rsidRPr="00EB0939">
              <w:rPr>
                <w:rFonts w:ascii="Arial" w:hAnsi="Arial" w:cs="Arial"/>
              </w:rPr>
              <w:t>​</w:t>
            </w:r>
          </w:p>
          <w:p w14:paraId="72B8F245" w14:textId="388F24DF" w:rsidR="0006299E" w:rsidRPr="0006299E" w:rsidRDefault="0006299E" w:rsidP="0006299E">
            <w:pPr>
              <w:pStyle w:val="VBAILTbullet1"/>
            </w:pPr>
            <w:r w:rsidRPr="00EB0939">
              <w:t>Veteran’s spouse or surviving spouse for the unreimbursed expenses of the Veteran’s child’s last illness and burial, but not amounts paid for the child’s just debts.</w:t>
            </w:r>
          </w:p>
        </w:tc>
        <w:tc>
          <w:tcPr>
            <w:tcW w:w="5976" w:type="dxa"/>
            <w:tcBorders>
              <w:left w:val="dashSmallGap" w:sz="4" w:space="0" w:color="auto"/>
            </w:tcBorders>
          </w:tcPr>
          <w:p w14:paraId="3C3340E5" w14:textId="77777777" w:rsidR="0006299E" w:rsidRPr="0041489C" w:rsidRDefault="0006299E" w:rsidP="007868EB">
            <w:pPr>
              <w:pStyle w:val="VBAILTBody"/>
              <w:rPr>
                <w:rStyle w:val="Strong"/>
                <w:b w:val="0"/>
              </w:rPr>
            </w:pPr>
          </w:p>
        </w:tc>
      </w:tr>
      <w:tr w:rsidR="0041489C" w:rsidRPr="0041489C" w14:paraId="1E1540C4" w14:textId="77777777" w:rsidTr="005C3A6A">
        <w:trPr>
          <w:jc w:val="center"/>
        </w:trPr>
        <w:tc>
          <w:tcPr>
            <w:tcW w:w="4104" w:type="dxa"/>
            <w:tcBorders>
              <w:right w:val="dashSmallGap" w:sz="4" w:space="0" w:color="auto"/>
            </w:tcBorders>
          </w:tcPr>
          <w:p w14:paraId="5D129626" w14:textId="77777777" w:rsidR="00B062F7" w:rsidRDefault="00B062F7" w:rsidP="00B062F7">
            <w:pPr>
              <w:pStyle w:val="VBAILTBody"/>
              <w:rPr>
                <w:b/>
              </w:rPr>
            </w:pPr>
            <w:r>
              <w:rPr>
                <w:b/>
              </w:rPr>
              <w:t>Final Expenses (2 of 2)</w:t>
            </w:r>
          </w:p>
          <w:p w14:paraId="2D1711D0" w14:textId="77777777" w:rsidR="00B062F7" w:rsidRPr="00EB0939" w:rsidRDefault="00B062F7" w:rsidP="00B062F7">
            <w:pPr>
              <w:pStyle w:val="VBAILTBody"/>
              <w:rPr>
                <w:bCs/>
              </w:rPr>
            </w:pPr>
            <w:r w:rsidRPr="00EB0939">
              <w:rPr>
                <w:bCs/>
              </w:rPr>
              <w:t>Expenses of last illness and burial expenses, for example, prepaid burial, paid before the date of pension entitlement, can be considered final expenses if paid by a surviving spouse.  There is currently no time limit for allowing such expenses.</w:t>
            </w:r>
            <w:r w:rsidRPr="00EB0939">
              <w:rPr>
                <w:rFonts w:ascii="Arial" w:hAnsi="Arial" w:cs="Arial"/>
                <w:bCs/>
              </w:rPr>
              <w:t>​</w:t>
            </w:r>
          </w:p>
          <w:p w14:paraId="5C94718E" w14:textId="06A044A1" w:rsidR="00F741FA" w:rsidRPr="00B062F7" w:rsidRDefault="00B062F7" w:rsidP="00B062F7">
            <w:pPr>
              <w:pStyle w:val="VBAILTBody"/>
              <w:rPr>
                <w:bCs/>
              </w:rPr>
            </w:pPr>
            <w:r w:rsidRPr="00EB0939">
              <w:rPr>
                <w:bCs/>
              </w:rPr>
              <w:t xml:space="preserve">Expenses of a Veteran’s last illness that were allowed as a previous medical expense deduction cannot later be </w:t>
            </w:r>
            <w:r w:rsidRPr="00EB0939">
              <w:rPr>
                <w:bCs/>
              </w:rPr>
              <w:lastRenderedPageBreak/>
              <w:t>deducted as a final expense on the surviving spouse’s pension award.</w:t>
            </w:r>
          </w:p>
        </w:tc>
        <w:tc>
          <w:tcPr>
            <w:tcW w:w="5976" w:type="dxa"/>
            <w:tcBorders>
              <w:left w:val="dashSmallGap" w:sz="4" w:space="0" w:color="auto"/>
            </w:tcBorders>
          </w:tcPr>
          <w:p w14:paraId="45D52C67" w14:textId="2CA7B2A7" w:rsidR="00F741FA" w:rsidRPr="0041489C" w:rsidRDefault="00F741FA" w:rsidP="00A01F06">
            <w:pPr>
              <w:pStyle w:val="VBAILTBody"/>
              <w:rPr>
                <w:rStyle w:val="Strong"/>
                <w:b w:val="0"/>
              </w:rPr>
            </w:pPr>
          </w:p>
        </w:tc>
      </w:tr>
      <w:tr w:rsidR="0041489C" w:rsidRPr="0041489C" w14:paraId="081C5823" w14:textId="77777777" w:rsidTr="005B4FCB">
        <w:trPr>
          <w:cantSplit/>
          <w:jc w:val="center"/>
        </w:trPr>
        <w:tc>
          <w:tcPr>
            <w:tcW w:w="4104" w:type="dxa"/>
            <w:tcBorders>
              <w:right w:val="dashSmallGap" w:sz="4" w:space="0" w:color="auto"/>
            </w:tcBorders>
          </w:tcPr>
          <w:p w14:paraId="12441544" w14:textId="77777777" w:rsidR="00B062F7" w:rsidRDefault="00B062F7" w:rsidP="00B062F7">
            <w:pPr>
              <w:pStyle w:val="VBAILTBody"/>
              <w:rPr>
                <w:b/>
              </w:rPr>
            </w:pPr>
            <w:r>
              <w:rPr>
                <w:b/>
              </w:rPr>
              <w:t xml:space="preserve">Last Illness </w:t>
            </w:r>
          </w:p>
          <w:p w14:paraId="58F08E78" w14:textId="77777777" w:rsidR="00B062F7" w:rsidRPr="00A74CB9" w:rsidRDefault="00B062F7" w:rsidP="00B062F7">
            <w:pPr>
              <w:pStyle w:val="VBAILTBody"/>
              <w:rPr>
                <w:b/>
              </w:rPr>
            </w:pPr>
            <w:r w:rsidRPr="00A74CB9">
              <w:rPr>
                <w:b/>
                <w:bCs/>
                <w:i/>
                <w:iCs/>
                <w:u w:val="single"/>
              </w:rPr>
              <w:t>Last illness</w:t>
            </w:r>
            <w:r w:rsidRPr="00A74CB9">
              <w:rPr>
                <w:rFonts w:ascii="Arial" w:hAnsi="Arial" w:cs="Arial"/>
                <w:b/>
              </w:rPr>
              <w:t>​</w:t>
            </w:r>
          </w:p>
          <w:p w14:paraId="1F967759" w14:textId="77777777" w:rsidR="00B062F7" w:rsidRPr="00EB0939" w:rsidRDefault="00B062F7" w:rsidP="00B062F7">
            <w:pPr>
              <w:pStyle w:val="VBAILTbullet1"/>
            </w:pPr>
            <w:r>
              <w:t>Is</w:t>
            </w:r>
            <w:r w:rsidRPr="00EB0939">
              <w:t xml:space="preserve"> the period from the onset of the acute attack causing death to the date of death.  Generally, expenses incurred more than one year prior to date of death should not be considered expenses of last illness. </w:t>
            </w:r>
            <w:r w:rsidRPr="00EB0939">
              <w:rPr>
                <w:rFonts w:ascii="Arial" w:hAnsi="Arial" w:cs="Arial"/>
              </w:rPr>
              <w:t>​</w:t>
            </w:r>
          </w:p>
          <w:p w14:paraId="7B2EC12A" w14:textId="7643109E" w:rsidR="00F741FA" w:rsidRPr="0041489C" w:rsidRDefault="00B062F7" w:rsidP="00B062F7">
            <w:pPr>
              <w:pStyle w:val="VBAILTbullet1"/>
            </w:pPr>
            <w:r w:rsidRPr="00EB0939">
              <w:t>If death resulted from a lingering or prolonged illness instead of an acute attack, the period of last illness is considered to have begun at the time the person became so ill as to require the regular and daily attendance of another person.</w:t>
            </w:r>
          </w:p>
        </w:tc>
        <w:tc>
          <w:tcPr>
            <w:tcW w:w="5976" w:type="dxa"/>
            <w:tcBorders>
              <w:left w:val="dashSmallGap" w:sz="4" w:space="0" w:color="auto"/>
            </w:tcBorders>
          </w:tcPr>
          <w:p w14:paraId="4BB55F78" w14:textId="2D8EBDD1" w:rsidR="00F741FA" w:rsidRPr="0041489C" w:rsidRDefault="00F741FA" w:rsidP="00F741FA">
            <w:pPr>
              <w:pStyle w:val="VBAILTBody"/>
              <w:rPr>
                <w:rStyle w:val="Strong"/>
                <w:b w:val="0"/>
                <w:bCs w:val="0"/>
              </w:rPr>
            </w:pPr>
          </w:p>
        </w:tc>
      </w:tr>
      <w:tr w:rsidR="0041489C" w:rsidRPr="0041489C" w14:paraId="791B9CD0" w14:textId="77777777" w:rsidTr="00DB17F8">
        <w:trPr>
          <w:cantSplit/>
          <w:jc w:val="center"/>
        </w:trPr>
        <w:tc>
          <w:tcPr>
            <w:tcW w:w="4104" w:type="dxa"/>
            <w:tcBorders>
              <w:right w:val="dashSmallGap" w:sz="4" w:space="0" w:color="auto"/>
            </w:tcBorders>
          </w:tcPr>
          <w:p w14:paraId="1D10E631" w14:textId="77777777" w:rsidR="00B062F7" w:rsidRDefault="00B062F7" w:rsidP="00B062F7">
            <w:pPr>
              <w:pStyle w:val="VBAILTBody"/>
              <w:rPr>
                <w:b/>
              </w:rPr>
            </w:pPr>
            <w:r>
              <w:rPr>
                <w:b/>
              </w:rPr>
              <w:lastRenderedPageBreak/>
              <w:t>Burial Expenses</w:t>
            </w:r>
          </w:p>
          <w:p w14:paraId="2C5BAB90" w14:textId="77777777" w:rsidR="00B062F7" w:rsidRPr="00696607" w:rsidRDefault="00B062F7" w:rsidP="00B062F7">
            <w:pPr>
              <w:pStyle w:val="VBAILTBody"/>
              <w:rPr>
                <w:b/>
              </w:rPr>
            </w:pPr>
            <w:r w:rsidRPr="00696607">
              <w:rPr>
                <w:b/>
                <w:bCs/>
                <w:i/>
                <w:iCs/>
                <w:u w:val="single"/>
              </w:rPr>
              <w:t>Burial Expenses</w:t>
            </w:r>
            <w:r w:rsidRPr="00696607">
              <w:rPr>
                <w:rFonts w:ascii="Arial" w:hAnsi="Arial" w:cs="Arial"/>
                <w:b/>
              </w:rPr>
              <w:t>​</w:t>
            </w:r>
          </w:p>
          <w:p w14:paraId="53D16AE9" w14:textId="77777777" w:rsidR="00B062F7" w:rsidRPr="00EB0939" w:rsidRDefault="00B062F7" w:rsidP="00B062F7">
            <w:pPr>
              <w:pStyle w:val="VBAILTbullet1"/>
            </w:pPr>
            <w:r>
              <w:t>I</w:t>
            </w:r>
            <w:r w:rsidRPr="00EB0939">
              <w:t>nclude all funeral and burial expenses incident to disposition of the remains of deceased persons.</w:t>
            </w:r>
          </w:p>
          <w:p w14:paraId="23FF3DF2" w14:textId="77777777" w:rsidR="00B062F7" w:rsidRPr="00EB0939" w:rsidRDefault="00B062F7" w:rsidP="00B062F7">
            <w:pPr>
              <w:pStyle w:val="VBAILTBody"/>
              <w:rPr>
                <w:bCs/>
              </w:rPr>
            </w:pPr>
          </w:p>
          <w:p w14:paraId="6F108F83" w14:textId="5D6856F3" w:rsidR="00F741FA" w:rsidRPr="00B062F7" w:rsidRDefault="00B062F7" w:rsidP="00DB17F8">
            <w:pPr>
              <w:pStyle w:val="VBAILTBody"/>
              <w:rPr>
                <w:bCs/>
              </w:rPr>
            </w:pPr>
            <w:r w:rsidRPr="00EB0939">
              <w:rPr>
                <w:bCs/>
                <w:i/>
                <w:iCs/>
              </w:rPr>
              <w:t>Example</w:t>
            </w:r>
            <w:r w:rsidRPr="00EB0939">
              <w:rPr>
                <w:bCs/>
              </w:rPr>
              <w:t>:  A surviving spouse claims $3,000 in burial expenses.  VA paid $600 toward the burial and plot and $400 in transportation costs, for a total of $1,000.  Therefore, only $2,000 of the claimed burial expenses is deductible for pension purposes.</w:t>
            </w:r>
          </w:p>
        </w:tc>
        <w:tc>
          <w:tcPr>
            <w:tcW w:w="5976" w:type="dxa"/>
            <w:tcBorders>
              <w:left w:val="dashSmallGap" w:sz="4" w:space="0" w:color="auto"/>
            </w:tcBorders>
          </w:tcPr>
          <w:p w14:paraId="6BE98837" w14:textId="77777777" w:rsidR="00F741FA" w:rsidRPr="0041489C" w:rsidRDefault="00F741FA" w:rsidP="00DB17F8">
            <w:pPr>
              <w:pStyle w:val="VBAILTBody"/>
              <w:rPr>
                <w:rStyle w:val="Strong"/>
              </w:rPr>
            </w:pPr>
          </w:p>
        </w:tc>
      </w:tr>
      <w:tr w:rsidR="0041489C" w:rsidRPr="0041489C" w14:paraId="3903F5D8" w14:textId="77777777" w:rsidTr="00DB17F8">
        <w:trPr>
          <w:jc w:val="center"/>
        </w:trPr>
        <w:tc>
          <w:tcPr>
            <w:tcW w:w="4104" w:type="dxa"/>
            <w:tcBorders>
              <w:right w:val="dashSmallGap" w:sz="4" w:space="0" w:color="auto"/>
            </w:tcBorders>
          </w:tcPr>
          <w:p w14:paraId="36A275A1" w14:textId="77777777" w:rsidR="00B062F7" w:rsidRDefault="00B062F7" w:rsidP="00B062F7">
            <w:pPr>
              <w:pStyle w:val="VBAILTBody"/>
              <w:rPr>
                <w:b/>
              </w:rPr>
            </w:pPr>
            <w:r>
              <w:rPr>
                <w:b/>
              </w:rPr>
              <w:t xml:space="preserve">Just Debts (1 of 2) </w:t>
            </w:r>
          </w:p>
          <w:p w14:paraId="118760BB" w14:textId="77777777" w:rsidR="00B062F7" w:rsidRPr="009D7B19" w:rsidRDefault="00B062F7" w:rsidP="00B062F7">
            <w:pPr>
              <w:pStyle w:val="VBAILTBody"/>
              <w:rPr>
                <w:b/>
              </w:rPr>
            </w:pPr>
            <w:r w:rsidRPr="009D7B19">
              <w:rPr>
                <w:b/>
                <w:bCs/>
                <w:i/>
                <w:iCs/>
                <w:u w:val="single"/>
              </w:rPr>
              <w:t>Just debts of the Veteran</w:t>
            </w:r>
            <w:r w:rsidRPr="009D7B19">
              <w:rPr>
                <w:rFonts w:ascii="Arial" w:hAnsi="Arial" w:cs="Arial"/>
                <w:b/>
              </w:rPr>
              <w:t>​</w:t>
            </w:r>
          </w:p>
          <w:p w14:paraId="1196A51A" w14:textId="77777777" w:rsidR="00B062F7" w:rsidRPr="00EB0939" w:rsidRDefault="00B062F7" w:rsidP="00B062F7">
            <w:pPr>
              <w:pStyle w:val="VBAILTbullet1"/>
            </w:pPr>
            <w:r w:rsidRPr="00EB0939">
              <w:t>Under </w:t>
            </w:r>
            <w:hyperlink r:id="rId15" w:history="1">
              <w:r w:rsidRPr="00EB0939">
                <w:t>38 CFR 3.272(h)(1)(ii)</w:t>
              </w:r>
            </w:hyperlink>
            <w:r w:rsidRPr="00EB0939">
              <w:t>, deduct just debts only when the debts are those of a Veteran and they are paid by a surviving spouse or child claimant.</w:t>
            </w:r>
            <w:r w:rsidRPr="00EB0939">
              <w:rPr>
                <w:rFonts w:ascii="Arial" w:hAnsi="Arial" w:cs="Arial"/>
              </w:rPr>
              <w:t>​</w:t>
            </w:r>
          </w:p>
          <w:p w14:paraId="6390A626" w14:textId="103A0063" w:rsidR="00F741FA" w:rsidRPr="0041489C" w:rsidRDefault="00B062F7" w:rsidP="00B062F7">
            <w:pPr>
              <w:pStyle w:val="VBAILTbullet1"/>
            </w:pPr>
            <w:r w:rsidRPr="00EB0939">
              <w:t>Payments of unsecured debts incurred solely by the Veteran and debts incurred jointly by the Veteran and surviving spouse, for other than the purchase of real or personal</w:t>
            </w:r>
            <w:r>
              <w:t xml:space="preserve"> </w:t>
            </w:r>
            <w:r w:rsidRPr="00EB0939">
              <w:t>property, are deductible as just debts.</w:t>
            </w:r>
          </w:p>
        </w:tc>
        <w:tc>
          <w:tcPr>
            <w:tcW w:w="5976" w:type="dxa"/>
            <w:tcBorders>
              <w:left w:val="dashSmallGap" w:sz="4" w:space="0" w:color="auto"/>
            </w:tcBorders>
          </w:tcPr>
          <w:p w14:paraId="056CC666" w14:textId="3CFE33A0" w:rsidR="00F741FA" w:rsidRPr="0041489C" w:rsidRDefault="00F741FA" w:rsidP="00DB17F8">
            <w:pPr>
              <w:pStyle w:val="VBAILTBody"/>
            </w:pPr>
          </w:p>
        </w:tc>
      </w:tr>
      <w:tr w:rsidR="0041489C" w:rsidRPr="0041489C" w14:paraId="26019DD1" w14:textId="77777777" w:rsidTr="00DB17F8">
        <w:trPr>
          <w:cantSplit/>
          <w:jc w:val="center"/>
        </w:trPr>
        <w:tc>
          <w:tcPr>
            <w:tcW w:w="4104" w:type="dxa"/>
            <w:tcBorders>
              <w:right w:val="dashSmallGap" w:sz="4" w:space="0" w:color="auto"/>
            </w:tcBorders>
          </w:tcPr>
          <w:p w14:paraId="014EE248" w14:textId="77777777" w:rsidR="00B062F7" w:rsidRDefault="00B062F7" w:rsidP="00B062F7">
            <w:pPr>
              <w:pStyle w:val="VBAILTBody"/>
              <w:rPr>
                <w:b/>
              </w:rPr>
            </w:pPr>
            <w:r>
              <w:rPr>
                <w:b/>
              </w:rPr>
              <w:lastRenderedPageBreak/>
              <w:t>Just Debts (2 of 2)</w:t>
            </w:r>
          </w:p>
          <w:p w14:paraId="4A4B94A2" w14:textId="77777777" w:rsidR="00B062F7" w:rsidRPr="00BA05EA" w:rsidRDefault="00B062F7" w:rsidP="00B062F7">
            <w:pPr>
              <w:pStyle w:val="VBAILTBody"/>
              <w:rPr>
                <w:b/>
              </w:rPr>
            </w:pPr>
            <w:r w:rsidRPr="00BA05EA">
              <w:rPr>
                <w:b/>
                <w:bCs/>
                <w:i/>
                <w:iCs/>
                <w:u w:val="single"/>
              </w:rPr>
              <w:t>Just debts of the Veteran</w:t>
            </w:r>
            <w:r w:rsidRPr="00BA05EA">
              <w:rPr>
                <w:rFonts w:ascii="Arial" w:hAnsi="Arial" w:cs="Arial"/>
                <w:b/>
              </w:rPr>
              <w:t>​</w:t>
            </w:r>
          </w:p>
          <w:p w14:paraId="5091F8B2" w14:textId="77777777" w:rsidR="00B062F7" w:rsidRPr="00EB0939" w:rsidRDefault="00B062F7" w:rsidP="00B062F7">
            <w:pPr>
              <w:pStyle w:val="VBAILTbullet1"/>
            </w:pPr>
            <w:r w:rsidRPr="00EB0939">
              <w:t xml:space="preserve">Payments of secured debts incurred jointly by the Veteran and surviving spouse for the purchase of real or personal property are not deductible as just debts.  This includes payments on home and car </w:t>
            </w:r>
            <w:r w:rsidRPr="00BA05EA">
              <w:t>loans.</w:t>
            </w:r>
            <w:r w:rsidRPr="00BA05EA">
              <w:rPr>
                <w:rFonts w:ascii="Arial" w:hAnsi="Arial" w:cs="Arial"/>
              </w:rPr>
              <w:t xml:space="preserve"> ​</w:t>
            </w:r>
          </w:p>
          <w:p w14:paraId="0AFEB4E9" w14:textId="77777777" w:rsidR="00B062F7" w:rsidRPr="00BA05EA" w:rsidRDefault="00B062F7" w:rsidP="00B062F7">
            <w:pPr>
              <w:pStyle w:val="VBAILTBody"/>
              <w:rPr>
                <w:b/>
              </w:rPr>
            </w:pPr>
            <w:r w:rsidRPr="00BA05EA">
              <w:rPr>
                <w:b/>
                <w:i/>
                <w:iCs/>
              </w:rPr>
              <w:t>Notes: </w:t>
            </w:r>
            <w:r w:rsidRPr="00BA05EA">
              <w:rPr>
                <w:rFonts w:ascii="Arial" w:hAnsi="Arial" w:cs="Arial"/>
                <w:b/>
              </w:rPr>
              <w:t>​</w:t>
            </w:r>
          </w:p>
          <w:p w14:paraId="112D8277" w14:textId="77777777" w:rsidR="00B062F7" w:rsidRPr="00EB0939" w:rsidRDefault="00B062F7" w:rsidP="00B062F7">
            <w:pPr>
              <w:pStyle w:val="VBAILTbullet1"/>
            </w:pPr>
            <w:r w:rsidRPr="00EB0939">
              <w:t xml:space="preserve">Just debts of the Veteran paid during the Veteran’s lifetime cannot be deducted as a final </w:t>
            </w:r>
            <w:r w:rsidRPr="00BA05EA">
              <w:t>expense.</w:t>
            </w:r>
            <w:r w:rsidRPr="00BA05EA">
              <w:rPr>
                <w:rFonts w:ascii="Arial" w:hAnsi="Arial" w:cs="Arial"/>
              </w:rPr>
              <w:t xml:space="preserve"> ​</w:t>
            </w:r>
          </w:p>
          <w:p w14:paraId="2AF96BC9" w14:textId="0C6537E9" w:rsidR="00F741FA" w:rsidRPr="0041489C" w:rsidRDefault="00B062F7" w:rsidP="00DB17F8">
            <w:pPr>
              <w:pStyle w:val="VBAILTbullet1"/>
            </w:pPr>
            <w:r w:rsidRPr="00EB0939">
              <w:t>If a deceased Veteran’s medical expenses are not deductible as final expenses, consider the possibility of deducting the expenses as just debts of the Veteran.</w:t>
            </w:r>
          </w:p>
        </w:tc>
        <w:tc>
          <w:tcPr>
            <w:tcW w:w="5976" w:type="dxa"/>
            <w:tcBorders>
              <w:left w:val="dashSmallGap" w:sz="4" w:space="0" w:color="auto"/>
            </w:tcBorders>
          </w:tcPr>
          <w:p w14:paraId="2E62F945" w14:textId="7DD2860D" w:rsidR="00F741FA" w:rsidRPr="0041489C" w:rsidRDefault="00F741FA" w:rsidP="00DB17F8">
            <w:pPr>
              <w:pStyle w:val="VBAILTBody"/>
              <w:rPr>
                <w:rStyle w:val="Strong"/>
              </w:rPr>
            </w:pPr>
          </w:p>
        </w:tc>
      </w:tr>
      <w:tr w:rsidR="00B062F7" w:rsidRPr="0041489C" w14:paraId="1D931D06" w14:textId="77777777" w:rsidTr="00DB17F8">
        <w:trPr>
          <w:cantSplit/>
          <w:jc w:val="center"/>
        </w:trPr>
        <w:tc>
          <w:tcPr>
            <w:tcW w:w="4104" w:type="dxa"/>
            <w:tcBorders>
              <w:right w:val="dashSmallGap" w:sz="4" w:space="0" w:color="auto"/>
            </w:tcBorders>
          </w:tcPr>
          <w:p w14:paraId="2FCD37F0" w14:textId="77777777" w:rsidR="00B062F7" w:rsidRPr="00BF10BD" w:rsidRDefault="00B062F7" w:rsidP="00B062F7">
            <w:pPr>
              <w:pStyle w:val="VBAILTBody"/>
              <w:rPr>
                <w:rStyle w:val="Strong"/>
              </w:rPr>
            </w:pPr>
            <w:r w:rsidRPr="00BF10BD">
              <w:rPr>
                <w:rStyle w:val="Strong"/>
              </w:rPr>
              <w:t>Processing Final Expense Deductions</w:t>
            </w:r>
          </w:p>
          <w:p w14:paraId="6EE7B3F9" w14:textId="77777777" w:rsidR="00B062F7" w:rsidRPr="00BF10BD" w:rsidRDefault="00B062F7" w:rsidP="00B062F7">
            <w:pPr>
              <w:pStyle w:val="VBAILTbullet1"/>
            </w:pPr>
            <w:r w:rsidRPr="00BF10BD">
              <w:t>Final expenses are deducted dollar-for-dollar during the calendar year (or initial year) during which they are paid</w:t>
            </w:r>
          </w:p>
          <w:p w14:paraId="49F043BA" w14:textId="317D5EA2" w:rsidR="00B062F7" w:rsidRPr="00BF10BD" w:rsidRDefault="00B062F7" w:rsidP="00B062F7">
            <w:pPr>
              <w:pStyle w:val="VBAILTbullet1"/>
            </w:pPr>
            <w:r w:rsidRPr="00BF10BD">
              <w:t xml:space="preserve">Exceptions </w:t>
            </w:r>
            <w:r>
              <w:t xml:space="preserve">M21-1 </w:t>
            </w:r>
            <w:r w:rsidR="009F69D7">
              <w:t>IX</w:t>
            </w:r>
            <w:r>
              <w:t>.iii.1.K.2.a</w:t>
            </w:r>
          </w:p>
          <w:p w14:paraId="1EA6B853" w14:textId="1A2D3514" w:rsidR="00B062F7" w:rsidRPr="00B062F7" w:rsidRDefault="00B062F7" w:rsidP="00B062F7">
            <w:pPr>
              <w:pStyle w:val="VBAILTbullet1"/>
            </w:pPr>
            <w:r w:rsidRPr="00BF10BD">
              <w:t>Examples</w:t>
            </w:r>
            <w:r>
              <w:t xml:space="preserve"> M21-1 </w:t>
            </w:r>
            <w:r w:rsidR="009F69D7">
              <w:t>IX</w:t>
            </w:r>
            <w:r>
              <w:t>.iii.1.K.2.b-g</w:t>
            </w:r>
          </w:p>
        </w:tc>
        <w:tc>
          <w:tcPr>
            <w:tcW w:w="5976" w:type="dxa"/>
            <w:tcBorders>
              <w:left w:val="dashSmallGap" w:sz="4" w:space="0" w:color="auto"/>
            </w:tcBorders>
          </w:tcPr>
          <w:p w14:paraId="7CF9FE06" w14:textId="77777777" w:rsidR="00B062F7" w:rsidRPr="0041489C" w:rsidRDefault="00B062F7" w:rsidP="00DB17F8">
            <w:pPr>
              <w:pStyle w:val="VBAILTBody"/>
              <w:rPr>
                <w:rStyle w:val="Strong"/>
              </w:rPr>
            </w:pPr>
          </w:p>
        </w:tc>
      </w:tr>
      <w:tr w:rsidR="00B062F7" w:rsidRPr="0041489C" w14:paraId="253CFE13" w14:textId="77777777" w:rsidTr="00DB17F8">
        <w:trPr>
          <w:cantSplit/>
          <w:jc w:val="center"/>
        </w:trPr>
        <w:tc>
          <w:tcPr>
            <w:tcW w:w="4104" w:type="dxa"/>
            <w:tcBorders>
              <w:right w:val="dashSmallGap" w:sz="4" w:space="0" w:color="auto"/>
            </w:tcBorders>
          </w:tcPr>
          <w:p w14:paraId="46B0E9AB" w14:textId="77777777" w:rsidR="00B062F7" w:rsidRDefault="00B062F7" w:rsidP="00B062F7">
            <w:pPr>
              <w:pStyle w:val="VBAILTBody"/>
              <w:rPr>
                <w:rStyle w:val="Strong"/>
              </w:rPr>
            </w:pPr>
            <w:r>
              <w:rPr>
                <w:rStyle w:val="Strong"/>
              </w:rPr>
              <w:lastRenderedPageBreak/>
              <w:t>Final Expenses and Joint Accounts</w:t>
            </w:r>
          </w:p>
          <w:p w14:paraId="0C012316" w14:textId="77777777" w:rsidR="00B062F7" w:rsidRPr="00EB0939" w:rsidRDefault="00B062F7" w:rsidP="00B062F7">
            <w:pPr>
              <w:pStyle w:val="VBAILTbullet1"/>
            </w:pPr>
            <w:r w:rsidRPr="00EB0939">
              <w:t>If the evidence establishes that payment was made from the claimant’s separate funds or from a joint account with the claimant and another person, consider the expenses to have been paid by the claimant. </w:t>
            </w:r>
          </w:p>
          <w:p w14:paraId="1FC9FE0A" w14:textId="22ABADEE" w:rsidR="00B062F7" w:rsidRPr="00BF10BD" w:rsidRDefault="00B062F7" w:rsidP="00B062F7">
            <w:pPr>
              <w:pStyle w:val="VBAILTbullet1"/>
              <w:rPr>
                <w:rStyle w:val="Strong"/>
              </w:rPr>
            </w:pPr>
            <w:r w:rsidRPr="00EB0939">
              <w:t>If a final expense deduction is allowed, and the beneficiary subsequently receives reimbursement for some or all expenses, recalculate IVAP for the period over which the deduction was allowed to remove those expenses for which reimbursement was received.</w:t>
            </w:r>
          </w:p>
        </w:tc>
        <w:tc>
          <w:tcPr>
            <w:tcW w:w="5976" w:type="dxa"/>
            <w:tcBorders>
              <w:left w:val="dashSmallGap" w:sz="4" w:space="0" w:color="auto"/>
            </w:tcBorders>
          </w:tcPr>
          <w:p w14:paraId="2323889F" w14:textId="77777777" w:rsidR="00B062F7" w:rsidRPr="0041489C" w:rsidRDefault="00B062F7" w:rsidP="00DB17F8">
            <w:pPr>
              <w:pStyle w:val="VBAILTBody"/>
              <w:rPr>
                <w:rStyle w:val="Strong"/>
              </w:rPr>
            </w:pPr>
          </w:p>
        </w:tc>
      </w:tr>
      <w:tr w:rsidR="00B062F7" w:rsidRPr="0041489C" w14:paraId="1E885476" w14:textId="77777777" w:rsidTr="00DB17F8">
        <w:trPr>
          <w:cantSplit/>
          <w:jc w:val="center"/>
        </w:trPr>
        <w:tc>
          <w:tcPr>
            <w:tcW w:w="4104" w:type="dxa"/>
            <w:tcBorders>
              <w:right w:val="dashSmallGap" w:sz="4" w:space="0" w:color="auto"/>
            </w:tcBorders>
          </w:tcPr>
          <w:p w14:paraId="1044E0C8" w14:textId="1CAF6259" w:rsidR="00B062F7" w:rsidRPr="00BF10BD" w:rsidRDefault="00B062F7" w:rsidP="00B062F7">
            <w:pPr>
              <w:pStyle w:val="VBAILTBodyStrong"/>
            </w:pPr>
            <w:r w:rsidRPr="00BF10BD">
              <w:t>Education Expenses</w:t>
            </w:r>
            <w:r w:rsidR="00402811">
              <w:t xml:space="preserve"> (1 of 4)</w:t>
            </w:r>
          </w:p>
          <w:p w14:paraId="3D70162C" w14:textId="77777777" w:rsidR="00B062F7" w:rsidRPr="00BF10BD" w:rsidRDefault="00B062F7" w:rsidP="00B062F7">
            <w:pPr>
              <w:pStyle w:val="VBAILTbullet1"/>
            </w:pPr>
            <w:r w:rsidRPr="00BF10BD">
              <w:t>38 CFR 3.272.i (Educational Expenses)</w:t>
            </w:r>
          </w:p>
          <w:p w14:paraId="100F74B2" w14:textId="21C3092E" w:rsidR="00B062F7" w:rsidRPr="00BF10BD" w:rsidRDefault="00B062F7" w:rsidP="00B062F7">
            <w:pPr>
              <w:pStyle w:val="VBAILTbullet1"/>
            </w:pPr>
            <w:r w:rsidRPr="00BF10BD">
              <w:t xml:space="preserve">M21-1 </w:t>
            </w:r>
            <w:r w:rsidR="009F69D7">
              <w:t>IX</w:t>
            </w:r>
            <w:r w:rsidRPr="00BF10BD">
              <w:t>.iii.1.</w:t>
            </w:r>
            <w:r>
              <w:t>K.3</w:t>
            </w:r>
            <w:r w:rsidRPr="00BF10BD">
              <w:t xml:space="preserve"> (Educational Expense Deductions)</w:t>
            </w:r>
          </w:p>
          <w:p w14:paraId="3BFC9AEB" w14:textId="77777777" w:rsidR="00B062F7" w:rsidRPr="00BF10BD" w:rsidRDefault="00B062F7" w:rsidP="00B062F7">
            <w:pPr>
              <w:pStyle w:val="VBAILTBullet2"/>
            </w:pPr>
            <w:r w:rsidRPr="00BF10BD">
              <w:t>Paid by Veteran or surviving spouse</w:t>
            </w:r>
          </w:p>
          <w:p w14:paraId="64D0036F" w14:textId="77777777" w:rsidR="00B062F7" w:rsidRPr="00BF10BD" w:rsidRDefault="00B062F7" w:rsidP="00B062F7">
            <w:pPr>
              <w:pStyle w:val="VBAILTBullet2"/>
            </w:pPr>
            <w:r w:rsidRPr="00BF10BD">
              <w:t>Paid for education expense of the Veteran or surviving spouse</w:t>
            </w:r>
          </w:p>
          <w:p w14:paraId="2C34AFA1" w14:textId="29678125" w:rsidR="00B062F7" w:rsidRPr="00B062F7" w:rsidRDefault="00B062F7" w:rsidP="00B062F7">
            <w:pPr>
              <w:pStyle w:val="VBAILTbullet1"/>
              <w:rPr>
                <w:rStyle w:val="Strong"/>
                <w:b w:val="0"/>
                <w:bCs w:val="0"/>
              </w:rPr>
            </w:pPr>
            <w:r w:rsidRPr="00BF10BD">
              <w:t xml:space="preserve">M21-1 </w:t>
            </w:r>
            <w:r w:rsidR="009F69D7">
              <w:t>IX</w:t>
            </w:r>
            <w:r w:rsidRPr="00BF10BD">
              <w:t>.iii.1.</w:t>
            </w:r>
            <w:r>
              <w:t>K.4.d</w:t>
            </w:r>
            <w:r w:rsidRPr="00BF10BD">
              <w:t xml:space="preserve"> (Deducting a Child's Postsecondary Education Expenses)</w:t>
            </w:r>
          </w:p>
        </w:tc>
        <w:tc>
          <w:tcPr>
            <w:tcW w:w="5976" w:type="dxa"/>
            <w:tcBorders>
              <w:left w:val="dashSmallGap" w:sz="4" w:space="0" w:color="auto"/>
            </w:tcBorders>
          </w:tcPr>
          <w:p w14:paraId="7C428229" w14:textId="77777777" w:rsidR="00B062F7" w:rsidRPr="0041489C" w:rsidRDefault="00B062F7" w:rsidP="00DB17F8">
            <w:pPr>
              <w:pStyle w:val="VBAILTBody"/>
              <w:rPr>
                <w:rStyle w:val="Strong"/>
              </w:rPr>
            </w:pPr>
          </w:p>
        </w:tc>
      </w:tr>
      <w:tr w:rsidR="00B062F7" w:rsidRPr="0041489C" w14:paraId="7D3B98B1" w14:textId="77777777" w:rsidTr="00DB17F8">
        <w:trPr>
          <w:cantSplit/>
          <w:jc w:val="center"/>
        </w:trPr>
        <w:tc>
          <w:tcPr>
            <w:tcW w:w="4104" w:type="dxa"/>
            <w:tcBorders>
              <w:right w:val="dashSmallGap" w:sz="4" w:space="0" w:color="auto"/>
            </w:tcBorders>
          </w:tcPr>
          <w:p w14:paraId="127CD61B" w14:textId="3433DAD2" w:rsidR="00B062F7" w:rsidRDefault="00B062F7" w:rsidP="00B062F7">
            <w:pPr>
              <w:pStyle w:val="VBAILTBodyStrong"/>
            </w:pPr>
            <w:r>
              <w:lastRenderedPageBreak/>
              <w:t>Education Expenses (</w:t>
            </w:r>
            <w:r w:rsidR="00402811">
              <w:t>2 of 4</w:t>
            </w:r>
            <w:r>
              <w:t>)</w:t>
            </w:r>
          </w:p>
          <w:p w14:paraId="5A2E7664" w14:textId="77777777" w:rsidR="00B062F7" w:rsidRPr="00EB0939" w:rsidRDefault="00B062F7" w:rsidP="00B062F7">
            <w:pPr>
              <w:pStyle w:val="VBAILTBodyStrong"/>
              <w:rPr>
                <w:b w:val="0"/>
                <w:bCs/>
              </w:rPr>
            </w:pPr>
            <w:r w:rsidRPr="00EB0939">
              <w:rPr>
                <w:b w:val="0"/>
                <w:bCs/>
              </w:rPr>
              <w:t>Allow a deduction for the unreimbursed expenses for a Veteran or surviving spouse pursuing a course of education or vocational rehabilitation, per </w:t>
            </w:r>
            <w:hyperlink r:id="rId16" w:history="1">
              <w:r w:rsidRPr="00EB0939">
                <w:rPr>
                  <w:rStyle w:val="Hyperlink"/>
                  <w:b w:val="0"/>
                  <w:bCs/>
                </w:rPr>
                <w:t>38 CFR 3.272(</w:t>
              </w:r>
              <w:proofErr w:type="spellStart"/>
              <w:r w:rsidRPr="00EB0939">
                <w:rPr>
                  <w:rStyle w:val="Hyperlink"/>
                  <w:b w:val="0"/>
                  <w:bCs/>
                </w:rPr>
                <w:t>i</w:t>
              </w:r>
              <w:proofErr w:type="spellEnd"/>
              <w:r w:rsidRPr="00EB0939">
                <w:rPr>
                  <w:rStyle w:val="Hyperlink"/>
                  <w:b w:val="0"/>
                  <w:bCs/>
                </w:rPr>
                <w:t>)</w:t>
              </w:r>
            </w:hyperlink>
            <w:r w:rsidRPr="00EB0939">
              <w:rPr>
                <w:b w:val="0"/>
                <w:bCs/>
              </w:rPr>
              <w:t>. </w:t>
            </w:r>
            <w:r w:rsidRPr="00EB0939">
              <w:rPr>
                <w:rFonts w:ascii="Arial" w:hAnsi="Arial" w:cs="Arial"/>
                <w:b w:val="0"/>
                <w:bCs/>
              </w:rPr>
              <w:t>​</w:t>
            </w:r>
          </w:p>
          <w:p w14:paraId="4380B717" w14:textId="77777777" w:rsidR="00B062F7" w:rsidRPr="00EB0939" w:rsidRDefault="00B062F7" w:rsidP="00B062F7">
            <w:pPr>
              <w:pStyle w:val="VBAILTBodyStrong"/>
              <w:rPr>
                <w:b w:val="0"/>
                <w:bCs/>
              </w:rPr>
            </w:pPr>
            <w:r w:rsidRPr="00EB0939">
              <w:rPr>
                <w:b w:val="0"/>
                <w:bCs/>
              </w:rPr>
              <w:t>Deductible expenses include amounts paid for</w:t>
            </w:r>
            <w:r w:rsidRPr="00EB0939">
              <w:rPr>
                <w:rFonts w:ascii="Arial" w:hAnsi="Arial" w:cs="Arial"/>
                <w:b w:val="0"/>
                <w:bCs/>
              </w:rPr>
              <w:t>​</w:t>
            </w:r>
          </w:p>
          <w:p w14:paraId="3BFCC240" w14:textId="77777777" w:rsidR="00B062F7" w:rsidRPr="00BD5A31" w:rsidRDefault="00B062F7" w:rsidP="00B062F7">
            <w:pPr>
              <w:pStyle w:val="VBAILTbullet1"/>
              <w:rPr>
                <w:bCs/>
              </w:rPr>
            </w:pPr>
            <w:r w:rsidRPr="00BD5A31">
              <w:rPr>
                <w:bCs/>
              </w:rPr>
              <w:t>tuition</w:t>
            </w:r>
            <w:r w:rsidRPr="00BD5A31">
              <w:rPr>
                <w:rFonts w:ascii="Arial" w:hAnsi="Arial" w:cs="Arial"/>
                <w:bCs/>
              </w:rPr>
              <w:t>​</w:t>
            </w:r>
          </w:p>
          <w:p w14:paraId="6AB4E35E" w14:textId="77777777" w:rsidR="00B062F7" w:rsidRPr="00C55151" w:rsidRDefault="00B062F7" w:rsidP="00B062F7">
            <w:pPr>
              <w:pStyle w:val="VBAILTbullet1"/>
              <w:rPr>
                <w:bCs/>
              </w:rPr>
            </w:pPr>
            <w:r w:rsidRPr="00C55151">
              <w:rPr>
                <w:bCs/>
              </w:rPr>
              <w:t>fees</w:t>
            </w:r>
            <w:r w:rsidRPr="00C55151">
              <w:rPr>
                <w:rFonts w:ascii="Arial" w:hAnsi="Arial" w:cs="Arial"/>
                <w:bCs/>
              </w:rPr>
              <w:t>​</w:t>
            </w:r>
          </w:p>
          <w:p w14:paraId="38839059" w14:textId="77777777" w:rsidR="00B062F7" w:rsidRDefault="00B062F7" w:rsidP="00B062F7">
            <w:pPr>
              <w:pStyle w:val="VBAILTbullet1"/>
              <w:rPr>
                <w:bCs/>
              </w:rPr>
            </w:pPr>
            <w:r w:rsidRPr="00EB0939">
              <w:rPr>
                <w:bCs/>
              </w:rPr>
              <w:t>books</w:t>
            </w:r>
            <w:r>
              <w:rPr>
                <w:bCs/>
              </w:rPr>
              <w:t xml:space="preserve"> </w:t>
            </w:r>
          </w:p>
          <w:p w14:paraId="2A458232" w14:textId="77777777" w:rsidR="00B062F7" w:rsidRDefault="00B062F7" w:rsidP="00B062F7">
            <w:pPr>
              <w:pStyle w:val="VBAILTbullet1"/>
              <w:rPr>
                <w:bCs/>
              </w:rPr>
            </w:pPr>
            <w:r w:rsidRPr="00EB0939">
              <w:rPr>
                <w:bCs/>
              </w:rPr>
              <w:t>necessary materials</w:t>
            </w:r>
            <w:r>
              <w:rPr>
                <w:bCs/>
              </w:rPr>
              <w:t xml:space="preserve">, and </w:t>
            </w:r>
          </w:p>
          <w:p w14:paraId="47A0862A" w14:textId="77777777" w:rsidR="00B062F7" w:rsidRPr="00EB0939" w:rsidRDefault="00B062F7" w:rsidP="00B062F7">
            <w:pPr>
              <w:pStyle w:val="VBAILTbullet1"/>
              <w:rPr>
                <w:bCs/>
              </w:rPr>
            </w:pPr>
            <w:r>
              <w:rPr>
                <w:bCs/>
              </w:rPr>
              <w:t>Unusual transportation (if requirements are met).</w:t>
            </w:r>
          </w:p>
          <w:p w14:paraId="35986FFF" w14:textId="339D01F5" w:rsidR="00B062F7" w:rsidRPr="00B062F7" w:rsidRDefault="00B062F7" w:rsidP="00B062F7">
            <w:pPr>
              <w:pStyle w:val="VBAILTBodyStrong"/>
              <w:rPr>
                <w:b w:val="0"/>
                <w:bCs/>
              </w:rPr>
            </w:pPr>
            <w:r w:rsidRPr="00DF7347">
              <w:rPr>
                <w:i/>
                <w:iCs/>
              </w:rPr>
              <w:t>Note</w:t>
            </w:r>
            <w:r w:rsidRPr="00C55151">
              <w:t>:</w:t>
            </w:r>
            <w:r w:rsidRPr="00EB0939">
              <w:rPr>
                <w:b w:val="0"/>
                <w:bCs/>
              </w:rPr>
              <w:t>  There is no requirement that the course of education or vocational rehabilitation be approved for VA educational benefits.</w:t>
            </w:r>
          </w:p>
        </w:tc>
        <w:tc>
          <w:tcPr>
            <w:tcW w:w="5976" w:type="dxa"/>
            <w:tcBorders>
              <w:left w:val="dashSmallGap" w:sz="4" w:space="0" w:color="auto"/>
            </w:tcBorders>
          </w:tcPr>
          <w:p w14:paraId="340D4C79" w14:textId="77777777" w:rsidR="00B062F7" w:rsidRPr="0041489C" w:rsidRDefault="00B062F7" w:rsidP="00DB17F8">
            <w:pPr>
              <w:pStyle w:val="VBAILTBody"/>
              <w:rPr>
                <w:rStyle w:val="Strong"/>
              </w:rPr>
            </w:pPr>
          </w:p>
        </w:tc>
      </w:tr>
      <w:tr w:rsidR="00B062F7" w:rsidRPr="0041489C" w14:paraId="7E219AF3" w14:textId="77777777" w:rsidTr="00DB17F8">
        <w:trPr>
          <w:cantSplit/>
          <w:jc w:val="center"/>
        </w:trPr>
        <w:tc>
          <w:tcPr>
            <w:tcW w:w="4104" w:type="dxa"/>
            <w:tcBorders>
              <w:right w:val="dashSmallGap" w:sz="4" w:space="0" w:color="auto"/>
            </w:tcBorders>
          </w:tcPr>
          <w:p w14:paraId="2BEAEBB4" w14:textId="7018294B" w:rsidR="00B062F7" w:rsidRDefault="00B062F7" w:rsidP="00B062F7">
            <w:pPr>
              <w:pStyle w:val="VBAILTBodyStrong"/>
            </w:pPr>
            <w:r>
              <w:t>Education Expenses (</w:t>
            </w:r>
            <w:r w:rsidR="00402811">
              <w:t>3 of 4</w:t>
            </w:r>
            <w:r>
              <w:t>)</w:t>
            </w:r>
          </w:p>
          <w:p w14:paraId="6E613586" w14:textId="77777777" w:rsidR="00B062F7" w:rsidRPr="00C55151" w:rsidRDefault="00B062F7" w:rsidP="00B062F7">
            <w:pPr>
              <w:pStyle w:val="VBAILTBodyStrong"/>
            </w:pPr>
            <w:r w:rsidRPr="00C55151">
              <w:rPr>
                <w:bCs/>
                <w:i/>
                <w:iCs/>
                <w:u w:val="single"/>
              </w:rPr>
              <w:t>Child’s Postsecondary Education Expenses </w:t>
            </w:r>
            <w:r w:rsidRPr="00C55151">
              <w:rPr>
                <w:rFonts w:ascii="Arial" w:hAnsi="Arial" w:cs="Arial"/>
              </w:rPr>
              <w:t>​</w:t>
            </w:r>
          </w:p>
          <w:p w14:paraId="41DF3D5E" w14:textId="224F4D6B" w:rsidR="00B062F7" w:rsidRDefault="00B062F7" w:rsidP="00B062F7">
            <w:pPr>
              <w:pStyle w:val="VBAILTBodyStrong"/>
            </w:pPr>
            <w:r w:rsidRPr="00EB0939">
              <w:rPr>
                <w:b w:val="0"/>
                <w:bCs/>
              </w:rPr>
              <w:t>A child’s postsecondary education expense deduction applies only when a child has earned income in excess of the amount deducted under </w:t>
            </w:r>
            <w:hyperlink r:id="rId17" w:history="1">
              <w:r w:rsidRPr="00EB0939">
                <w:rPr>
                  <w:rStyle w:val="Hyperlink"/>
                  <w:b w:val="0"/>
                  <w:bCs/>
                </w:rPr>
                <w:t>38 CFR 3.272(j)(1)</w:t>
              </w:r>
            </w:hyperlink>
            <w:r w:rsidRPr="00EB0939">
              <w:rPr>
                <w:b w:val="0"/>
                <w:bCs/>
              </w:rPr>
              <w:t>.  The educational expense deduction may not exceed the net amount of the child’s earnings after the child’s earned income deduction.</w:t>
            </w:r>
          </w:p>
        </w:tc>
        <w:tc>
          <w:tcPr>
            <w:tcW w:w="5976" w:type="dxa"/>
            <w:tcBorders>
              <w:left w:val="dashSmallGap" w:sz="4" w:space="0" w:color="auto"/>
            </w:tcBorders>
          </w:tcPr>
          <w:p w14:paraId="2C4214B8" w14:textId="77777777" w:rsidR="00B062F7" w:rsidRPr="0041489C" w:rsidRDefault="00B062F7" w:rsidP="00B062F7">
            <w:pPr>
              <w:pStyle w:val="VBAILTBody"/>
              <w:rPr>
                <w:rStyle w:val="Strong"/>
              </w:rPr>
            </w:pPr>
          </w:p>
        </w:tc>
      </w:tr>
      <w:tr w:rsidR="00B062F7" w:rsidRPr="0041489C" w14:paraId="1D3122F2" w14:textId="77777777" w:rsidTr="00DB17F8">
        <w:trPr>
          <w:cantSplit/>
          <w:jc w:val="center"/>
        </w:trPr>
        <w:tc>
          <w:tcPr>
            <w:tcW w:w="4104" w:type="dxa"/>
            <w:tcBorders>
              <w:right w:val="dashSmallGap" w:sz="4" w:space="0" w:color="auto"/>
            </w:tcBorders>
          </w:tcPr>
          <w:p w14:paraId="2066EA78" w14:textId="39C02779" w:rsidR="00B062F7" w:rsidRDefault="00B062F7" w:rsidP="00B062F7">
            <w:pPr>
              <w:pStyle w:val="VBAILTBodyStrong"/>
            </w:pPr>
            <w:r>
              <w:lastRenderedPageBreak/>
              <w:t>Education Expenses (</w:t>
            </w:r>
            <w:r w:rsidR="00402811">
              <w:t>4 of 4</w:t>
            </w:r>
            <w:r>
              <w:t>)</w:t>
            </w:r>
          </w:p>
          <w:p w14:paraId="273DCFB8" w14:textId="77777777" w:rsidR="00B062F7" w:rsidRPr="00C55151" w:rsidRDefault="00B062F7" w:rsidP="00B062F7">
            <w:pPr>
              <w:pStyle w:val="VBAILTBodyStrong"/>
            </w:pPr>
            <w:r w:rsidRPr="00C55151">
              <w:rPr>
                <w:bCs/>
                <w:i/>
                <w:iCs/>
                <w:u w:val="single"/>
              </w:rPr>
              <w:t>Child’s Postsecondary Education Expenses </w:t>
            </w:r>
            <w:r w:rsidRPr="00C55151">
              <w:rPr>
                <w:rFonts w:ascii="Arial" w:hAnsi="Arial" w:cs="Arial"/>
              </w:rPr>
              <w:t>​</w:t>
            </w:r>
          </w:p>
          <w:p w14:paraId="09569353" w14:textId="77777777" w:rsidR="00B062F7" w:rsidRPr="00EB0939" w:rsidRDefault="00B062F7" w:rsidP="00B062F7">
            <w:pPr>
              <w:pStyle w:val="VBAILTBodyStrong"/>
              <w:rPr>
                <w:b w:val="0"/>
                <w:bCs/>
              </w:rPr>
            </w:pPr>
            <w:r w:rsidRPr="00EB0939">
              <w:rPr>
                <w:b w:val="0"/>
                <w:bCs/>
              </w:rPr>
              <w:t>The postsecondary educational expense deduction </w:t>
            </w:r>
            <w:r w:rsidRPr="00C55151">
              <w:rPr>
                <w:b w:val="0"/>
                <w:bCs/>
              </w:rPr>
              <w:t>applies:</w:t>
            </w:r>
            <w:r w:rsidRPr="00C55151">
              <w:rPr>
                <w:rFonts w:ascii="Arial" w:hAnsi="Arial" w:cs="Arial"/>
                <w:b w:val="0"/>
                <w:bCs/>
              </w:rPr>
              <w:t xml:space="preserve"> ​</w:t>
            </w:r>
          </w:p>
          <w:p w14:paraId="595E8395" w14:textId="77777777" w:rsidR="00B062F7" w:rsidRPr="00DF7347" w:rsidRDefault="00B062F7" w:rsidP="00B062F7">
            <w:pPr>
              <w:pStyle w:val="VBAILTbullet1"/>
              <w:rPr>
                <w:bCs/>
              </w:rPr>
            </w:pPr>
            <w:r w:rsidRPr="00C55151">
              <w:rPr>
                <w:bCs/>
              </w:rPr>
              <w:t>only to postsecondary (beyond the high school level) educational or vocational training programs, and</w:t>
            </w:r>
            <w:r w:rsidRPr="003A4836">
              <w:rPr>
                <w:rFonts w:ascii="Arial" w:hAnsi="Arial" w:cs="Arial"/>
                <w:bCs/>
              </w:rPr>
              <w:t>​</w:t>
            </w:r>
          </w:p>
          <w:p w14:paraId="19EAE052" w14:textId="77777777" w:rsidR="00B062F7" w:rsidRPr="00DF7347" w:rsidRDefault="00B062F7" w:rsidP="00B062F7">
            <w:pPr>
              <w:pStyle w:val="VBAILTbullet1"/>
              <w:rPr>
                <w:bCs/>
              </w:rPr>
            </w:pPr>
            <w:r w:rsidRPr="009700C5">
              <w:rPr>
                <w:bCs/>
              </w:rPr>
              <w:t xml:space="preserve">regardless of whether the child is the person entitled or a dependent on a Veteran’s or surviving spouse’s </w:t>
            </w:r>
            <w:r w:rsidRPr="00C55151">
              <w:rPr>
                <w:bCs/>
              </w:rPr>
              <w:t>award.</w:t>
            </w:r>
            <w:r w:rsidRPr="00C55151">
              <w:rPr>
                <w:rFonts w:ascii="Arial" w:hAnsi="Arial" w:cs="Arial"/>
                <w:bCs/>
              </w:rPr>
              <w:t xml:space="preserve"> ​</w:t>
            </w:r>
          </w:p>
          <w:p w14:paraId="3D9A958B" w14:textId="62AC608F" w:rsidR="00B062F7" w:rsidRDefault="00B062F7" w:rsidP="00B062F7">
            <w:pPr>
              <w:pStyle w:val="VBAILTBodyStrong"/>
            </w:pPr>
            <w:r w:rsidRPr="00C55151">
              <w:rPr>
                <w:i/>
                <w:iCs/>
              </w:rPr>
              <w:t>Note</w:t>
            </w:r>
            <w:r w:rsidRPr="00C55151">
              <w:t>:</w:t>
            </w:r>
            <w:r w:rsidRPr="00EB0939">
              <w:rPr>
                <w:b w:val="0"/>
                <w:bCs/>
              </w:rPr>
              <w:t>  Do not deduct amounts paid from scholarships and grants since scholarships and grants are not countable income for pension purposes unless they exceed education expenses.</w:t>
            </w:r>
          </w:p>
        </w:tc>
        <w:tc>
          <w:tcPr>
            <w:tcW w:w="5976" w:type="dxa"/>
            <w:tcBorders>
              <w:left w:val="dashSmallGap" w:sz="4" w:space="0" w:color="auto"/>
            </w:tcBorders>
          </w:tcPr>
          <w:p w14:paraId="6E67BFAC" w14:textId="77777777" w:rsidR="00B062F7" w:rsidRPr="0041489C" w:rsidRDefault="00B062F7" w:rsidP="00B062F7">
            <w:pPr>
              <w:pStyle w:val="VBAILTBody"/>
              <w:rPr>
                <w:rStyle w:val="Strong"/>
              </w:rPr>
            </w:pPr>
          </w:p>
        </w:tc>
      </w:tr>
      <w:tr w:rsidR="00402811" w:rsidRPr="0041489C" w14:paraId="400623EE" w14:textId="77777777" w:rsidTr="00DB17F8">
        <w:trPr>
          <w:cantSplit/>
          <w:jc w:val="center"/>
        </w:trPr>
        <w:tc>
          <w:tcPr>
            <w:tcW w:w="4104" w:type="dxa"/>
            <w:tcBorders>
              <w:right w:val="dashSmallGap" w:sz="4" w:space="0" w:color="auto"/>
            </w:tcBorders>
          </w:tcPr>
          <w:p w14:paraId="64160228" w14:textId="1A793FBE" w:rsidR="00402811" w:rsidRDefault="00CF4DDE" w:rsidP="00402811">
            <w:pPr>
              <w:pStyle w:val="VBAILTBodyStrong"/>
            </w:pPr>
            <w:r>
              <w:t xml:space="preserve">KC - </w:t>
            </w:r>
            <w:r w:rsidR="00402811">
              <w:t>Lesson Summary Review Questions</w:t>
            </w:r>
          </w:p>
          <w:p w14:paraId="13CDBA6C" w14:textId="77777777" w:rsidR="00402811" w:rsidRDefault="00CF4DDE" w:rsidP="00CF4DDE">
            <w:pPr>
              <w:pStyle w:val="VBAILTBodyStrong"/>
            </w:pPr>
            <w:r w:rsidRPr="00CF4DDE">
              <w:rPr>
                <w:noProof/>
              </w:rPr>
              <w:drawing>
                <wp:inline distT="0" distB="0" distL="0" distR="0" wp14:anchorId="02E6AA23" wp14:editId="6619BBD5">
                  <wp:extent cx="2459990" cy="1435100"/>
                  <wp:effectExtent l="0" t="0" r="0" b="0"/>
                  <wp:docPr id="5" name="Content Placeholder 4">
                    <a:extLst xmlns:a="http://schemas.openxmlformats.org/drawingml/2006/main">
                      <a:ext uri="{FF2B5EF4-FFF2-40B4-BE49-F238E27FC236}">
                        <a16:creationId xmlns:a16="http://schemas.microsoft.com/office/drawing/2014/main" id="{BD420382-008D-1571-53BD-1EF8E1AB06D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D420382-008D-1571-53BD-1EF8E1AB06D5}"/>
                              </a:ext>
                            </a:extLst>
                          </pic:cNvPr>
                          <pic:cNvPicPr>
                            <a:picLocks noGrp="1" noChangeAspect="1"/>
                          </pic:cNvPicPr>
                        </pic:nvPicPr>
                        <pic:blipFill>
                          <a:blip r:embed="rId18"/>
                          <a:stretch>
                            <a:fillRect/>
                          </a:stretch>
                        </pic:blipFill>
                        <pic:spPr>
                          <a:xfrm>
                            <a:off x="0" y="0"/>
                            <a:ext cx="2459990" cy="1435100"/>
                          </a:xfrm>
                          <a:prstGeom prst="rect">
                            <a:avLst/>
                          </a:prstGeom>
                        </pic:spPr>
                      </pic:pic>
                    </a:graphicData>
                  </a:graphic>
                </wp:inline>
              </w:drawing>
            </w:r>
          </w:p>
          <w:p w14:paraId="3C5580C5" w14:textId="1957CA15" w:rsidR="00CF4DDE" w:rsidRDefault="00CF4DDE" w:rsidP="00CF4DDE">
            <w:pPr>
              <w:pStyle w:val="VBAILTBodyStrong"/>
            </w:pPr>
            <w:r>
              <w:t>Time Allowed: 15 minutes</w:t>
            </w:r>
          </w:p>
        </w:tc>
        <w:tc>
          <w:tcPr>
            <w:tcW w:w="5976" w:type="dxa"/>
            <w:tcBorders>
              <w:left w:val="dashSmallGap" w:sz="4" w:space="0" w:color="auto"/>
            </w:tcBorders>
          </w:tcPr>
          <w:p w14:paraId="3739D0A5" w14:textId="77777777" w:rsidR="00402811" w:rsidRPr="0041489C" w:rsidRDefault="00402811" w:rsidP="00402811">
            <w:pPr>
              <w:pStyle w:val="VBAILTBody"/>
              <w:rPr>
                <w:rStyle w:val="Strong"/>
              </w:rPr>
            </w:pPr>
          </w:p>
        </w:tc>
      </w:tr>
      <w:tr w:rsidR="00402811" w:rsidRPr="0041489C" w14:paraId="234FCD73" w14:textId="77777777" w:rsidTr="00EA4A23">
        <w:trPr>
          <w:cantSplit/>
          <w:jc w:val="center"/>
        </w:trPr>
        <w:tc>
          <w:tcPr>
            <w:tcW w:w="4104" w:type="dxa"/>
            <w:tcBorders>
              <w:right w:val="dashSmallGap" w:sz="4" w:space="0" w:color="auto"/>
            </w:tcBorders>
          </w:tcPr>
          <w:p w14:paraId="4AFC53AA" w14:textId="77777777" w:rsidR="00402811" w:rsidRDefault="00402811" w:rsidP="00402811">
            <w:pPr>
              <w:pStyle w:val="VBAILTBodyStrong"/>
              <w:rPr>
                <w:rStyle w:val="Strong"/>
                <w:b/>
                <w:bCs w:val="0"/>
              </w:rPr>
            </w:pPr>
            <w:r>
              <w:rPr>
                <w:rStyle w:val="Strong"/>
                <w:b/>
                <w:bCs w:val="0"/>
              </w:rPr>
              <w:t>What’s Next</w:t>
            </w:r>
          </w:p>
          <w:p w14:paraId="5F2AF2BE" w14:textId="786D933A" w:rsidR="00402811" w:rsidRPr="00CF777B" w:rsidRDefault="00402811" w:rsidP="00CF4DDE">
            <w:pPr>
              <w:pStyle w:val="VBAILTBodyStrong"/>
              <w:rPr>
                <w:rStyle w:val="Strong"/>
                <w:b/>
                <w:bCs w:val="0"/>
              </w:rPr>
            </w:pPr>
            <w:r w:rsidRPr="00997E89">
              <w:rPr>
                <w:b w:val="0"/>
                <w:bCs/>
              </w:rPr>
              <w:t>Complete the Selecting Qualifying Expenses course evaluation:</w:t>
            </w:r>
            <w:r w:rsidRPr="00997E89">
              <w:t xml:space="preserve"> </w:t>
            </w:r>
            <w:r w:rsidRPr="00997E89">
              <w:rPr>
                <w:bCs/>
              </w:rPr>
              <w:t>TMS ID # 4408432</w:t>
            </w:r>
          </w:p>
        </w:tc>
        <w:tc>
          <w:tcPr>
            <w:tcW w:w="5976" w:type="dxa"/>
            <w:tcBorders>
              <w:left w:val="dashSmallGap" w:sz="4" w:space="0" w:color="auto"/>
            </w:tcBorders>
          </w:tcPr>
          <w:p w14:paraId="6D2AF041" w14:textId="393526A5" w:rsidR="00402811" w:rsidRPr="0041489C" w:rsidRDefault="00402811" w:rsidP="00402811">
            <w:pPr>
              <w:pStyle w:val="VBAILTBody"/>
              <w:rPr>
                <w:rStyle w:val="Strong"/>
                <w:b w:val="0"/>
                <w:bCs w:val="0"/>
              </w:rPr>
            </w:pPr>
          </w:p>
        </w:tc>
      </w:tr>
    </w:tbl>
    <w:p w14:paraId="46A0A729" w14:textId="17F304A1" w:rsidR="00402811" w:rsidRDefault="00402811">
      <w:pPr>
        <w:rPr>
          <w:rFonts w:ascii="Verdana" w:hAnsi="Verdana"/>
        </w:rPr>
      </w:pPr>
    </w:p>
    <w:sectPr w:rsidR="00402811" w:rsidSect="00280E2B">
      <w:headerReference w:type="default" r:id="rId19"/>
      <w:footerReference w:type="default" r:id="rId20"/>
      <w:headerReference w:type="first" r:id="rId21"/>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CA572" w14:textId="77777777" w:rsidR="00C52145" w:rsidRDefault="00C52145" w:rsidP="00C214A9">
      <w:pPr>
        <w:spacing w:after="0" w:line="240" w:lineRule="auto"/>
      </w:pPr>
      <w:r>
        <w:separator/>
      </w:r>
    </w:p>
  </w:endnote>
  <w:endnote w:type="continuationSeparator" w:id="0">
    <w:p w14:paraId="605C76FD" w14:textId="77777777" w:rsidR="00C52145" w:rsidRDefault="00C52145"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95611" w14:textId="53BC500B" w:rsidR="002714E8" w:rsidRPr="00C214A9" w:rsidRDefault="00E83754" w:rsidP="0024084E">
    <w:pPr>
      <w:pStyle w:val="VBAILTFooter"/>
    </w:pPr>
    <w:r>
      <w:t>June 2024</w:t>
    </w:r>
    <w:r w:rsidR="002714E8">
      <w:tab/>
    </w:r>
    <w:r w:rsidR="002714E8" w:rsidRPr="00C214A9">
      <w:fldChar w:fldCharType="begin"/>
    </w:r>
    <w:r w:rsidR="002714E8" w:rsidRPr="00C214A9">
      <w:instrText xml:space="preserve"> PAGE   \* MERGEFORMAT </w:instrText>
    </w:r>
    <w:r w:rsidR="002714E8" w:rsidRPr="00C214A9">
      <w:fldChar w:fldCharType="separate"/>
    </w:r>
    <w:r w:rsidR="00ED1B4F" w:rsidRPr="00ED1B4F">
      <w:rPr>
        <w:b/>
        <w:bCs/>
        <w:noProof/>
      </w:rPr>
      <w:t>20</w:t>
    </w:r>
    <w:r w:rsidR="002714E8" w:rsidRPr="00C214A9">
      <w:rPr>
        <w:b/>
        <w:bCs/>
        <w:noProof/>
      </w:rPr>
      <w:fldChar w:fldCharType="end"/>
    </w:r>
    <w:r w:rsidR="002714E8" w:rsidRPr="00C214A9">
      <w:rPr>
        <w:b/>
        <w:bCs/>
      </w:rPr>
      <w:t xml:space="preserve"> </w:t>
    </w:r>
    <w:r w:rsidR="002714E8" w:rsidRPr="00C214A9">
      <w:t>|</w:t>
    </w:r>
    <w:r w:rsidR="002714E8" w:rsidRPr="00C214A9">
      <w:rPr>
        <w:b/>
        <w:bCs/>
      </w:rPr>
      <w:t xml:space="preserve"> </w:t>
    </w:r>
    <w:r w:rsidR="002714E8"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A3F37" w14:textId="77777777" w:rsidR="00C52145" w:rsidRDefault="00C52145" w:rsidP="00C214A9">
      <w:pPr>
        <w:spacing w:after="0" w:line="240" w:lineRule="auto"/>
      </w:pPr>
      <w:r>
        <w:separator/>
      </w:r>
    </w:p>
  </w:footnote>
  <w:footnote w:type="continuationSeparator" w:id="0">
    <w:p w14:paraId="4D8236CE" w14:textId="77777777" w:rsidR="00C52145" w:rsidRDefault="00C52145"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EBA9" w14:textId="766286E6" w:rsidR="002714E8" w:rsidRDefault="002714E8" w:rsidP="001262F7">
    <w:pPr>
      <w:pStyle w:val="VBAILTHeader"/>
      <w:pBdr>
        <w:bottom w:val="single" w:sz="4" w:space="1" w:color="auto"/>
      </w:pBdr>
    </w:pPr>
    <w:r w:rsidRPr="003B32AA">
      <w:t xml:space="preserve">Select Qualifying Expenses </w:t>
    </w:r>
  </w:p>
  <w:p w14:paraId="377D356B" w14:textId="33D5ED9D" w:rsidR="002714E8" w:rsidRPr="002D1DCE" w:rsidRDefault="00A01F06"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DDD9" w14:textId="77777777" w:rsidR="002714E8" w:rsidRDefault="002714E8">
    <w:pPr>
      <w:pStyle w:val="Header"/>
    </w:pPr>
    <w:r>
      <w:rPr>
        <w:noProof/>
      </w:rPr>
      <w:drawing>
        <wp:anchor distT="0" distB="0" distL="114300" distR="114300" simplePos="0" relativeHeight="251657216" behindDoc="1" locked="0" layoutInCell="1" allowOverlap="1" wp14:anchorId="72EA1917" wp14:editId="379B5BF1">
          <wp:simplePos x="0" y="0"/>
          <wp:positionH relativeFrom="column">
            <wp:posOffset>-904875</wp:posOffset>
          </wp:positionH>
          <wp:positionV relativeFrom="paragraph">
            <wp:posOffset>-447675</wp:posOffset>
          </wp:positionV>
          <wp:extent cx="7780020" cy="5836920"/>
          <wp:effectExtent l="0" t="0" r="0" b="0"/>
          <wp:wrapNone/>
          <wp:docPr id="2" name="Picture 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E20"/>
    <w:multiLevelType w:val="hybridMultilevel"/>
    <w:tmpl w:val="FE3AB586"/>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642E53"/>
    <w:multiLevelType w:val="hybridMultilevel"/>
    <w:tmpl w:val="A5227968"/>
    <w:lvl w:ilvl="0" w:tplc="FFFFFFFF">
      <w:start w:val="1"/>
      <w:numFmt w:val="decimal"/>
      <w:lvlText w:val="%1."/>
      <w:lvlJc w:val="left"/>
      <w:pPr>
        <w:tabs>
          <w:tab w:val="num" w:pos="720"/>
        </w:tabs>
        <w:ind w:left="720" w:hanging="360"/>
      </w:pPr>
    </w:lvl>
    <w:lvl w:ilvl="1" w:tplc="C78CFBCA">
      <w:start w:val="1"/>
      <w:numFmt w:val="bullet"/>
      <w:lvlText w:val=""/>
      <w:lvlJc w:val="left"/>
      <w:pPr>
        <w:tabs>
          <w:tab w:val="num" w:pos="1440"/>
        </w:tabs>
        <w:ind w:left="1440" w:hanging="360"/>
      </w:pPr>
      <w:rPr>
        <w:rFonts w:ascii="Wingdings" w:hAnsi="Wingding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49283BAF"/>
    <w:multiLevelType w:val="hybridMultilevel"/>
    <w:tmpl w:val="EEE2D642"/>
    <w:lvl w:ilvl="0" w:tplc="2A7AD900">
      <w:start w:val="1"/>
      <w:numFmt w:val="decimal"/>
      <w:lvlText w:val="%1."/>
      <w:lvlJc w:val="left"/>
      <w:pPr>
        <w:tabs>
          <w:tab w:val="num" w:pos="720"/>
        </w:tabs>
        <w:ind w:left="720" w:hanging="360"/>
      </w:pPr>
    </w:lvl>
    <w:lvl w:ilvl="1" w:tplc="56DED984">
      <w:start w:val="1"/>
      <w:numFmt w:val="decimal"/>
      <w:lvlText w:val="%2."/>
      <w:lvlJc w:val="left"/>
      <w:pPr>
        <w:tabs>
          <w:tab w:val="num" w:pos="1440"/>
        </w:tabs>
        <w:ind w:left="1440" w:hanging="360"/>
      </w:pPr>
    </w:lvl>
    <w:lvl w:ilvl="2" w:tplc="36B05E04" w:tentative="1">
      <w:start w:val="1"/>
      <w:numFmt w:val="decimal"/>
      <w:lvlText w:val="%3."/>
      <w:lvlJc w:val="left"/>
      <w:pPr>
        <w:tabs>
          <w:tab w:val="num" w:pos="2160"/>
        </w:tabs>
        <w:ind w:left="2160" w:hanging="360"/>
      </w:pPr>
    </w:lvl>
    <w:lvl w:ilvl="3" w:tplc="2968BE32" w:tentative="1">
      <w:start w:val="1"/>
      <w:numFmt w:val="decimal"/>
      <w:lvlText w:val="%4."/>
      <w:lvlJc w:val="left"/>
      <w:pPr>
        <w:tabs>
          <w:tab w:val="num" w:pos="2880"/>
        </w:tabs>
        <w:ind w:left="2880" w:hanging="360"/>
      </w:pPr>
    </w:lvl>
    <w:lvl w:ilvl="4" w:tplc="078C0ADA" w:tentative="1">
      <w:start w:val="1"/>
      <w:numFmt w:val="decimal"/>
      <w:lvlText w:val="%5."/>
      <w:lvlJc w:val="left"/>
      <w:pPr>
        <w:tabs>
          <w:tab w:val="num" w:pos="3600"/>
        </w:tabs>
        <w:ind w:left="3600" w:hanging="360"/>
      </w:pPr>
    </w:lvl>
    <w:lvl w:ilvl="5" w:tplc="90244904" w:tentative="1">
      <w:start w:val="1"/>
      <w:numFmt w:val="decimal"/>
      <w:lvlText w:val="%6."/>
      <w:lvlJc w:val="left"/>
      <w:pPr>
        <w:tabs>
          <w:tab w:val="num" w:pos="4320"/>
        </w:tabs>
        <w:ind w:left="4320" w:hanging="360"/>
      </w:pPr>
    </w:lvl>
    <w:lvl w:ilvl="6" w:tplc="81DC777E" w:tentative="1">
      <w:start w:val="1"/>
      <w:numFmt w:val="decimal"/>
      <w:lvlText w:val="%7."/>
      <w:lvlJc w:val="left"/>
      <w:pPr>
        <w:tabs>
          <w:tab w:val="num" w:pos="5040"/>
        </w:tabs>
        <w:ind w:left="5040" w:hanging="360"/>
      </w:pPr>
    </w:lvl>
    <w:lvl w:ilvl="7" w:tplc="794E040C" w:tentative="1">
      <w:start w:val="1"/>
      <w:numFmt w:val="decimal"/>
      <w:lvlText w:val="%8."/>
      <w:lvlJc w:val="left"/>
      <w:pPr>
        <w:tabs>
          <w:tab w:val="num" w:pos="5760"/>
        </w:tabs>
        <w:ind w:left="5760" w:hanging="360"/>
      </w:pPr>
    </w:lvl>
    <w:lvl w:ilvl="8" w:tplc="A894B97A" w:tentative="1">
      <w:start w:val="1"/>
      <w:numFmt w:val="decimal"/>
      <w:lvlText w:val="%9."/>
      <w:lvlJc w:val="left"/>
      <w:pPr>
        <w:tabs>
          <w:tab w:val="num" w:pos="6480"/>
        </w:tabs>
        <w:ind w:left="6480" w:hanging="360"/>
      </w:pPr>
    </w:lvl>
  </w:abstractNum>
  <w:abstractNum w:abstractNumId="4" w15:restartNumberingAfterBreak="0">
    <w:nsid w:val="49B735F0"/>
    <w:multiLevelType w:val="hybridMultilevel"/>
    <w:tmpl w:val="E67E340E"/>
    <w:lvl w:ilvl="0" w:tplc="852672D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DB38A5"/>
    <w:multiLevelType w:val="hybridMultilevel"/>
    <w:tmpl w:val="C17EBAF2"/>
    <w:lvl w:ilvl="0" w:tplc="896EDF76">
      <w:start w:val="1"/>
      <w:numFmt w:val="bullet"/>
      <w:lvlText w:val="•"/>
      <w:lvlJc w:val="left"/>
      <w:pPr>
        <w:tabs>
          <w:tab w:val="num" w:pos="360"/>
        </w:tabs>
        <w:ind w:left="360" w:hanging="360"/>
      </w:pPr>
      <w:rPr>
        <w:rFonts w:ascii="Arial" w:hAnsi="Arial" w:hint="default"/>
      </w:rPr>
    </w:lvl>
    <w:lvl w:ilvl="1" w:tplc="506A6EA4" w:tentative="1">
      <w:start w:val="1"/>
      <w:numFmt w:val="bullet"/>
      <w:lvlText w:val="•"/>
      <w:lvlJc w:val="left"/>
      <w:pPr>
        <w:tabs>
          <w:tab w:val="num" w:pos="1080"/>
        </w:tabs>
        <w:ind w:left="1080" w:hanging="360"/>
      </w:pPr>
      <w:rPr>
        <w:rFonts w:ascii="Arial" w:hAnsi="Arial" w:hint="default"/>
      </w:rPr>
    </w:lvl>
    <w:lvl w:ilvl="2" w:tplc="E2AEE9D2" w:tentative="1">
      <w:start w:val="1"/>
      <w:numFmt w:val="bullet"/>
      <w:lvlText w:val="•"/>
      <w:lvlJc w:val="left"/>
      <w:pPr>
        <w:tabs>
          <w:tab w:val="num" w:pos="1800"/>
        </w:tabs>
        <w:ind w:left="1800" w:hanging="360"/>
      </w:pPr>
      <w:rPr>
        <w:rFonts w:ascii="Arial" w:hAnsi="Arial" w:hint="default"/>
      </w:rPr>
    </w:lvl>
    <w:lvl w:ilvl="3" w:tplc="C6B0D534" w:tentative="1">
      <w:start w:val="1"/>
      <w:numFmt w:val="bullet"/>
      <w:lvlText w:val="•"/>
      <w:lvlJc w:val="left"/>
      <w:pPr>
        <w:tabs>
          <w:tab w:val="num" w:pos="2520"/>
        </w:tabs>
        <w:ind w:left="2520" w:hanging="360"/>
      </w:pPr>
      <w:rPr>
        <w:rFonts w:ascii="Arial" w:hAnsi="Arial" w:hint="default"/>
      </w:rPr>
    </w:lvl>
    <w:lvl w:ilvl="4" w:tplc="D8C6AC88" w:tentative="1">
      <w:start w:val="1"/>
      <w:numFmt w:val="bullet"/>
      <w:lvlText w:val="•"/>
      <w:lvlJc w:val="left"/>
      <w:pPr>
        <w:tabs>
          <w:tab w:val="num" w:pos="3240"/>
        </w:tabs>
        <w:ind w:left="3240" w:hanging="360"/>
      </w:pPr>
      <w:rPr>
        <w:rFonts w:ascii="Arial" w:hAnsi="Arial" w:hint="default"/>
      </w:rPr>
    </w:lvl>
    <w:lvl w:ilvl="5" w:tplc="54A6DE76" w:tentative="1">
      <w:start w:val="1"/>
      <w:numFmt w:val="bullet"/>
      <w:lvlText w:val="•"/>
      <w:lvlJc w:val="left"/>
      <w:pPr>
        <w:tabs>
          <w:tab w:val="num" w:pos="3960"/>
        </w:tabs>
        <w:ind w:left="3960" w:hanging="360"/>
      </w:pPr>
      <w:rPr>
        <w:rFonts w:ascii="Arial" w:hAnsi="Arial" w:hint="default"/>
      </w:rPr>
    </w:lvl>
    <w:lvl w:ilvl="6" w:tplc="FCBA0424" w:tentative="1">
      <w:start w:val="1"/>
      <w:numFmt w:val="bullet"/>
      <w:lvlText w:val="•"/>
      <w:lvlJc w:val="left"/>
      <w:pPr>
        <w:tabs>
          <w:tab w:val="num" w:pos="4680"/>
        </w:tabs>
        <w:ind w:left="4680" w:hanging="360"/>
      </w:pPr>
      <w:rPr>
        <w:rFonts w:ascii="Arial" w:hAnsi="Arial" w:hint="default"/>
      </w:rPr>
    </w:lvl>
    <w:lvl w:ilvl="7" w:tplc="435CA2CC" w:tentative="1">
      <w:start w:val="1"/>
      <w:numFmt w:val="bullet"/>
      <w:lvlText w:val="•"/>
      <w:lvlJc w:val="left"/>
      <w:pPr>
        <w:tabs>
          <w:tab w:val="num" w:pos="5400"/>
        </w:tabs>
        <w:ind w:left="5400" w:hanging="360"/>
      </w:pPr>
      <w:rPr>
        <w:rFonts w:ascii="Arial" w:hAnsi="Arial" w:hint="default"/>
      </w:rPr>
    </w:lvl>
    <w:lvl w:ilvl="8" w:tplc="1350382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E907E09"/>
    <w:multiLevelType w:val="hybridMultilevel"/>
    <w:tmpl w:val="AF5A7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80465"/>
    <w:multiLevelType w:val="hybridMultilevel"/>
    <w:tmpl w:val="7732191E"/>
    <w:lvl w:ilvl="0" w:tplc="FFFFFFFF">
      <w:start w:val="1"/>
      <w:numFmt w:val="decimal"/>
      <w:lvlText w:val="%1."/>
      <w:lvlJc w:val="left"/>
      <w:pPr>
        <w:ind w:left="720" w:hanging="360"/>
      </w:p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3926105">
    <w:abstractNumId w:val="0"/>
  </w:num>
  <w:num w:numId="2" w16cid:durableId="2146769962">
    <w:abstractNumId w:val="1"/>
  </w:num>
  <w:num w:numId="3" w16cid:durableId="791903029">
    <w:abstractNumId w:val="6"/>
  </w:num>
  <w:num w:numId="4" w16cid:durableId="252518773">
    <w:abstractNumId w:val="5"/>
  </w:num>
  <w:num w:numId="5" w16cid:durableId="1646273687">
    <w:abstractNumId w:val="3"/>
  </w:num>
  <w:num w:numId="6" w16cid:durableId="1816528200">
    <w:abstractNumId w:val="2"/>
  </w:num>
  <w:num w:numId="7" w16cid:durableId="821891572">
    <w:abstractNumId w:val="4"/>
  </w:num>
  <w:num w:numId="8" w16cid:durableId="212973319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B8"/>
    <w:rsid w:val="00000758"/>
    <w:rsid w:val="00006038"/>
    <w:rsid w:val="0001043A"/>
    <w:rsid w:val="000129B3"/>
    <w:rsid w:val="00013068"/>
    <w:rsid w:val="00013DD7"/>
    <w:rsid w:val="0001446D"/>
    <w:rsid w:val="00015380"/>
    <w:rsid w:val="00024E76"/>
    <w:rsid w:val="00026CB0"/>
    <w:rsid w:val="0002704A"/>
    <w:rsid w:val="000322CF"/>
    <w:rsid w:val="00034970"/>
    <w:rsid w:val="00036452"/>
    <w:rsid w:val="00040D7B"/>
    <w:rsid w:val="000565F5"/>
    <w:rsid w:val="00057630"/>
    <w:rsid w:val="0006299E"/>
    <w:rsid w:val="00064509"/>
    <w:rsid w:val="000650D3"/>
    <w:rsid w:val="00065D5B"/>
    <w:rsid w:val="00077B75"/>
    <w:rsid w:val="00077BE7"/>
    <w:rsid w:val="00080252"/>
    <w:rsid w:val="000843E9"/>
    <w:rsid w:val="00084F2C"/>
    <w:rsid w:val="0008516F"/>
    <w:rsid w:val="00092BF9"/>
    <w:rsid w:val="00095C4B"/>
    <w:rsid w:val="00096C99"/>
    <w:rsid w:val="0009743E"/>
    <w:rsid w:val="000A4567"/>
    <w:rsid w:val="000A5475"/>
    <w:rsid w:val="000B2910"/>
    <w:rsid w:val="000B58CE"/>
    <w:rsid w:val="000C31A3"/>
    <w:rsid w:val="000C47FA"/>
    <w:rsid w:val="000C53FD"/>
    <w:rsid w:val="000E3D59"/>
    <w:rsid w:val="000E7517"/>
    <w:rsid w:val="000F02A7"/>
    <w:rsid w:val="000F0CF2"/>
    <w:rsid w:val="000F647E"/>
    <w:rsid w:val="000F6A22"/>
    <w:rsid w:val="00101FE9"/>
    <w:rsid w:val="0010458C"/>
    <w:rsid w:val="001060C4"/>
    <w:rsid w:val="001071E6"/>
    <w:rsid w:val="00113537"/>
    <w:rsid w:val="00116035"/>
    <w:rsid w:val="001161B4"/>
    <w:rsid w:val="00117BE2"/>
    <w:rsid w:val="00120BFD"/>
    <w:rsid w:val="00122E24"/>
    <w:rsid w:val="001262F7"/>
    <w:rsid w:val="00127176"/>
    <w:rsid w:val="00127B6B"/>
    <w:rsid w:val="00134BB7"/>
    <w:rsid w:val="00135D5B"/>
    <w:rsid w:val="00143CCF"/>
    <w:rsid w:val="001457B7"/>
    <w:rsid w:val="00145DC6"/>
    <w:rsid w:val="00151100"/>
    <w:rsid w:val="001604CC"/>
    <w:rsid w:val="00164586"/>
    <w:rsid w:val="00166ACB"/>
    <w:rsid w:val="00167CBE"/>
    <w:rsid w:val="001755F8"/>
    <w:rsid w:val="001763DA"/>
    <w:rsid w:val="00180371"/>
    <w:rsid w:val="001818F1"/>
    <w:rsid w:val="00181D23"/>
    <w:rsid w:val="001832E4"/>
    <w:rsid w:val="0018571F"/>
    <w:rsid w:val="001901BC"/>
    <w:rsid w:val="00191FD9"/>
    <w:rsid w:val="0019286C"/>
    <w:rsid w:val="0019342E"/>
    <w:rsid w:val="0019690A"/>
    <w:rsid w:val="0019779D"/>
    <w:rsid w:val="001A33D9"/>
    <w:rsid w:val="001A5506"/>
    <w:rsid w:val="001C3820"/>
    <w:rsid w:val="001D2E6A"/>
    <w:rsid w:val="001D5A75"/>
    <w:rsid w:val="001D5BC8"/>
    <w:rsid w:val="001D6445"/>
    <w:rsid w:val="001E3690"/>
    <w:rsid w:val="001E3FAE"/>
    <w:rsid w:val="001F382B"/>
    <w:rsid w:val="001F7B65"/>
    <w:rsid w:val="00202881"/>
    <w:rsid w:val="00202EF7"/>
    <w:rsid w:val="00204062"/>
    <w:rsid w:val="00204B07"/>
    <w:rsid w:val="002216E0"/>
    <w:rsid w:val="00232AE9"/>
    <w:rsid w:val="0024084E"/>
    <w:rsid w:val="0024093A"/>
    <w:rsid w:val="0024482A"/>
    <w:rsid w:val="00246853"/>
    <w:rsid w:val="00250FEF"/>
    <w:rsid w:val="00254040"/>
    <w:rsid w:val="00261235"/>
    <w:rsid w:val="002619D8"/>
    <w:rsid w:val="00261FBF"/>
    <w:rsid w:val="00264342"/>
    <w:rsid w:val="002677A1"/>
    <w:rsid w:val="00267BA2"/>
    <w:rsid w:val="002714E8"/>
    <w:rsid w:val="00272CD9"/>
    <w:rsid w:val="00273057"/>
    <w:rsid w:val="0027419D"/>
    <w:rsid w:val="00280E2B"/>
    <w:rsid w:val="00282F5B"/>
    <w:rsid w:val="00290DF6"/>
    <w:rsid w:val="002912BA"/>
    <w:rsid w:val="00295C21"/>
    <w:rsid w:val="002A0972"/>
    <w:rsid w:val="002A310B"/>
    <w:rsid w:val="002A347A"/>
    <w:rsid w:val="002B0E41"/>
    <w:rsid w:val="002B27C6"/>
    <w:rsid w:val="002B3139"/>
    <w:rsid w:val="002B385E"/>
    <w:rsid w:val="002C284B"/>
    <w:rsid w:val="002C3AA9"/>
    <w:rsid w:val="002C3FE7"/>
    <w:rsid w:val="002D1381"/>
    <w:rsid w:val="002D1DCE"/>
    <w:rsid w:val="002E076F"/>
    <w:rsid w:val="002E190E"/>
    <w:rsid w:val="002E1928"/>
    <w:rsid w:val="002E2897"/>
    <w:rsid w:val="002E3812"/>
    <w:rsid w:val="002E7FD3"/>
    <w:rsid w:val="002F2298"/>
    <w:rsid w:val="003054D2"/>
    <w:rsid w:val="003108C5"/>
    <w:rsid w:val="0031207C"/>
    <w:rsid w:val="00312425"/>
    <w:rsid w:val="00315F18"/>
    <w:rsid w:val="003314E2"/>
    <w:rsid w:val="00344613"/>
    <w:rsid w:val="0034628C"/>
    <w:rsid w:val="00346681"/>
    <w:rsid w:val="00346955"/>
    <w:rsid w:val="0035541A"/>
    <w:rsid w:val="00355D4E"/>
    <w:rsid w:val="00357E9D"/>
    <w:rsid w:val="00360F79"/>
    <w:rsid w:val="00367183"/>
    <w:rsid w:val="003746F7"/>
    <w:rsid w:val="003757AE"/>
    <w:rsid w:val="00384C82"/>
    <w:rsid w:val="00391DCF"/>
    <w:rsid w:val="00394EA8"/>
    <w:rsid w:val="003956AD"/>
    <w:rsid w:val="00396526"/>
    <w:rsid w:val="00396DD7"/>
    <w:rsid w:val="003A1BE1"/>
    <w:rsid w:val="003A1FFA"/>
    <w:rsid w:val="003B118F"/>
    <w:rsid w:val="003B3180"/>
    <w:rsid w:val="003B32AA"/>
    <w:rsid w:val="003B6B3A"/>
    <w:rsid w:val="003C1C58"/>
    <w:rsid w:val="003C686F"/>
    <w:rsid w:val="003D50E0"/>
    <w:rsid w:val="003D5CFA"/>
    <w:rsid w:val="003E0B9D"/>
    <w:rsid w:val="003E27E5"/>
    <w:rsid w:val="003E3D02"/>
    <w:rsid w:val="00402811"/>
    <w:rsid w:val="00406F0F"/>
    <w:rsid w:val="00410A71"/>
    <w:rsid w:val="0041489C"/>
    <w:rsid w:val="00414D1D"/>
    <w:rsid w:val="00416682"/>
    <w:rsid w:val="004178C6"/>
    <w:rsid w:val="00420347"/>
    <w:rsid w:val="00422054"/>
    <w:rsid w:val="0042305C"/>
    <w:rsid w:val="004301F2"/>
    <w:rsid w:val="00432CFF"/>
    <w:rsid w:val="004348D2"/>
    <w:rsid w:val="004368FC"/>
    <w:rsid w:val="0044144C"/>
    <w:rsid w:val="00443B49"/>
    <w:rsid w:val="0045021F"/>
    <w:rsid w:val="00451DA8"/>
    <w:rsid w:val="00454EEF"/>
    <w:rsid w:val="004679DF"/>
    <w:rsid w:val="00470858"/>
    <w:rsid w:val="00470862"/>
    <w:rsid w:val="00473DAF"/>
    <w:rsid w:val="004800A8"/>
    <w:rsid w:val="00481BC8"/>
    <w:rsid w:val="004828FA"/>
    <w:rsid w:val="004927EB"/>
    <w:rsid w:val="00494920"/>
    <w:rsid w:val="0049517C"/>
    <w:rsid w:val="004A4A97"/>
    <w:rsid w:val="004A6692"/>
    <w:rsid w:val="004B2F42"/>
    <w:rsid w:val="004B30BA"/>
    <w:rsid w:val="004B422A"/>
    <w:rsid w:val="004D343C"/>
    <w:rsid w:val="004D6578"/>
    <w:rsid w:val="004D6866"/>
    <w:rsid w:val="004E35E7"/>
    <w:rsid w:val="004E4A87"/>
    <w:rsid w:val="004E623F"/>
    <w:rsid w:val="004F4FCD"/>
    <w:rsid w:val="00503DCB"/>
    <w:rsid w:val="00504218"/>
    <w:rsid w:val="0050672A"/>
    <w:rsid w:val="00507C13"/>
    <w:rsid w:val="00512A7D"/>
    <w:rsid w:val="005142F8"/>
    <w:rsid w:val="00516F37"/>
    <w:rsid w:val="00526214"/>
    <w:rsid w:val="00534F5F"/>
    <w:rsid w:val="005402BD"/>
    <w:rsid w:val="00541EA0"/>
    <w:rsid w:val="0054300B"/>
    <w:rsid w:val="0054444C"/>
    <w:rsid w:val="005468A4"/>
    <w:rsid w:val="00546ED1"/>
    <w:rsid w:val="00563C04"/>
    <w:rsid w:val="0056571C"/>
    <w:rsid w:val="00573631"/>
    <w:rsid w:val="005741C3"/>
    <w:rsid w:val="00576816"/>
    <w:rsid w:val="0058203A"/>
    <w:rsid w:val="00582CC1"/>
    <w:rsid w:val="00595012"/>
    <w:rsid w:val="005A6D58"/>
    <w:rsid w:val="005B0DA1"/>
    <w:rsid w:val="005B3D1E"/>
    <w:rsid w:val="005B43E3"/>
    <w:rsid w:val="005B4FCB"/>
    <w:rsid w:val="005B6432"/>
    <w:rsid w:val="005C2F5B"/>
    <w:rsid w:val="005C3A6A"/>
    <w:rsid w:val="005C77AC"/>
    <w:rsid w:val="005D09CE"/>
    <w:rsid w:val="005D106A"/>
    <w:rsid w:val="005D425D"/>
    <w:rsid w:val="005E75DD"/>
    <w:rsid w:val="005F31A6"/>
    <w:rsid w:val="005F31D7"/>
    <w:rsid w:val="0060043E"/>
    <w:rsid w:val="00600D40"/>
    <w:rsid w:val="00611DCC"/>
    <w:rsid w:val="0061495F"/>
    <w:rsid w:val="00614D59"/>
    <w:rsid w:val="0061679A"/>
    <w:rsid w:val="006168A5"/>
    <w:rsid w:val="006212F3"/>
    <w:rsid w:val="00622460"/>
    <w:rsid w:val="006228AE"/>
    <w:rsid w:val="00630103"/>
    <w:rsid w:val="0063020C"/>
    <w:rsid w:val="006302E2"/>
    <w:rsid w:val="006440B3"/>
    <w:rsid w:val="0064637A"/>
    <w:rsid w:val="006467EF"/>
    <w:rsid w:val="00646CCB"/>
    <w:rsid w:val="00663E94"/>
    <w:rsid w:val="006726CE"/>
    <w:rsid w:val="00682B06"/>
    <w:rsid w:val="00686F24"/>
    <w:rsid w:val="00690090"/>
    <w:rsid w:val="00694FC4"/>
    <w:rsid w:val="006B6DFD"/>
    <w:rsid w:val="006C05BF"/>
    <w:rsid w:val="006C1122"/>
    <w:rsid w:val="006C4539"/>
    <w:rsid w:val="006C4EE2"/>
    <w:rsid w:val="006C6C9D"/>
    <w:rsid w:val="006C751F"/>
    <w:rsid w:val="006C7851"/>
    <w:rsid w:val="006D165A"/>
    <w:rsid w:val="006D6347"/>
    <w:rsid w:val="006E3E4C"/>
    <w:rsid w:val="006E54AE"/>
    <w:rsid w:val="006E7404"/>
    <w:rsid w:val="006F087D"/>
    <w:rsid w:val="006F13BF"/>
    <w:rsid w:val="006F2FA6"/>
    <w:rsid w:val="006F603D"/>
    <w:rsid w:val="0070313E"/>
    <w:rsid w:val="007036D7"/>
    <w:rsid w:val="00706EE3"/>
    <w:rsid w:val="007138DD"/>
    <w:rsid w:val="007145E8"/>
    <w:rsid w:val="0071556D"/>
    <w:rsid w:val="007167EF"/>
    <w:rsid w:val="00717C38"/>
    <w:rsid w:val="00731C06"/>
    <w:rsid w:val="00737CB1"/>
    <w:rsid w:val="0074039F"/>
    <w:rsid w:val="00744058"/>
    <w:rsid w:val="007565D3"/>
    <w:rsid w:val="007565F5"/>
    <w:rsid w:val="007619BF"/>
    <w:rsid w:val="0076439D"/>
    <w:rsid w:val="00764ADE"/>
    <w:rsid w:val="00771177"/>
    <w:rsid w:val="0078188E"/>
    <w:rsid w:val="00782A20"/>
    <w:rsid w:val="007859CB"/>
    <w:rsid w:val="007868EB"/>
    <w:rsid w:val="00786D9A"/>
    <w:rsid w:val="0079385E"/>
    <w:rsid w:val="007938DF"/>
    <w:rsid w:val="007A5FD6"/>
    <w:rsid w:val="007A733A"/>
    <w:rsid w:val="007B12D6"/>
    <w:rsid w:val="007B1B01"/>
    <w:rsid w:val="007B1CF8"/>
    <w:rsid w:val="007B26AC"/>
    <w:rsid w:val="007B2EB4"/>
    <w:rsid w:val="007B6E3B"/>
    <w:rsid w:val="007D483F"/>
    <w:rsid w:val="007E0FF0"/>
    <w:rsid w:val="007E16DA"/>
    <w:rsid w:val="007E2CC7"/>
    <w:rsid w:val="007F0735"/>
    <w:rsid w:val="008014F3"/>
    <w:rsid w:val="008053CB"/>
    <w:rsid w:val="00810AF9"/>
    <w:rsid w:val="00813890"/>
    <w:rsid w:val="00822568"/>
    <w:rsid w:val="00822EC2"/>
    <w:rsid w:val="00830AB9"/>
    <w:rsid w:val="00830E95"/>
    <w:rsid w:val="00835A6A"/>
    <w:rsid w:val="008364C5"/>
    <w:rsid w:val="0084039F"/>
    <w:rsid w:val="0085472E"/>
    <w:rsid w:val="00854B9F"/>
    <w:rsid w:val="00860627"/>
    <w:rsid w:val="008617B4"/>
    <w:rsid w:val="0086212D"/>
    <w:rsid w:val="00862765"/>
    <w:rsid w:val="008642FC"/>
    <w:rsid w:val="00867300"/>
    <w:rsid w:val="00867319"/>
    <w:rsid w:val="008715F0"/>
    <w:rsid w:val="00871C69"/>
    <w:rsid w:val="00872F1E"/>
    <w:rsid w:val="00872FEC"/>
    <w:rsid w:val="008806D5"/>
    <w:rsid w:val="00887ECF"/>
    <w:rsid w:val="00895AAD"/>
    <w:rsid w:val="008A79F1"/>
    <w:rsid w:val="008B415F"/>
    <w:rsid w:val="008C1812"/>
    <w:rsid w:val="008C1CF5"/>
    <w:rsid w:val="008C24AB"/>
    <w:rsid w:val="008C4063"/>
    <w:rsid w:val="008C4289"/>
    <w:rsid w:val="008C5EF2"/>
    <w:rsid w:val="008D064A"/>
    <w:rsid w:val="008D344B"/>
    <w:rsid w:val="008D41C1"/>
    <w:rsid w:val="008E0D64"/>
    <w:rsid w:val="008E2F2E"/>
    <w:rsid w:val="008F23DF"/>
    <w:rsid w:val="00900BE2"/>
    <w:rsid w:val="00904B5D"/>
    <w:rsid w:val="00912E33"/>
    <w:rsid w:val="0091339C"/>
    <w:rsid w:val="00920F7B"/>
    <w:rsid w:val="00924E25"/>
    <w:rsid w:val="00925669"/>
    <w:rsid w:val="00933EA2"/>
    <w:rsid w:val="00936646"/>
    <w:rsid w:val="00947070"/>
    <w:rsid w:val="00956A02"/>
    <w:rsid w:val="00960447"/>
    <w:rsid w:val="00964B10"/>
    <w:rsid w:val="00973967"/>
    <w:rsid w:val="00984226"/>
    <w:rsid w:val="00991341"/>
    <w:rsid w:val="00994C83"/>
    <w:rsid w:val="009952DD"/>
    <w:rsid w:val="009A01AE"/>
    <w:rsid w:val="009A4830"/>
    <w:rsid w:val="009A77B6"/>
    <w:rsid w:val="009B0631"/>
    <w:rsid w:val="009B3BFF"/>
    <w:rsid w:val="009B4659"/>
    <w:rsid w:val="009B4E0B"/>
    <w:rsid w:val="009B7AEA"/>
    <w:rsid w:val="009C2336"/>
    <w:rsid w:val="009C2CF5"/>
    <w:rsid w:val="009C5EC2"/>
    <w:rsid w:val="009D4B67"/>
    <w:rsid w:val="009E3F2F"/>
    <w:rsid w:val="009E720A"/>
    <w:rsid w:val="009F0100"/>
    <w:rsid w:val="009F0C1E"/>
    <w:rsid w:val="009F0D16"/>
    <w:rsid w:val="009F361E"/>
    <w:rsid w:val="009F69D7"/>
    <w:rsid w:val="00A00D3C"/>
    <w:rsid w:val="00A01F06"/>
    <w:rsid w:val="00A03785"/>
    <w:rsid w:val="00A03870"/>
    <w:rsid w:val="00A07E17"/>
    <w:rsid w:val="00A103E6"/>
    <w:rsid w:val="00A108D7"/>
    <w:rsid w:val="00A164B5"/>
    <w:rsid w:val="00A22DB9"/>
    <w:rsid w:val="00A26535"/>
    <w:rsid w:val="00A324C5"/>
    <w:rsid w:val="00A3668B"/>
    <w:rsid w:val="00A43C9B"/>
    <w:rsid w:val="00A44DDF"/>
    <w:rsid w:val="00A4556E"/>
    <w:rsid w:val="00A51279"/>
    <w:rsid w:val="00A548EF"/>
    <w:rsid w:val="00A600C4"/>
    <w:rsid w:val="00A66DFB"/>
    <w:rsid w:val="00A678F7"/>
    <w:rsid w:val="00A72091"/>
    <w:rsid w:val="00A753C9"/>
    <w:rsid w:val="00A76054"/>
    <w:rsid w:val="00A76EAC"/>
    <w:rsid w:val="00A84083"/>
    <w:rsid w:val="00A90850"/>
    <w:rsid w:val="00A944A1"/>
    <w:rsid w:val="00A9561A"/>
    <w:rsid w:val="00AA39C8"/>
    <w:rsid w:val="00AB70AB"/>
    <w:rsid w:val="00AC070C"/>
    <w:rsid w:val="00AC6F49"/>
    <w:rsid w:val="00AD41F4"/>
    <w:rsid w:val="00AE1004"/>
    <w:rsid w:val="00AE2A16"/>
    <w:rsid w:val="00AE381A"/>
    <w:rsid w:val="00AE5C59"/>
    <w:rsid w:val="00AE673B"/>
    <w:rsid w:val="00AE7BA6"/>
    <w:rsid w:val="00AF09C1"/>
    <w:rsid w:val="00AF2D32"/>
    <w:rsid w:val="00B062F7"/>
    <w:rsid w:val="00B06427"/>
    <w:rsid w:val="00B073A8"/>
    <w:rsid w:val="00B07AFA"/>
    <w:rsid w:val="00B10A72"/>
    <w:rsid w:val="00B12BA8"/>
    <w:rsid w:val="00B12E61"/>
    <w:rsid w:val="00B22BBA"/>
    <w:rsid w:val="00B2349D"/>
    <w:rsid w:val="00B24B0C"/>
    <w:rsid w:val="00B31998"/>
    <w:rsid w:val="00B33454"/>
    <w:rsid w:val="00B366FE"/>
    <w:rsid w:val="00B41B4B"/>
    <w:rsid w:val="00B439AC"/>
    <w:rsid w:val="00B43FF8"/>
    <w:rsid w:val="00B536E1"/>
    <w:rsid w:val="00B55AF1"/>
    <w:rsid w:val="00B63B5D"/>
    <w:rsid w:val="00B64B22"/>
    <w:rsid w:val="00B664DC"/>
    <w:rsid w:val="00B7322D"/>
    <w:rsid w:val="00B73564"/>
    <w:rsid w:val="00B74763"/>
    <w:rsid w:val="00B7790C"/>
    <w:rsid w:val="00B80ADA"/>
    <w:rsid w:val="00B950A9"/>
    <w:rsid w:val="00B96327"/>
    <w:rsid w:val="00BA6291"/>
    <w:rsid w:val="00BB3EE2"/>
    <w:rsid w:val="00BB50A3"/>
    <w:rsid w:val="00BC3F0A"/>
    <w:rsid w:val="00BC4FE7"/>
    <w:rsid w:val="00BC605A"/>
    <w:rsid w:val="00BC6AA8"/>
    <w:rsid w:val="00BC7631"/>
    <w:rsid w:val="00BD23A5"/>
    <w:rsid w:val="00BD6788"/>
    <w:rsid w:val="00BE1FDE"/>
    <w:rsid w:val="00BE2028"/>
    <w:rsid w:val="00BE2D61"/>
    <w:rsid w:val="00BF2C35"/>
    <w:rsid w:val="00BF6E03"/>
    <w:rsid w:val="00C017EE"/>
    <w:rsid w:val="00C0706A"/>
    <w:rsid w:val="00C11A53"/>
    <w:rsid w:val="00C12CE2"/>
    <w:rsid w:val="00C159F8"/>
    <w:rsid w:val="00C15A3D"/>
    <w:rsid w:val="00C16E15"/>
    <w:rsid w:val="00C214A9"/>
    <w:rsid w:val="00C30F06"/>
    <w:rsid w:val="00C3384D"/>
    <w:rsid w:val="00C368A4"/>
    <w:rsid w:val="00C435DF"/>
    <w:rsid w:val="00C472C0"/>
    <w:rsid w:val="00C51F37"/>
    <w:rsid w:val="00C52145"/>
    <w:rsid w:val="00C545DA"/>
    <w:rsid w:val="00C55A3D"/>
    <w:rsid w:val="00C64B5A"/>
    <w:rsid w:val="00C70D5C"/>
    <w:rsid w:val="00C75C88"/>
    <w:rsid w:val="00C764DB"/>
    <w:rsid w:val="00C83503"/>
    <w:rsid w:val="00C855B1"/>
    <w:rsid w:val="00C8779F"/>
    <w:rsid w:val="00C90127"/>
    <w:rsid w:val="00C924EC"/>
    <w:rsid w:val="00C93A10"/>
    <w:rsid w:val="00CA1334"/>
    <w:rsid w:val="00CA5771"/>
    <w:rsid w:val="00CA67FE"/>
    <w:rsid w:val="00CA6A84"/>
    <w:rsid w:val="00CB1925"/>
    <w:rsid w:val="00CB5CE2"/>
    <w:rsid w:val="00CC04B1"/>
    <w:rsid w:val="00CD35A1"/>
    <w:rsid w:val="00CD50D4"/>
    <w:rsid w:val="00CD7CDE"/>
    <w:rsid w:val="00CE61DD"/>
    <w:rsid w:val="00CE6A62"/>
    <w:rsid w:val="00CE6DBB"/>
    <w:rsid w:val="00CE717A"/>
    <w:rsid w:val="00CF078A"/>
    <w:rsid w:val="00CF300D"/>
    <w:rsid w:val="00CF4DDE"/>
    <w:rsid w:val="00CF50B0"/>
    <w:rsid w:val="00CF5956"/>
    <w:rsid w:val="00CF777B"/>
    <w:rsid w:val="00D074D5"/>
    <w:rsid w:val="00D10AE3"/>
    <w:rsid w:val="00D140CD"/>
    <w:rsid w:val="00D31FAF"/>
    <w:rsid w:val="00D33551"/>
    <w:rsid w:val="00D3569D"/>
    <w:rsid w:val="00D360D5"/>
    <w:rsid w:val="00D36B95"/>
    <w:rsid w:val="00D41E13"/>
    <w:rsid w:val="00D46B26"/>
    <w:rsid w:val="00D572A1"/>
    <w:rsid w:val="00D77B6C"/>
    <w:rsid w:val="00D8108C"/>
    <w:rsid w:val="00D82175"/>
    <w:rsid w:val="00D86070"/>
    <w:rsid w:val="00D90AD9"/>
    <w:rsid w:val="00D914B8"/>
    <w:rsid w:val="00D928AD"/>
    <w:rsid w:val="00D94905"/>
    <w:rsid w:val="00DA63C8"/>
    <w:rsid w:val="00DA789D"/>
    <w:rsid w:val="00DB17F8"/>
    <w:rsid w:val="00DB2963"/>
    <w:rsid w:val="00DB490A"/>
    <w:rsid w:val="00DB7C94"/>
    <w:rsid w:val="00DC1BB4"/>
    <w:rsid w:val="00DC4608"/>
    <w:rsid w:val="00DD015E"/>
    <w:rsid w:val="00DE15A6"/>
    <w:rsid w:val="00DE325E"/>
    <w:rsid w:val="00DE5110"/>
    <w:rsid w:val="00DF1E69"/>
    <w:rsid w:val="00DF225E"/>
    <w:rsid w:val="00DF2C3B"/>
    <w:rsid w:val="00DF3392"/>
    <w:rsid w:val="00DF55FC"/>
    <w:rsid w:val="00DF6115"/>
    <w:rsid w:val="00E008EE"/>
    <w:rsid w:val="00E015A0"/>
    <w:rsid w:val="00E110C1"/>
    <w:rsid w:val="00E13C01"/>
    <w:rsid w:val="00E24E7B"/>
    <w:rsid w:val="00E26E36"/>
    <w:rsid w:val="00E335A1"/>
    <w:rsid w:val="00E41CDC"/>
    <w:rsid w:val="00E42E9A"/>
    <w:rsid w:val="00E43C51"/>
    <w:rsid w:val="00E46FF9"/>
    <w:rsid w:val="00E50A8D"/>
    <w:rsid w:val="00E54713"/>
    <w:rsid w:val="00E54E72"/>
    <w:rsid w:val="00E61394"/>
    <w:rsid w:val="00E66515"/>
    <w:rsid w:val="00E678DE"/>
    <w:rsid w:val="00E73091"/>
    <w:rsid w:val="00E777A4"/>
    <w:rsid w:val="00E83754"/>
    <w:rsid w:val="00E879A1"/>
    <w:rsid w:val="00E87A2B"/>
    <w:rsid w:val="00E94AEA"/>
    <w:rsid w:val="00E9670C"/>
    <w:rsid w:val="00EA4A23"/>
    <w:rsid w:val="00EB77A4"/>
    <w:rsid w:val="00EC3A15"/>
    <w:rsid w:val="00EC4AD1"/>
    <w:rsid w:val="00EC5D68"/>
    <w:rsid w:val="00EC72C5"/>
    <w:rsid w:val="00ED1B4F"/>
    <w:rsid w:val="00ED314A"/>
    <w:rsid w:val="00EE114A"/>
    <w:rsid w:val="00EE1156"/>
    <w:rsid w:val="00EF0F1E"/>
    <w:rsid w:val="00EF447D"/>
    <w:rsid w:val="00EF4CDB"/>
    <w:rsid w:val="00F014BC"/>
    <w:rsid w:val="00F0544B"/>
    <w:rsid w:val="00F06594"/>
    <w:rsid w:val="00F06DC2"/>
    <w:rsid w:val="00F125BA"/>
    <w:rsid w:val="00F2079A"/>
    <w:rsid w:val="00F20E95"/>
    <w:rsid w:val="00F23B61"/>
    <w:rsid w:val="00F23FE8"/>
    <w:rsid w:val="00F3364B"/>
    <w:rsid w:val="00F359F1"/>
    <w:rsid w:val="00F43221"/>
    <w:rsid w:val="00F44D91"/>
    <w:rsid w:val="00F47922"/>
    <w:rsid w:val="00F545D8"/>
    <w:rsid w:val="00F661C0"/>
    <w:rsid w:val="00F741FA"/>
    <w:rsid w:val="00F76465"/>
    <w:rsid w:val="00F800AE"/>
    <w:rsid w:val="00F8070B"/>
    <w:rsid w:val="00F807A0"/>
    <w:rsid w:val="00F83FB8"/>
    <w:rsid w:val="00F84841"/>
    <w:rsid w:val="00F84923"/>
    <w:rsid w:val="00F86B28"/>
    <w:rsid w:val="00F903A0"/>
    <w:rsid w:val="00F9741A"/>
    <w:rsid w:val="00F977D8"/>
    <w:rsid w:val="00FA69F3"/>
    <w:rsid w:val="00FB22B2"/>
    <w:rsid w:val="00FB2FA2"/>
    <w:rsid w:val="00FB55F1"/>
    <w:rsid w:val="00FB568D"/>
    <w:rsid w:val="00FC359C"/>
    <w:rsid w:val="00FC65BB"/>
    <w:rsid w:val="00FD2888"/>
    <w:rsid w:val="00FD3ACE"/>
    <w:rsid w:val="00FE67DE"/>
    <w:rsid w:val="00FE713E"/>
    <w:rsid w:val="00FF19C5"/>
    <w:rsid w:val="00FF1C79"/>
    <w:rsid w:val="00FF386D"/>
    <w:rsid w:val="0B08D7E1"/>
    <w:rsid w:val="106C915B"/>
    <w:rsid w:val="513F2AAA"/>
    <w:rsid w:val="64F488E4"/>
    <w:rsid w:val="671C2C5D"/>
    <w:rsid w:val="76ADD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65EBE"/>
  <w15:docId w15:val="{A1FD2565-E336-49B1-90A0-FC40CD81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41489C"/>
    <w:rPr>
      <w:i/>
    </w:rPr>
  </w:style>
  <w:style w:type="paragraph" w:customStyle="1" w:styleId="VBAILTAnswerbullet1">
    <w:name w:val="VBAILT Answer bullet 1"/>
    <w:basedOn w:val="VBAILTbullet1"/>
    <w:next w:val="VBAILTBody"/>
    <w:qFormat/>
    <w:rsid w:val="0041489C"/>
    <w:rPr>
      <w:i/>
    </w:rPr>
  </w:style>
  <w:style w:type="paragraph" w:customStyle="1" w:styleId="VBAILTAnswersbullet2">
    <w:name w:val="VBAILT Answers bullet2"/>
    <w:basedOn w:val="VBAILTBullet2"/>
    <w:next w:val="VBAILTBody"/>
    <w:qFormat/>
    <w:rsid w:val="0041489C"/>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NormalWeb">
    <w:name w:val="Normal (Web)"/>
    <w:basedOn w:val="Normal"/>
    <w:uiPriority w:val="99"/>
    <w:unhideWhenUsed/>
    <w:rsid w:val="004828F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300B"/>
    <w:rPr>
      <w:sz w:val="16"/>
      <w:szCs w:val="16"/>
    </w:rPr>
  </w:style>
  <w:style w:type="paragraph" w:styleId="CommentText">
    <w:name w:val="annotation text"/>
    <w:basedOn w:val="Normal"/>
    <w:link w:val="CommentTextChar"/>
    <w:uiPriority w:val="99"/>
    <w:unhideWhenUsed/>
    <w:rsid w:val="0054300B"/>
    <w:pPr>
      <w:spacing w:line="240" w:lineRule="auto"/>
    </w:pPr>
    <w:rPr>
      <w:sz w:val="20"/>
      <w:szCs w:val="20"/>
    </w:rPr>
  </w:style>
  <w:style w:type="character" w:customStyle="1" w:styleId="CommentTextChar">
    <w:name w:val="Comment Text Char"/>
    <w:basedOn w:val="DefaultParagraphFont"/>
    <w:link w:val="CommentText"/>
    <w:uiPriority w:val="99"/>
    <w:rsid w:val="0054300B"/>
    <w:rPr>
      <w:sz w:val="20"/>
      <w:szCs w:val="20"/>
    </w:rPr>
  </w:style>
  <w:style w:type="paragraph" w:styleId="CommentSubject">
    <w:name w:val="annotation subject"/>
    <w:basedOn w:val="CommentText"/>
    <w:next w:val="CommentText"/>
    <w:link w:val="CommentSubjectChar"/>
    <w:uiPriority w:val="99"/>
    <w:semiHidden/>
    <w:unhideWhenUsed/>
    <w:rsid w:val="0054300B"/>
    <w:rPr>
      <w:b/>
      <w:bCs/>
    </w:rPr>
  </w:style>
  <w:style w:type="character" w:customStyle="1" w:styleId="CommentSubjectChar">
    <w:name w:val="Comment Subject Char"/>
    <w:basedOn w:val="CommentTextChar"/>
    <w:link w:val="CommentSubject"/>
    <w:uiPriority w:val="99"/>
    <w:semiHidden/>
    <w:rsid w:val="0054300B"/>
    <w:rPr>
      <w:b/>
      <w:bCs/>
      <w:sz w:val="20"/>
      <w:szCs w:val="20"/>
    </w:rPr>
  </w:style>
  <w:style w:type="character" w:styleId="Hyperlink">
    <w:name w:val="Hyperlink"/>
    <w:basedOn w:val="DefaultParagraphFont"/>
    <w:uiPriority w:val="99"/>
    <w:unhideWhenUsed/>
    <w:rsid w:val="00DB7C94"/>
    <w:rPr>
      <w:color w:val="0563C1"/>
      <w:u w:val="single"/>
    </w:rPr>
  </w:style>
  <w:style w:type="character" w:styleId="Emphasis">
    <w:name w:val="Emphasis"/>
    <w:basedOn w:val="DefaultParagraphFont"/>
    <w:uiPriority w:val="20"/>
    <w:qFormat/>
    <w:rsid w:val="00166ACB"/>
    <w:rPr>
      <w:i/>
      <w:iCs/>
    </w:rPr>
  </w:style>
  <w:style w:type="paragraph" w:styleId="Revision">
    <w:name w:val="Revision"/>
    <w:hidden/>
    <w:uiPriority w:val="99"/>
    <w:semiHidden/>
    <w:rsid w:val="00077B75"/>
    <w:pPr>
      <w:spacing w:after="0" w:line="240" w:lineRule="auto"/>
    </w:pPr>
  </w:style>
  <w:style w:type="character" w:styleId="FollowedHyperlink">
    <w:name w:val="FollowedHyperlink"/>
    <w:basedOn w:val="DefaultParagraphFont"/>
    <w:uiPriority w:val="99"/>
    <w:semiHidden/>
    <w:unhideWhenUsed/>
    <w:rsid w:val="007138DD"/>
    <w:rPr>
      <w:color w:val="954F72" w:themeColor="followedHyperlink"/>
      <w:u w:val="single"/>
    </w:rPr>
  </w:style>
  <w:style w:type="table" w:customStyle="1" w:styleId="TableGridLight1">
    <w:name w:val="Table Grid Light1"/>
    <w:basedOn w:val="TableNormal"/>
    <w:uiPriority w:val="40"/>
    <w:rsid w:val="009952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140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3719">
      <w:bodyDiv w:val="1"/>
      <w:marLeft w:val="0"/>
      <w:marRight w:val="0"/>
      <w:marTop w:val="0"/>
      <w:marBottom w:val="0"/>
      <w:divBdr>
        <w:top w:val="none" w:sz="0" w:space="0" w:color="auto"/>
        <w:left w:val="none" w:sz="0" w:space="0" w:color="auto"/>
        <w:bottom w:val="none" w:sz="0" w:space="0" w:color="auto"/>
        <w:right w:val="none" w:sz="0" w:space="0" w:color="auto"/>
      </w:divBdr>
      <w:divsChild>
        <w:div w:id="1612082619">
          <w:marLeft w:val="547"/>
          <w:marRight w:val="0"/>
          <w:marTop w:val="0"/>
          <w:marBottom w:val="0"/>
          <w:divBdr>
            <w:top w:val="none" w:sz="0" w:space="0" w:color="auto"/>
            <w:left w:val="none" w:sz="0" w:space="0" w:color="auto"/>
            <w:bottom w:val="none" w:sz="0" w:space="0" w:color="auto"/>
            <w:right w:val="none" w:sz="0" w:space="0" w:color="auto"/>
          </w:divBdr>
        </w:div>
        <w:div w:id="968628857">
          <w:marLeft w:val="547"/>
          <w:marRight w:val="0"/>
          <w:marTop w:val="0"/>
          <w:marBottom w:val="0"/>
          <w:divBdr>
            <w:top w:val="none" w:sz="0" w:space="0" w:color="auto"/>
            <w:left w:val="none" w:sz="0" w:space="0" w:color="auto"/>
            <w:bottom w:val="none" w:sz="0" w:space="0" w:color="auto"/>
            <w:right w:val="none" w:sz="0" w:space="0" w:color="auto"/>
          </w:divBdr>
        </w:div>
        <w:div w:id="745154026">
          <w:marLeft w:val="547"/>
          <w:marRight w:val="0"/>
          <w:marTop w:val="0"/>
          <w:marBottom w:val="0"/>
          <w:divBdr>
            <w:top w:val="none" w:sz="0" w:space="0" w:color="auto"/>
            <w:left w:val="none" w:sz="0" w:space="0" w:color="auto"/>
            <w:bottom w:val="none" w:sz="0" w:space="0" w:color="auto"/>
            <w:right w:val="none" w:sz="0" w:space="0" w:color="auto"/>
          </w:divBdr>
        </w:div>
      </w:divsChild>
    </w:div>
    <w:div w:id="332146980">
      <w:bodyDiv w:val="1"/>
      <w:marLeft w:val="0"/>
      <w:marRight w:val="0"/>
      <w:marTop w:val="0"/>
      <w:marBottom w:val="0"/>
      <w:divBdr>
        <w:top w:val="none" w:sz="0" w:space="0" w:color="auto"/>
        <w:left w:val="none" w:sz="0" w:space="0" w:color="auto"/>
        <w:bottom w:val="none" w:sz="0" w:space="0" w:color="auto"/>
        <w:right w:val="none" w:sz="0" w:space="0" w:color="auto"/>
      </w:divBdr>
      <w:divsChild>
        <w:div w:id="929192043">
          <w:marLeft w:val="547"/>
          <w:marRight w:val="0"/>
          <w:marTop w:val="115"/>
          <w:marBottom w:val="0"/>
          <w:divBdr>
            <w:top w:val="none" w:sz="0" w:space="0" w:color="auto"/>
            <w:left w:val="none" w:sz="0" w:space="0" w:color="auto"/>
            <w:bottom w:val="none" w:sz="0" w:space="0" w:color="auto"/>
            <w:right w:val="none" w:sz="0" w:space="0" w:color="auto"/>
          </w:divBdr>
        </w:div>
      </w:divsChild>
    </w:div>
    <w:div w:id="507404305">
      <w:bodyDiv w:val="1"/>
      <w:marLeft w:val="0"/>
      <w:marRight w:val="0"/>
      <w:marTop w:val="0"/>
      <w:marBottom w:val="0"/>
      <w:divBdr>
        <w:top w:val="none" w:sz="0" w:space="0" w:color="auto"/>
        <w:left w:val="none" w:sz="0" w:space="0" w:color="auto"/>
        <w:bottom w:val="none" w:sz="0" w:space="0" w:color="auto"/>
        <w:right w:val="none" w:sz="0" w:space="0" w:color="auto"/>
      </w:divBdr>
      <w:divsChild>
        <w:div w:id="1495755144">
          <w:marLeft w:val="547"/>
          <w:marRight w:val="0"/>
          <w:marTop w:val="115"/>
          <w:marBottom w:val="0"/>
          <w:divBdr>
            <w:top w:val="none" w:sz="0" w:space="0" w:color="auto"/>
            <w:left w:val="none" w:sz="0" w:space="0" w:color="auto"/>
            <w:bottom w:val="none" w:sz="0" w:space="0" w:color="auto"/>
            <w:right w:val="none" w:sz="0" w:space="0" w:color="auto"/>
          </w:divBdr>
        </w:div>
        <w:div w:id="1408502025">
          <w:marLeft w:val="547"/>
          <w:marRight w:val="0"/>
          <w:marTop w:val="115"/>
          <w:marBottom w:val="0"/>
          <w:divBdr>
            <w:top w:val="none" w:sz="0" w:space="0" w:color="auto"/>
            <w:left w:val="none" w:sz="0" w:space="0" w:color="auto"/>
            <w:bottom w:val="none" w:sz="0" w:space="0" w:color="auto"/>
            <w:right w:val="none" w:sz="0" w:space="0" w:color="auto"/>
          </w:divBdr>
        </w:div>
      </w:divsChild>
    </w:div>
    <w:div w:id="703486345">
      <w:bodyDiv w:val="1"/>
      <w:marLeft w:val="0"/>
      <w:marRight w:val="0"/>
      <w:marTop w:val="0"/>
      <w:marBottom w:val="0"/>
      <w:divBdr>
        <w:top w:val="none" w:sz="0" w:space="0" w:color="auto"/>
        <w:left w:val="none" w:sz="0" w:space="0" w:color="auto"/>
        <w:bottom w:val="none" w:sz="0" w:space="0" w:color="auto"/>
        <w:right w:val="none" w:sz="0" w:space="0" w:color="auto"/>
      </w:divBdr>
    </w:div>
    <w:div w:id="755709674">
      <w:bodyDiv w:val="1"/>
      <w:marLeft w:val="0"/>
      <w:marRight w:val="0"/>
      <w:marTop w:val="0"/>
      <w:marBottom w:val="0"/>
      <w:divBdr>
        <w:top w:val="none" w:sz="0" w:space="0" w:color="auto"/>
        <w:left w:val="none" w:sz="0" w:space="0" w:color="auto"/>
        <w:bottom w:val="none" w:sz="0" w:space="0" w:color="auto"/>
        <w:right w:val="none" w:sz="0" w:space="0" w:color="auto"/>
      </w:divBdr>
      <w:divsChild>
        <w:div w:id="497160984">
          <w:marLeft w:val="547"/>
          <w:marRight w:val="0"/>
          <w:marTop w:val="0"/>
          <w:marBottom w:val="0"/>
          <w:divBdr>
            <w:top w:val="none" w:sz="0" w:space="0" w:color="auto"/>
            <w:left w:val="none" w:sz="0" w:space="0" w:color="auto"/>
            <w:bottom w:val="none" w:sz="0" w:space="0" w:color="auto"/>
            <w:right w:val="none" w:sz="0" w:space="0" w:color="auto"/>
          </w:divBdr>
        </w:div>
        <w:div w:id="599262682">
          <w:marLeft w:val="547"/>
          <w:marRight w:val="0"/>
          <w:marTop w:val="0"/>
          <w:marBottom w:val="0"/>
          <w:divBdr>
            <w:top w:val="none" w:sz="0" w:space="0" w:color="auto"/>
            <w:left w:val="none" w:sz="0" w:space="0" w:color="auto"/>
            <w:bottom w:val="none" w:sz="0" w:space="0" w:color="auto"/>
            <w:right w:val="none" w:sz="0" w:space="0" w:color="auto"/>
          </w:divBdr>
        </w:div>
        <w:div w:id="828599343">
          <w:marLeft w:val="547"/>
          <w:marRight w:val="0"/>
          <w:marTop w:val="0"/>
          <w:marBottom w:val="0"/>
          <w:divBdr>
            <w:top w:val="none" w:sz="0" w:space="0" w:color="auto"/>
            <w:left w:val="none" w:sz="0" w:space="0" w:color="auto"/>
            <w:bottom w:val="none" w:sz="0" w:space="0" w:color="auto"/>
            <w:right w:val="none" w:sz="0" w:space="0" w:color="auto"/>
          </w:divBdr>
        </w:div>
      </w:divsChild>
    </w:div>
    <w:div w:id="929967493">
      <w:bodyDiv w:val="1"/>
      <w:marLeft w:val="0"/>
      <w:marRight w:val="0"/>
      <w:marTop w:val="0"/>
      <w:marBottom w:val="0"/>
      <w:divBdr>
        <w:top w:val="none" w:sz="0" w:space="0" w:color="auto"/>
        <w:left w:val="none" w:sz="0" w:space="0" w:color="auto"/>
        <w:bottom w:val="none" w:sz="0" w:space="0" w:color="auto"/>
        <w:right w:val="none" w:sz="0" w:space="0" w:color="auto"/>
      </w:divBdr>
      <w:divsChild>
        <w:div w:id="982924958">
          <w:marLeft w:val="1166"/>
          <w:marRight w:val="0"/>
          <w:marTop w:val="115"/>
          <w:marBottom w:val="0"/>
          <w:divBdr>
            <w:top w:val="none" w:sz="0" w:space="0" w:color="auto"/>
            <w:left w:val="none" w:sz="0" w:space="0" w:color="auto"/>
            <w:bottom w:val="none" w:sz="0" w:space="0" w:color="auto"/>
            <w:right w:val="none" w:sz="0" w:space="0" w:color="auto"/>
          </w:divBdr>
        </w:div>
        <w:div w:id="394280649">
          <w:marLeft w:val="1166"/>
          <w:marRight w:val="0"/>
          <w:marTop w:val="115"/>
          <w:marBottom w:val="0"/>
          <w:divBdr>
            <w:top w:val="none" w:sz="0" w:space="0" w:color="auto"/>
            <w:left w:val="none" w:sz="0" w:space="0" w:color="auto"/>
            <w:bottom w:val="none" w:sz="0" w:space="0" w:color="auto"/>
            <w:right w:val="none" w:sz="0" w:space="0" w:color="auto"/>
          </w:divBdr>
        </w:div>
      </w:divsChild>
    </w:div>
    <w:div w:id="1004473316">
      <w:bodyDiv w:val="1"/>
      <w:marLeft w:val="0"/>
      <w:marRight w:val="0"/>
      <w:marTop w:val="0"/>
      <w:marBottom w:val="0"/>
      <w:divBdr>
        <w:top w:val="none" w:sz="0" w:space="0" w:color="auto"/>
        <w:left w:val="none" w:sz="0" w:space="0" w:color="auto"/>
        <w:bottom w:val="none" w:sz="0" w:space="0" w:color="auto"/>
        <w:right w:val="none" w:sz="0" w:space="0" w:color="auto"/>
      </w:divBdr>
      <w:divsChild>
        <w:div w:id="2068144769">
          <w:marLeft w:val="547"/>
          <w:marRight w:val="0"/>
          <w:marTop w:val="115"/>
          <w:marBottom w:val="0"/>
          <w:divBdr>
            <w:top w:val="none" w:sz="0" w:space="0" w:color="auto"/>
            <w:left w:val="none" w:sz="0" w:space="0" w:color="auto"/>
            <w:bottom w:val="none" w:sz="0" w:space="0" w:color="auto"/>
            <w:right w:val="none" w:sz="0" w:space="0" w:color="auto"/>
          </w:divBdr>
        </w:div>
        <w:div w:id="1971280754">
          <w:marLeft w:val="547"/>
          <w:marRight w:val="0"/>
          <w:marTop w:val="115"/>
          <w:marBottom w:val="0"/>
          <w:divBdr>
            <w:top w:val="none" w:sz="0" w:space="0" w:color="auto"/>
            <w:left w:val="none" w:sz="0" w:space="0" w:color="auto"/>
            <w:bottom w:val="none" w:sz="0" w:space="0" w:color="auto"/>
            <w:right w:val="none" w:sz="0" w:space="0" w:color="auto"/>
          </w:divBdr>
        </w:div>
      </w:divsChild>
    </w:div>
    <w:div w:id="1314797243">
      <w:bodyDiv w:val="1"/>
      <w:marLeft w:val="0"/>
      <w:marRight w:val="0"/>
      <w:marTop w:val="0"/>
      <w:marBottom w:val="0"/>
      <w:divBdr>
        <w:top w:val="none" w:sz="0" w:space="0" w:color="auto"/>
        <w:left w:val="none" w:sz="0" w:space="0" w:color="auto"/>
        <w:bottom w:val="none" w:sz="0" w:space="0" w:color="auto"/>
        <w:right w:val="none" w:sz="0" w:space="0" w:color="auto"/>
      </w:divBdr>
      <w:divsChild>
        <w:div w:id="1536238656">
          <w:marLeft w:val="1166"/>
          <w:marRight w:val="0"/>
          <w:marTop w:val="106"/>
          <w:marBottom w:val="0"/>
          <w:divBdr>
            <w:top w:val="none" w:sz="0" w:space="0" w:color="auto"/>
            <w:left w:val="none" w:sz="0" w:space="0" w:color="auto"/>
            <w:bottom w:val="none" w:sz="0" w:space="0" w:color="auto"/>
            <w:right w:val="none" w:sz="0" w:space="0" w:color="auto"/>
          </w:divBdr>
        </w:div>
      </w:divsChild>
    </w:div>
    <w:div w:id="1681472589">
      <w:bodyDiv w:val="1"/>
      <w:marLeft w:val="0"/>
      <w:marRight w:val="0"/>
      <w:marTop w:val="0"/>
      <w:marBottom w:val="0"/>
      <w:divBdr>
        <w:top w:val="none" w:sz="0" w:space="0" w:color="auto"/>
        <w:left w:val="none" w:sz="0" w:space="0" w:color="auto"/>
        <w:bottom w:val="none" w:sz="0" w:space="0" w:color="auto"/>
        <w:right w:val="none" w:sz="0" w:space="0" w:color="auto"/>
      </w:divBdr>
    </w:div>
    <w:div w:id="2003385389">
      <w:bodyDiv w:val="1"/>
      <w:marLeft w:val="0"/>
      <w:marRight w:val="0"/>
      <w:marTop w:val="0"/>
      <w:marBottom w:val="0"/>
      <w:divBdr>
        <w:top w:val="none" w:sz="0" w:space="0" w:color="auto"/>
        <w:left w:val="none" w:sz="0" w:space="0" w:color="auto"/>
        <w:bottom w:val="none" w:sz="0" w:space="0" w:color="auto"/>
        <w:right w:val="none" w:sz="0" w:space="0" w:color="auto"/>
      </w:divBdr>
      <w:divsChild>
        <w:div w:id="1220239286">
          <w:marLeft w:val="547"/>
          <w:marRight w:val="0"/>
          <w:marTop w:val="106"/>
          <w:marBottom w:val="0"/>
          <w:divBdr>
            <w:top w:val="none" w:sz="0" w:space="0" w:color="auto"/>
            <w:left w:val="none" w:sz="0" w:space="0" w:color="auto"/>
            <w:bottom w:val="none" w:sz="0" w:space="0" w:color="auto"/>
            <w:right w:val="none" w:sz="0" w:space="0" w:color="auto"/>
          </w:divBdr>
        </w:div>
        <w:div w:id="862740901">
          <w:marLeft w:val="1166"/>
          <w:marRight w:val="0"/>
          <w:marTop w:val="106"/>
          <w:marBottom w:val="0"/>
          <w:divBdr>
            <w:top w:val="none" w:sz="0" w:space="0" w:color="auto"/>
            <w:left w:val="none" w:sz="0" w:space="0" w:color="auto"/>
            <w:bottom w:val="none" w:sz="0" w:space="0" w:color="auto"/>
            <w:right w:val="none" w:sz="0" w:space="0" w:color="auto"/>
          </w:divBdr>
        </w:div>
        <w:div w:id="1280137840">
          <w:marLeft w:val="1166"/>
          <w:marRight w:val="0"/>
          <w:marTop w:val="106"/>
          <w:marBottom w:val="0"/>
          <w:divBdr>
            <w:top w:val="none" w:sz="0" w:space="0" w:color="auto"/>
            <w:left w:val="none" w:sz="0" w:space="0" w:color="auto"/>
            <w:bottom w:val="none" w:sz="0" w:space="0" w:color="auto"/>
            <w:right w:val="none" w:sz="0" w:space="0" w:color="auto"/>
          </w:divBdr>
        </w:div>
        <w:div w:id="1010987163">
          <w:marLeft w:val="1166"/>
          <w:marRight w:val="0"/>
          <w:marTop w:val="106"/>
          <w:marBottom w:val="0"/>
          <w:divBdr>
            <w:top w:val="none" w:sz="0" w:space="0" w:color="auto"/>
            <w:left w:val="none" w:sz="0" w:space="0" w:color="auto"/>
            <w:bottom w:val="none" w:sz="0" w:space="0" w:color="auto"/>
            <w:right w:val="none" w:sz="0" w:space="0" w:color="auto"/>
          </w:divBdr>
        </w:div>
        <w:div w:id="1000887071">
          <w:marLeft w:val="1800"/>
          <w:marRight w:val="0"/>
          <w:marTop w:val="106"/>
          <w:marBottom w:val="0"/>
          <w:divBdr>
            <w:top w:val="none" w:sz="0" w:space="0" w:color="auto"/>
            <w:left w:val="none" w:sz="0" w:space="0" w:color="auto"/>
            <w:bottom w:val="none" w:sz="0" w:space="0" w:color="auto"/>
            <w:right w:val="none" w:sz="0" w:space="0" w:color="auto"/>
          </w:divBdr>
        </w:div>
        <w:div w:id="1549954686">
          <w:marLeft w:val="1800"/>
          <w:marRight w:val="0"/>
          <w:marTop w:val="106"/>
          <w:marBottom w:val="0"/>
          <w:divBdr>
            <w:top w:val="none" w:sz="0" w:space="0" w:color="auto"/>
            <w:left w:val="none" w:sz="0" w:space="0" w:color="auto"/>
            <w:bottom w:val="none" w:sz="0" w:space="0" w:color="auto"/>
            <w:right w:val="none" w:sz="0" w:space="0" w:color="auto"/>
          </w:divBdr>
        </w:div>
        <w:div w:id="271210318">
          <w:marLeft w:val="1800"/>
          <w:marRight w:val="0"/>
          <w:marTop w:val="106"/>
          <w:marBottom w:val="0"/>
          <w:divBdr>
            <w:top w:val="none" w:sz="0" w:space="0" w:color="auto"/>
            <w:left w:val="none" w:sz="0" w:space="0" w:color="auto"/>
            <w:bottom w:val="none" w:sz="0" w:space="0" w:color="auto"/>
            <w:right w:val="none" w:sz="0" w:space="0" w:color="auto"/>
          </w:divBdr>
        </w:div>
        <w:div w:id="763257904">
          <w:marLeft w:val="1800"/>
          <w:marRight w:val="0"/>
          <w:marTop w:val="106"/>
          <w:marBottom w:val="0"/>
          <w:divBdr>
            <w:top w:val="none" w:sz="0" w:space="0" w:color="auto"/>
            <w:left w:val="none" w:sz="0" w:space="0" w:color="auto"/>
            <w:bottom w:val="none" w:sz="0" w:space="0" w:color="auto"/>
            <w:right w:val="none" w:sz="0" w:space="0" w:color="auto"/>
          </w:divBdr>
        </w:div>
        <w:div w:id="775755905">
          <w:marLeft w:val="1166"/>
          <w:marRight w:val="0"/>
          <w:marTop w:val="106"/>
          <w:marBottom w:val="0"/>
          <w:divBdr>
            <w:top w:val="none" w:sz="0" w:space="0" w:color="auto"/>
            <w:left w:val="none" w:sz="0" w:space="0" w:color="auto"/>
            <w:bottom w:val="none" w:sz="0" w:space="0" w:color="auto"/>
            <w:right w:val="none" w:sz="0" w:space="0" w:color="auto"/>
          </w:divBdr>
        </w:div>
        <w:div w:id="1514147180">
          <w:marLeft w:val="547"/>
          <w:marRight w:val="0"/>
          <w:marTop w:val="106"/>
          <w:marBottom w:val="0"/>
          <w:divBdr>
            <w:top w:val="none" w:sz="0" w:space="0" w:color="auto"/>
            <w:left w:val="none" w:sz="0" w:space="0" w:color="auto"/>
            <w:bottom w:val="none" w:sz="0" w:space="0" w:color="auto"/>
            <w:right w:val="none" w:sz="0" w:space="0" w:color="auto"/>
          </w:divBdr>
        </w:div>
      </w:divsChild>
    </w:div>
    <w:div w:id="2121996790">
      <w:bodyDiv w:val="1"/>
      <w:marLeft w:val="0"/>
      <w:marRight w:val="0"/>
      <w:marTop w:val="0"/>
      <w:marBottom w:val="0"/>
      <w:divBdr>
        <w:top w:val="none" w:sz="0" w:space="0" w:color="auto"/>
        <w:left w:val="none" w:sz="0" w:space="0" w:color="auto"/>
        <w:bottom w:val="none" w:sz="0" w:space="0" w:color="auto"/>
        <w:right w:val="none" w:sz="0" w:space="0" w:color="auto"/>
      </w:divBdr>
      <w:divsChild>
        <w:div w:id="8246662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7808ecb744d6a550b19d907eacbcfcaa&amp;mc=true&amp;node=se38.1.3_1272&amp;rgn=div8"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cfr.gov/cgi-bin/text-idx?SID=7808ecb744d6a550b19d907eacbcfcaa&amp;mc=true&amp;node=se38.1.3_1272&amp;rgn=div8" TargetMode="External"/><Relationship Id="rId2" Type="http://schemas.openxmlformats.org/officeDocument/2006/relationships/customXml" Target="../customXml/item2.xml"/><Relationship Id="rId16" Type="http://schemas.openxmlformats.org/officeDocument/2006/relationships/hyperlink" Target="https://www.ecfr.gov/cgi-bin/text-idx?SID=7808ecb744d6a550b19d907eacbcfcaa&amp;mc=true&amp;node=se38.1.3_1272&amp;rgn=div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fr.gov/cgi-bin/text-idx?SID=7808ecb744d6a550b19d907eacbcfcaa&amp;mc=true&amp;node=se38.1.3_1272&amp;rgn=div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7808ecb744d6a550b19d907eacbcfcaa&amp;mc=true&amp;node=se38.1.3_1272&amp;rgn=div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44DF20DA-1833-4C3B-A1AC-3DC123341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77F79-C5C3-4981-AD09-4DB7352D5C6E}">
  <ds:schemaRefs>
    <ds:schemaRef ds:uri="http://schemas.openxmlformats.org/officeDocument/2006/bibliography"/>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Lesson 18: Select Qualifying Expenses Trainee Guide</vt:lpstr>
    </vt:vector>
  </TitlesOfParts>
  <Company>Veterans Benefits Administration</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18: Select Qualifying Expenses Trainee Guide</dc:title>
  <dc:creator>Department of Veterans Affairs, Veterans Benefits Administration, Pension and Fiduciary Service, STAFF</dc:creator>
  <cp:lastModifiedBy>Kathy Poole</cp:lastModifiedBy>
  <cp:revision>3</cp:revision>
  <dcterms:created xsi:type="dcterms:W3CDTF">2024-06-13T14:19:00Z</dcterms:created>
  <dcterms:modified xsi:type="dcterms:W3CDTF">2024-06-13T17:10:00Z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