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6F73C" w14:textId="364FB505" w:rsidR="00C8779F" w:rsidRDefault="000705C1" w:rsidP="003E3D02">
      <w:pPr>
        <w:pStyle w:val="VBAILTCoverService"/>
      </w:pPr>
      <w:r>
        <w:t>Pension and fiduciary service</w:t>
      </w:r>
    </w:p>
    <w:p w14:paraId="4A2BDEAF" w14:textId="77777777" w:rsidR="006069F3" w:rsidRDefault="006069F3" w:rsidP="006069F3">
      <w:pPr>
        <w:pStyle w:val="VBAILTCoverdoctypecourse"/>
      </w:pPr>
      <w:r>
        <w:t>PMC VSR Intermediate Core Course</w:t>
      </w:r>
      <w:r>
        <w:br/>
        <w:t>Phase 5:</w:t>
      </w:r>
      <w:r w:rsidRPr="005D74EB">
        <w:rPr>
          <w:szCs w:val="22"/>
        </w:rPr>
        <w:t xml:space="preserve"> </w:t>
      </w:r>
      <w:r>
        <w:rPr>
          <w:szCs w:val="22"/>
        </w:rPr>
        <w:t>Proficiency Development</w:t>
      </w:r>
      <w:r>
        <w:rPr>
          <w:szCs w:val="22"/>
        </w:rPr>
        <w:br/>
        <w:t>Part 1(a): Types of Claims</w:t>
      </w:r>
    </w:p>
    <w:p w14:paraId="7326F73E" w14:textId="6C4CCD18" w:rsidR="00C214A9" w:rsidRDefault="00C33DE2" w:rsidP="00C8779F">
      <w:pPr>
        <w:pStyle w:val="VBAILTCoverLessonTitle"/>
      </w:pPr>
      <w:r w:rsidRPr="00C33DE2">
        <w:rPr>
          <w:bCs/>
        </w:rPr>
        <w:t>Introduction to Old Law and Section 306</w:t>
      </w:r>
      <w:r w:rsidR="009C4CA2">
        <w:rPr>
          <w:bCs/>
        </w:rPr>
        <w:t xml:space="preserve"> Programs</w:t>
      </w:r>
    </w:p>
    <w:p w14:paraId="7326F73F" w14:textId="2AD29648" w:rsidR="00C30F06" w:rsidRPr="00C214A9" w:rsidRDefault="00EC14B2" w:rsidP="00C8779F">
      <w:pPr>
        <w:pStyle w:val="VBAILTCoverdoctypecourse"/>
      </w:pPr>
      <w:r>
        <w:t>Trainee Guide</w:t>
      </w:r>
    </w:p>
    <w:p w14:paraId="7326F741" w14:textId="4BC56595" w:rsidR="00C30F06" w:rsidRPr="006F1E07" w:rsidRDefault="006069F3" w:rsidP="006F1E07">
      <w:pPr>
        <w:pStyle w:val="VBAILTCoverMisc"/>
      </w:pPr>
      <w:r>
        <w:t>May 2024</w:t>
      </w:r>
      <w:r w:rsidR="00C30F06">
        <w:br w:type="page"/>
      </w:r>
    </w:p>
    <w:p w14:paraId="7326F743" w14:textId="0F568748" w:rsidR="00C214A9" w:rsidRDefault="00C33DE2" w:rsidP="002D1DCE">
      <w:pPr>
        <w:pStyle w:val="VBAILTHeading1"/>
      </w:pPr>
      <w:r w:rsidRPr="00C33DE2">
        <w:rPr>
          <w:bCs/>
        </w:rPr>
        <w:lastRenderedPageBreak/>
        <w:t>Introduction to Old Law and Section 306</w:t>
      </w:r>
    </w:p>
    <w:p w14:paraId="7326F744" w14:textId="77777777" w:rsidR="00C214A9" w:rsidRPr="00C214A9" w:rsidRDefault="00C214A9" w:rsidP="002E7FD3">
      <w:pPr>
        <w:pStyle w:val="VBAILTHeading2"/>
      </w:pPr>
      <w:r w:rsidRPr="00C214A9">
        <w:t xml:space="preserve">Lesson </w:t>
      </w:r>
      <w:r w:rsidR="002D1DCE">
        <w:t>Overview</w:t>
      </w: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848"/>
        <w:gridCol w:w="7512"/>
      </w:tblGrid>
      <w:tr w:rsidR="003B118F" w14:paraId="7326F747" w14:textId="77777777" w:rsidTr="00587072">
        <w:trPr>
          <w:cantSplit/>
          <w:trHeight w:val="548"/>
          <w:tblHeader/>
        </w:trPr>
        <w:tc>
          <w:tcPr>
            <w:tcW w:w="1848" w:type="dxa"/>
            <w:shd w:val="clear" w:color="auto" w:fill="BDD6EE" w:themeFill="accent1" w:themeFillTint="66"/>
          </w:tcPr>
          <w:p w14:paraId="7326F745" w14:textId="77777777" w:rsidR="003B118F" w:rsidRDefault="003B118F" w:rsidP="003B118F">
            <w:pPr>
              <w:pStyle w:val="VBAILTTableHeading1"/>
            </w:pPr>
            <w:r>
              <w:t>Topic</w:t>
            </w:r>
          </w:p>
        </w:tc>
        <w:tc>
          <w:tcPr>
            <w:tcW w:w="7512" w:type="dxa"/>
            <w:shd w:val="clear" w:color="auto" w:fill="BDD6EE" w:themeFill="accent1" w:themeFillTint="66"/>
          </w:tcPr>
          <w:p w14:paraId="7326F746" w14:textId="77777777" w:rsidR="003B118F" w:rsidRDefault="003B118F" w:rsidP="003B118F">
            <w:pPr>
              <w:pStyle w:val="VBAILTTableHeading1"/>
            </w:pPr>
            <w:r>
              <w:t>Description</w:t>
            </w:r>
          </w:p>
        </w:tc>
      </w:tr>
      <w:tr w:rsidR="00267BA2" w14:paraId="7326F74A" w14:textId="77777777" w:rsidTr="00587072">
        <w:trPr>
          <w:cantSplit/>
          <w:trHeight w:val="1152"/>
        </w:trPr>
        <w:tc>
          <w:tcPr>
            <w:tcW w:w="1848" w:type="dxa"/>
          </w:tcPr>
          <w:p w14:paraId="7326F748" w14:textId="77777777" w:rsidR="00267BA2" w:rsidRDefault="00267BA2" w:rsidP="00382471">
            <w:pPr>
              <w:pStyle w:val="VBAILTBody"/>
            </w:pPr>
            <w:r>
              <w:t>Time Estimate</w:t>
            </w:r>
            <w:r w:rsidR="00077BE7">
              <w:t>:</w:t>
            </w:r>
          </w:p>
        </w:tc>
        <w:tc>
          <w:tcPr>
            <w:tcW w:w="7512" w:type="dxa"/>
          </w:tcPr>
          <w:p w14:paraId="7326F749" w14:textId="025F72AE" w:rsidR="00267BA2" w:rsidRDefault="003541B3" w:rsidP="00382471">
            <w:pPr>
              <w:pStyle w:val="VBAILTBody"/>
            </w:pPr>
            <w:r>
              <w:t>30 min.</w:t>
            </w:r>
          </w:p>
        </w:tc>
      </w:tr>
      <w:tr w:rsidR="002D1DCE" w14:paraId="7326F74D" w14:textId="77777777" w:rsidTr="00587072">
        <w:trPr>
          <w:cantSplit/>
          <w:trHeight w:val="1152"/>
        </w:trPr>
        <w:tc>
          <w:tcPr>
            <w:tcW w:w="1848" w:type="dxa"/>
          </w:tcPr>
          <w:p w14:paraId="7326F74B" w14:textId="77777777" w:rsidR="002D1DCE" w:rsidRDefault="00267BA2" w:rsidP="001262F7">
            <w:pPr>
              <w:pStyle w:val="VBAILTBody"/>
            </w:pPr>
            <w:r>
              <w:t>Purpose of the Lesson:</w:t>
            </w:r>
          </w:p>
        </w:tc>
        <w:tc>
          <w:tcPr>
            <w:tcW w:w="7512" w:type="dxa"/>
          </w:tcPr>
          <w:p w14:paraId="7326F74C" w14:textId="77777777" w:rsidR="002D1DCE" w:rsidRDefault="008164CA" w:rsidP="00250591">
            <w:pPr>
              <w:pStyle w:val="VBAILTBody"/>
            </w:pPr>
            <w:r>
              <w:t xml:space="preserve">This lesson is part of </w:t>
            </w:r>
            <w:r w:rsidR="009A5A17">
              <w:t xml:space="preserve">the entry-level curriculum, Core Course for </w:t>
            </w:r>
            <w:r>
              <w:t xml:space="preserve">PMC VSRs. </w:t>
            </w:r>
            <w:r w:rsidR="003541B3" w:rsidRPr="003541B3">
              <w:t xml:space="preserve">The purpose of this lesson is to prepare </w:t>
            </w:r>
            <w:r w:rsidR="00250591">
              <w:t>you</w:t>
            </w:r>
            <w:r w:rsidR="003541B3" w:rsidRPr="003541B3">
              <w:t xml:space="preserve"> to recognize Section 306 and Old Law Pension related claims</w:t>
            </w:r>
            <w:r w:rsidR="003541B3">
              <w:t>.</w:t>
            </w:r>
          </w:p>
        </w:tc>
      </w:tr>
      <w:tr w:rsidR="00715072" w14:paraId="447F9DF6" w14:textId="77777777" w:rsidTr="00587072">
        <w:trPr>
          <w:cantSplit/>
          <w:trHeight w:val="1152"/>
        </w:trPr>
        <w:tc>
          <w:tcPr>
            <w:tcW w:w="1848" w:type="dxa"/>
          </w:tcPr>
          <w:p w14:paraId="40C90356" w14:textId="1B902652" w:rsidR="00715072" w:rsidRDefault="00715072" w:rsidP="00715072">
            <w:pPr>
              <w:pStyle w:val="VBAILTBody"/>
            </w:pPr>
            <w:r>
              <w:t>Prerequisite Training Requirements:</w:t>
            </w:r>
          </w:p>
        </w:tc>
        <w:tc>
          <w:tcPr>
            <w:tcW w:w="7512" w:type="dxa"/>
          </w:tcPr>
          <w:p w14:paraId="7A91BFFF" w14:textId="6834D1C9" w:rsidR="00715072" w:rsidRDefault="00715072" w:rsidP="00715072">
            <w:pPr>
              <w:pStyle w:val="VBAILTBody"/>
            </w:pPr>
            <w:r w:rsidRPr="00344FE1">
              <w:t xml:space="preserve">Prior to taking Introduction to Old Law and Section 306 lesson, trainees must complete PMC VSR Core Course Phases 1–4. </w:t>
            </w:r>
          </w:p>
        </w:tc>
      </w:tr>
      <w:tr w:rsidR="00715072" w14:paraId="7326F757" w14:textId="77777777" w:rsidTr="00587072">
        <w:trPr>
          <w:cantSplit/>
          <w:trHeight w:val="1152"/>
        </w:trPr>
        <w:tc>
          <w:tcPr>
            <w:tcW w:w="1848" w:type="dxa"/>
          </w:tcPr>
          <w:p w14:paraId="7326F754" w14:textId="77777777" w:rsidR="00715072" w:rsidRDefault="00715072" w:rsidP="00715072">
            <w:pPr>
              <w:pStyle w:val="VBAILTBody"/>
            </w:pPr>
            <w:r>
              <w:t>Lesson References:</w:t>
            </w:r>
          </w:p>
        </w:tc>
        <w:tc>
          <w:tcPr>
            <w:tcW w:w="7512" w:type="dxa"/>
          </w:tcPr>
          <w:p w14:paraId="3B6AB799" w14:textId="77777777" w:rsidR="00AF3EEC" w:rsidRPr="00C92B1C" w:rsidRDefault="00AF3EEC" w:rsidP="00AF3EEC">
            <w:pPr>
              <w:pStyle w:val="VBAILTbullet1"/>
              <w:rPr>
                <w:rStyle w:val="Strong"/>
                <w:b w:val="0"/>
                <w:bCs w:val="0"/>
              </w:rPr>
            </w:pPr>
            <w:r w:rsidRPr="00C92B1C">
              <w:rPr>
                <w:rStyle w:val="Strong"/>
                <w:b w:val="0"/>
                <w:bCs w:val="0"/>
              </w:rPr>
              <w:t>M21-1 IX.iii.1.C.</w:t>
            </w:r>
            <w:r>
              <w:rPr>
                <w:rStyle w:val="Strong"/>
                <w:b w:val="0"/>
                <w:bCs w:val="0"/>
              </w:rPr>
              <w:t xml:space="preserve"> </w:t>
            </w:r>
            <w:r w:rsidRPr="00F2656C">
              <w:rPr>
                <w:rStyle w:val="Strong"/>
                <w:b w:val="0"/>
                <w:bCs w:val="0"/>
              </w:rPr>
              <w:t>(Section 306 Pension and Old-Law Pension)</w:t>
            </w:r>
          </w:p>
          <w:p w14:paraId="081238C2" w14:textId="77777777" w:rsidR="00AF3EEC" w:rsidRPr="00050610" w:rsidRDefault="00AF3EEC" w:rsidP="00AF3EEC">
            <w:pPr>
              <w:pStyle w:val="VBAILTbullet1"/>
              <w:rPr>
                <w:rStyle w:val="Strong"/>
                <w:b w:val="0"/>
                <w:bCs w:val="0"/>
              </w:rPr>
            </w:pPr>
            <w:r w:rsidRPr="00050610">
              <w:rPr>
                <w:rStyle w:val="Strong"/>
                <w:b w:val="0"/>
                <w:bCs w:val="0"/>
              </w:rPr>
              <w:t>M21-1</w:t>
            </w:r>
            <w:r>
              <w:rPr>
                <w:rStyle w:val="Strong"/>
                <w:b w:val="0"/>
                <w:bCs w:val="0"/>
              </w:rPr>
              <w:t xml:space="preserve"> IX</w:t>
            </w:r>
            <w:r w:rsidRPr="00050610">
              <w:rPr>
                <w:rStyle w:val="Strong"/>
                <w:b w:val="0"/>
                <w:bCs w:val="0"/>
              </w:rPr>
              <w:t>.iii.1.C.1.a (Continuity of Entitlement)</w:t>
            </w:r>
          </w:p>
          <w:p w14:paraId="3E182B97" w14:textId="77777777" w:rsidR="00AF3EEC" w:rsidRDefault="00AF3EEC" w:rsidP="00AF3EEC">
            <w:pPr>
              <w:pStyle w:val="VBAILTbullet1"/>
              <w:rPr>
                <w:rStyle w:val="Strong"/>
                <w:b w:val="0"/>
                <w:bCs w:val="0"/>
              </w:rPr>
            </w:pPr>
            <w:r w:rsidRPr="00050610">
              <w:rPr>
                <w:rStyle w:val="Strong"/>
                <w:b w:val="0"/>
                <w:bCs w:val="0"/>
              </w:rPr>
              <w:t>M21-1</w:t>
            </w:r>
            <w:r>
              <w:rPr>
                <w:rStyle w:val="Strong"/>
                <w:b w:val="0"/>
                <w:bCs w:val="0"/>
              </w:rPr>
              <w:t xml:space="preserve"> IX</w:t>
            </w:r>
            <w:r w:rsidRPr="00050610">
              <w:rPr>
                <w:rStyle w:val="Strong"/>
                <w:b w:val="0"/>
                <w:bCs w:val="0"/>
              </w:rPr>
              <w:t>.iii.1.C.1.b (</w:t>
            </w:r>
            <w:r w:rsidRPr="00050610">
              <w:t>Calendar Year IVAP</w:t>
            </w:r>
            <w:r w:rsidRPr="00050610">
              <w:rPr>
                <w:rStyle w:val="Strong"/>
                <w:b w:val="0"/>
                <w:bCs w:val="0"/>
              </w:rPr>
              <w:t>)</w:t>
            </w:r>
          </w:p>
          <w:p w14:paraId="404D13C7" w14:textId="77777777" w:rsidR="00AF3EEC" w:rsidRPr="00C67C69" w:rsidRDefault="00AF3EEC" w:rsidP="00AF3EEC">
            <w:pPr>
              <w:pStyle w:val="VBAILTbullet1"/>
              <w:rPr>
                <w:rStyle w:val="Strong"/>
                <w:b w:val="0"/>
                <w:bCs w:val="0"/>
              </w:rPr>
            </w:pPr>
            <w:r w:rsidRPr="00050610">
              <w:rPr>
                <w:rStyle w:val="Strong"/>
                <w:b w:val="0"/>
                <w:bCs w:val="0"/>
              </w:rPr>
              <w:t>M21-1</w:t>
            </w:r>
            <w:r>
              <w:rPr>
                <w:rStyle w:val="Strong"/>
                <w:b w:val="0"/>
                <w:bCs w:val="0"/>
              </w:rPr>
              <w:t xml:space="preserve"> IX</w:t>
            </w:r>
            <w:r w:rsidRPr="00050610">
              <w:rPr>
                <w:rStyle w:val="Strong"/>
                <w:b w:val="0"/>
                <w:bCs w:val="0"/>
              </w:rPr>
              <w:t>.iii.1.C.1.</w:t>
            </w:r>
            <w:r>
              <w:rPr>
                <w:rStyle w:val="Strong"/>
                <w:b w:val="0"/>
                <w:bCs w:val="0"/>
              </w:rPr>
              <w:t xml:space="preserve">c </w:t>
            </w:r>
            <w:r w:rsidRPr="00050610">
              <w:rPr>
                <w:rStyle w:val="Strong"/>
                <w:b w:val="0"/>
                <w:bCs w:val="0"/>
              </w:rPr>
              <w:t>(</w:t>
            </w:r>
            <w:r>
              <w:t>Section 306</w:t>
            </w:r>
            <w:r w:rsidRPr="00050610">
              <w:t xml:space="preserve"> Pension Countable Income</w:t>
            </w:r>
            <w:r w:rsidRPr="00050610">
              <w:rPr>
                <w:rStyle w:val="Strong"/>
                <w:b w:val="0"/>
                <w:bCs w:val="0"/>
              </w:rPr>
              <w:t>)</w:t>
            </w:r>
          </w:p>
          <w:p w14:paraId="67FC7D8D" w14:textId="77777777" w:rsidR="00AF3EEC" w:rsidRDefault="00AF3EEC" w:rsidP="00AF3EEC">
            <w:pPr>
              <w:pStyle w:val="VBAILTbullet1"/>
              <w:rPr>
                <w:rStyle w:val="Strong"/>
                <w:b w:val="0"/>
                <w:bCs w:val="0"/>
              </w:rPr>
            </w:pPr>
            <w:r w:rsidRPr="00050610">
              <w:rPr>
                <w:rStyle w:val="Strong"/>
                <w:b w:val="0"/>
                <w:bCs w:val="0"/>
              </w:rPr>
              <w:t>M21-1</w:t>
            </w:r>
            <w:r>
              <w:rPr>
                <w:rStyle w:val="Strong"/>
                <w:b w:val="0"/>
                <w:bCs w:val="0"/>
              </w:rPr>
              <w:t xml:space="preserve"> IX</w:t>
            </w:r>
            <w:r w:rsidRPr="00050610">
              <w:rPr>
                <w:rStyle w:val="Strong"/>
                <w:b w:val="0"/>
                <w:bCs w:val="0"/>
              </w:rPr>
              <w:t>.iii.1.C.1.e (</w:t>
            </w:r>
            <w:r w:rsidRPr="00050610">
              <w:t>Old</w:t>
            </w:r>
            <w:r>
              <w:t>-</w:t>
            </w:r>
            <w:r w:rsidRPr="00050610">
              <w:t>Law Pension Countable Income</w:t>
            </w:r>
            <w:r w:rsidRPr="00050610">
              <w:rPr>
                <w:rStyle w:val="Strong"/>
                <w:b w:val="0"/>
                <w:bCs w:val="0"/>
              </w:rPr>
              <w:t>)</w:t>
            </w:r>
          </w:p>
          <w:p w14:paraId="5C697645" w14:textId="77777777" w:rsidR="00AF3EEC" w:rsidRPr="00E9637F" w:rsidRDefault="00AF3EEC" w:rsidP="00AF3EEC">
            <w:pPr>
              <w:pStyle w:val="VBAILTbullet1"/>
              <w:rPr>
                <w:rStyle w:val="Strong"/>
              </w:rPr>
            </w:pPr>
            <w:r>
              <w:rPr>
                <w:rStyle w:val="Strong"/>
                <w:b w:val="0"/>
                <w:bCs w:val="0"/>
              </w:rPr>
              <w:t xml:space="preserve">M21-1 </w:t>
            </w:r>
            <w:r w:rsidRPr="00700C04">
              <w:rPr>
                <w:rStyle w:val="Strong"/>
                <w:b w:val="0"/>
                <w:bCs w:val="0"/>
              </w:rPr>
              <w:t xml:space="preserve">IX.iii.2.C.1.c. </w:t>
            </w:r>
            <w:r>
              <w:rPr>
                <w:rStyle w:val="Strong"/>
                <w:b w:val="0"/>
                <w:bCs w:val="0"/>
              </w:rPr>
              <w:t>(</w:t>
            </w:r>
            <w:r w:rsidRPr="00A54BDC">
              <w:rPr>
                <w:rStyle w:val="Strong"/>
                <w:b w:val="0"/>
                <w:bCs w:val="0"/>
              </w:rPr>
              <w:t>When the Right of Continued Entitlement to</w:t>
            </w:r>
            <w:r>
              <w:rPr>
                <w:rStyle w:val="Strong"/>
                <w:b w:val="0"/>
                <w:bCs w:val="0"/>
              </w:rPr>
              <w:t xml:space="preserve"> </w:t>
            </w:r>
            <w:r w:rsidRPr="00A54BDC">
              <w:rPr>
                <w:rStyle w:val="Strong"/>
                <w:b w:val="0"/>
                <w:bCs w:val="0"/>
              </w:rPr>
              <w:t>Old Law or Section 306 Pension Is Not Protected</w:t>
            </w:r>
            <w:r>
              <w:rPr>
                <w:rStyle w:val="Strong"/>
                <w:b w:val="0"/>
                <w:bCs w:val="0"/>
              </w:rPr>
              <w:t>)</w:t>
            </w:r>
          </w:p>
          <w:p w14:paraId="54EB0C0F" w14:textId="77777777" w:rsidR="00AF3EEC" w:rsidRPr="00C67C69" w:rsidRDefault="00AF3EEC" w:rsidP="00AF3EEC">
            <w:pPr>
              <w:pStyle w:val="VBAILTbullet1"/>
              <w:rPr>
                <w:rStyle w:val="Strong"/>
              </w:rPr>
            </w:pPr>
            <w:r>
              <w:rPr>
                <w:rStyle w:val="Strong"/>
                <w:b w:val="0"/>
              </w:rPr>
              <w:t xml:space="preserve">M21-1 </w:t>
            </w:r>
            <w:r w:rsidRPr="00CD1543">
              <w:rPr>
                <w:rStyle w:val="Strong"/>
                <w:b w:val="0"/>
              </w:rPr>
              <w:t xml:space="preserve">IX.iii.2.C.1.d. </w:t>
            </w:r>
            <w:r>
              <w:rPr>
                <w:rStyle w:val="Strong"/>
                <w:b w:val="0"/>
              </w:rPr>
              <w:t>(</w:t>
            </w:r>
            <w:r w:rsidRPr="00A54BDC">
              <w:rPr>
                <w:rStyle w:val="Strong"/>
                <w:b w:val="0"/>
              </w:rPr>
              <w:t>Changing a Beneficiary’s Benefit Type</w:t>
            </w:r>
            <w:r>
              <w:rPr>
                <w:rStyle w:val="Strong"/>
                <w:b w:val="0"/>
              </w:rPr>
              <w:t>)</w:t>
            </w:r>
          </w:p>
          <w:p w14:paraId="583A70DE" w14:textId="77777777" w:rsidR="00AF3EEC" w:rsidRDefault="00AF3EEC" w:rsidP="00AF3EEC">
            <w:pPr>
              <w:pStyle w:val="VBAILTbullet1"/>
              <w:rPr>
                <w:rStyle w:val="Strong"/>
                <w:b w:val="0"/>
                <w:bCs w:val="0"/>
              </w:rPr>
            </w:pPr>
            <w:r w:rsidRPr="00D23BD2">
              <w:rPr>
                <w:rStyle w:val="Strong"/>
                <w:b w:val="0"/>
                <w:bCs w:val="0"/>
              </w:rPr>
              <w:t>M21</w:t>
            </w:r>
            <w:r>
              <w:rPr>
                <w:rStyle w:val="Strong"/>
                <w:b w:val="0"/>
                <w:bCs w:val="0"/>
              </w:rPr>
              <w:t xml:space="preserve">-1 </w:t>
            </w:r>
            <w:r w:rsidRPr="00B53FF0">
              <w:rPr>
                <w:rStyle w:val="Strong"/>
                <w:b w:val="0"/>
                <w:bCs w:val="0"/>
              </w:rPr>
              <w:t xml:space="preserve">IX.iii.2.C.2.b. </w:t>
            </w:r>
            <w:r w:rsidRPr="00D23BD2">
              <w:rPr>
                <w:rStyle w:val="Strong"/>
                <w:b w:val="0"/>
                <w:bCs w:val="0"/>
              </w:rPr>
              <w:t xml:space="preserve">(Action to Take When an Election is Not </w:t>
            </w:r>
            <w:r>
              <w:rPr>
                <w:rStyle w:val="Strong"/>
                <w:b w:val="0"/>
                <w:bCs w:val="0"/>
              </w:rPr>
              <w:t>i</w:t>
            </w:r>
            <w:r w:rsidRPr="00D23BD2">
              <w:rPr>
                <w:rStyle w:val="Strong"/>
                <w:b w:val="0"/>
                <w:bCs w:val="0"/>
              </w:rPr>
              <w:t>n the Claimant's Interest)</w:t>
            </w:r>
          </w:p>
          <w:p w14:paraId="7326F756" w14:textId="773A1904" w:rsidR="00715072" w:rsidRDefault="00715072" w:rsidP="00AF3EEC">
            <w:pPr>
              <w:pStyle w:val="VBAILTbullet1"/>
            </w:pPr>
            <w:r w:rsidRPr="00AF3EEC">
              <w:rPr>
                <w:b/>
                <w:bCs/>
              </w:rPr>
              <w:t>Old Law and Section 306 Pension Programs</w:t>
            </w:r>
            <w:r>
              <w:t xml:space="preserve"> job aid</w:t>
            </w:r>
          </w:p>
        </w:tc>
      </w:tr>
      <w:tr w:rsidR="007F1A0A" w14:paraId="3866630D" w14:textId="77777777" w:rsidTr="007F1A0A">
        <w:trPr>
          <w:cantSplit/>
          <w:trHeight w:val="890"/>
        </w:trPr>
        <w:tc>
          <w:tcPr>
            <w:tcW w:w="1848" w:type="dxa"/>
          </w:tcPr>
          <w:p w14:paraId="1EC745A2" w14:textId="42B36864" w:rsidR="007F1A0A" w:rsidRDefault="007F1A0A" w:rsidP="007F1A0A">
            <w:pPr>
              <w:pStyle w:val="VBAILTBody"/>
            </w:pPr>
            <w:r>
              <w:t>Knowledge Check</w:t>
            </w:r>
          </w:p>
        </w:tc>
        <w:tc>
          <w:tcPr>
            <w:tcW w:w="7512" w:type="dxa"/>
          </w:tcPr>
          <w:p w14:paraId="5DC70DB9" w14:textId="77B8A4E8" w:rsidR="007F1A0A" w:rsidRPr="00C92B1C" w:rsidRDefault="007F1A0A" w:rsidP="007F1A0A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  <w:r>
              <w:t>Phase 5: Proficiency Development: Types of Claims (Introduction to Old Law and Section 306 Programs)</w:t>
            </w:r>
          </w:p>
        </w:tc>
      </w:tr>
      <w:tr w:rsidR="00715072" w14:paraId="0181F1E2" w14:textId="77777777" w:rsidTr="00587072">
        <w:trPr>
          <w:cantSplit/>
          <w:trHeight w:val="917"/>
        </w:trPr>
        <w:tc>
          <w:tcPr>
            <w:tcW w:w="1848" w:type="dxa"/>
          </w:tcPr>
          <w:p w14:paraId="1038C6C0" w14:textId="77777777" w:rsidR="00715072" w:rsidRDefault="00715072" w:rsidP="00715072">
            <w:pPr>
              <w:pStyle w:val="VBAILTBody"/>
            </w:pPr>
            <w:r>
              <w:t>Technical Competencies</w:t>
            </w:r>
          </w:p>
        </w:tc>
        <w:tc>
          <w:tcPr>
            <w:tcW w:w="7512" w:type="dxa"/>
          </w:tcPr>
          <w:p w14:paraId="362BFF2B" w14:textId="4C4DAAA9" w:rsidR="00715072" w:rsidRDefault="00715072" w:rsidP="00715072">
            <w:pPr>
              <w:pStyle w:val="VBAILTbullet1"/>
            </w:pPr>
            <w:r>
              <w:t>Program Benefits and Eligibility (PMC VSR)</w:t>
            </w:r>
          </w:p>
          <w:p w14:paraId="5FA33C21" w14:textId="77777777" w:rsidR="00715072" w:rsidRDefault="00715072" w:rsidP="00715072">
            <w:pPr>
              <w:pStyle w:val="VBAILTbullet1"/>
            </w:pPr>
            <w:r>
              <w:t>Processing Claims (PMC VSR)</w:t>
            </w:r>
          </w:p>
          <w:p w14:paraId="6D2D64D3" w14:textId="2418473D" w:rsidR="00715072" w:rsidRDefault="00715072" w:rsidP="00715072">
            <w:pPr>
              <w:pStyle w:val="VBAILTbullet1"/>
            </w:pPr>
            <w:r>
              <w:t>VBA Applications (PMC VSR)</w:t>
            </w:r>
          </w:p>
        </w:tc>
      </w:tr>
      <w:tr w:rsidR="00715072" w14:paraId="7326F75B" w14:textId="77777777" w:rsidTr="00587072">
        <w:trPr>
          <w:cantSplit/>
          <w:trHeight w:val="1152"/>
        </w:trPr>
        <w:tc>
          <w:tcPr>
            <w:tcW w:w="1848" w:type="dxa"/>
          </w:tcPr>
          <w:p w14:paraId="7326F758" w14:textId="465CDAF7" w:rsidR="00715072" w:rsidRDefault="00715072" w:rsidP="00715072">
            <w:pPr>
              <w:pStyle w:val="VBAILTBody"/>
            </w:pPr>
            <w:r>
              <w:lastRenderedPageBreak/>
              <w:t>Lesson Objectives:</w:t>
            </w:r>
          </w:p>
        </w:tc>
        <w:tc>
          <w:tcPr>
            <w:tcW w:w="7512" w:type="dxa"/>
          </w:tcPr>
          <w:p w14:paraId="6EB473DD" w14:textId="38E5D297" w:rsidR="00715072" w:rsidRDefault="00715072" w:rsidP="00715072">
            <w:pPr>
              <w:pStyle w:val="VBAILTBody"/>
            </w:pPr>
            <w:r>
              <w:t>At the end of this lesson, trainees will be able to:</w:t>
            </w:r>
          </w:p>
          <w:p w14:paraId="7346AE47" w14:textId="29E0433C" w:rsidR="00715072" w:rsidRDefault="00715072" w:rsidP="00715072">
            <w:pPr>
              <w:pStyle w:val="VBAILTbullet1"/>
            </w:pPr>
            <w:r>
              <w:t>Recognize an Old Law or Section 306 pension claim.</w:t>
            </w:r>
          </w:p>
          <w:p w14:paraId="7F44943F" w14:textId="77777777" w:rsidR="00715072" w:rsidRPr="00B913D8" w:rsidRDefault="00715072" w:rsidP="00FA5E6D">
            <w:pPr>
              <w:pStyle w:val="VBAILTBullet2"/>
            </w:pPr>
            <w:r w:rsidRPr="00B913D8">
              <w:t>Describe the characteristics of Old Law.</w:t>
            </w:r>
          </w:p>
          <w:p w14:paraId="7326F75A" w14:textId="18620A72" w:rsidR="00715072" w:rsidRDefault="00715072" w:rsidP="00FA5E6D">
            <w:pPr>
              <w:pStyle w:val="VBAILTBullet2"/>
            </w:pPr>
            <w:r w:rsidRPr="00B913D8">
              <w:t xml:space="preserve">Describe the characteristics of Section 306 </w:t>
            </w:r>
            <w:r>
              <w:t>p</w:t>
            </w:r>
            <w:r w:rsidRPr="00B913D8">
              <w:t>ension.</w:t>
            </w:r>
          </w:p>
        </w:tc>
      </w:tr>
      <w:tr w:rsidR="00715072" w14:paraId="7326F75F" w14:textId="77777777" w:rsidTr="00587072">
        <w:trPr>
          <w:trHeight w:val="1152"/>
        </w:trPr>
        <w:tc>
          <w:tcPr>
            <w:tcW w:w="1848" w:type="dxa"/>
          </w:tcPr>
          <w:p w14:paraId="7326F75C" w14:textId="77777777" w:rsidR="00715072" w:rsidRDefault="00715072" w:rsidP="00715072">
            <w:pPr>
              <w:pStyle w:val="VBAILTBody"/>
            </w:pPr>
            <w:r>
              <w:t>What You Need:</w:t>
            </w:r>
          </w:p>
        </w:tc>
        <w:tc>
          <w:tcPr>
            <w:tcW w:w="7512" w:type="dxa"/>
          </w:tcPr>
          <w:p w14:paraId="36DBCA86" w14:textId="754989F4" w:rsidR="00715072" w:rsidRPr="005B6479" w:rsidRDefault="00715072" w:rsidP="00715072">
            <w:pPr>
              <w:pStyle w:val="VBAILTbullet1"/>
            </w:pPr>
            <w:r>
              <w:t>Trainee Guide</w:t>
            </w:r>
          </w:p>
          <w:p w14:paraId="72A92733" w14:textId="77777777" w:rsidR="00715072" w:rsidRDefault="00715072" w:rsidP="00715072">
            <w:pPr>
              <w:pStyle w:val="VBAILTbullet1"/>
            </w:pPr>
            <w:r>
              <w:t>Access to VBA Intranet</w:t>
            </w:r>
          </w:p>
          <w:p w14:paraId="37C367F5" w14:textId="430C00E4" w:rsidR="00715072" w:rsidRDefault="003D463B" w:rsidP="003D463B">
            <w:pPr>
              <w:pStyle w:val="VBAILTbullet1"/>
            </w:pPr>
            <w:r w:rsidRPr="003D463B">
              <w:t>Access to a whiteboard/electronic whiteboard</w:t>
            </w:r>
          </w:p>
          <w:p w14:paraId="52BFBDA0" w14:textId="77777777" w:rsidR="00715072" w:rsidRDefault="00715072" w:rsidP="00715072">
            <w:pPr>
              <w:pStyle w:val="VBAILTbullet1"/>
            </w:pPr>
            <w:r>
              <w:t>Access to the following systems:</w:t>
            </w:r>
          </w:p>
          <w:p w14:paraId="1F6B60DE" w14:textId="43F4BC25" w:rsidR="00715072" w:rsidRDefault="00715072" w:rsidP="00CF46ED">
            <w:pPr>
              <w:pStyle w:val="VBAILTBullet2"/>
            </w:pPr>
            <w:r>
              <w:t>SHARE</w:t>
            </w:r>
          </w:p>
          <w:p w14:paraId="6A81A818" w14:textId="77777777" w:rsidR="00715072" w:rsidRDefault="00715072" w:rsidP="00715072">
            <w:pPr>
              <w:pStyle w:val="VBAILTBullet2"/>
            </w:pPr>
            <w:r>
              <w:t>VBMS</w:t>
            </w:r>
          </w:p>
          <w:p w14:paraId="0B1A9A42" w14:textId="77777777" w:rsidR="00715072" w:rsidRDefault="00715072" w:rsidP="00715072">
            <w:pPr>
              <w:pStyle w:val="VBAILTbullet1"/>
            </w:pPr>
            <w:r>
              <w:t>Access to the following job aids:</w:t>
            </w:r>
          </w:p>
          <w:p w14:paraId="7326F75E" w14:textId="74DC3965" w:rsidR="00715072" w:rsidRDefault="00715072" w:rsidP="00715072">
            <w:pPr>
              <w:pStyle w:val="VBAILTBullet2"/>
            </w:pPr>
            <w:r w:rsidRPr="00BE792A">
              <w:rPr>
                <w:b/>
              </w:rPr>
              <w:t>Old Law and Section 306</w:t>
            </w:r>
            <w:r>
              <w:rPr>
                <w:b/>
              </w:rPr>
              <w:t xml:space="preserve"> Pension </w:t>
            </w:r>
            <w:r w:rsidRPr="00BE792A">
              <w:rPr>
                <w:b/>
              </w:rPr>
              <w:t>Programs</w:t>
            </w:r>
            <w:r>
              <w:t xml:space="preserve"> job aid</w:t>
            </w:r>
          </w:p>
        </w:tc>
      </w:tr>
    </w:tbl>
    <w:p w14:paraId="2289DA9E" w14:textId="66DE0626" w:rsidR="009C4CA2" w:rsidRPr="0024084E" w:rsidRDefault="009C4CA2" w:rsidP="009C4CA2">
      <w:pPr>
        <w:pStyle w:val="VBAILTBody"/>
        <w:rPr>
          <w:sz w:val="24"/>
          <w:szCs w:val="24"/>
        </w:rPr>
      </w:pPr>
    </w:p>
    <w:tbl>
      <w:tblPr>
        <w:tblStyle w:val="TableGrid"/>
        <w:tblW w:w="963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3923"/>
        <w:gridCol w:w="5707"/>
      </w:tblGrid>
      <w:tr w:rsidR="000A083B" w14:paraId="7326F765" w14:textId="77777777" w:rsidTr="00715D07">
        <w:trPr>
          <w:trHeight w:val="602"/>
          <w:tblHeader/>
          <w:jc w:val="center"/>
        </w:trPr>
        <w:tc>
          <w:tcPr>
            <w:tcW w:w="3923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7326F763" w14:textId="77777777" w:rsidR="009F361E" w:rsidRPr="006E54AE" w:rsidRDefault="009F361E" w:rsidP="006E54AE">
            <w:pPr>
              <w:pStyle w:val="VBAILTTableHeading1"/>
            </w:pPr>
            <w:r>
              <w:t>PowerPoint Slides</w:t>
            </w:r>
          </w:p>
        </w:tc>
        <w:tc>
          <w:tcPr>
            <w:tcW w:w="5707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7326F764" w14:textId="3B3EA796" w:rsidR="009F361E" w:rsidRDefault="00EC14B2" w:rsidP="006E54AE">
            <w:pPr>
              <w:pStyle w:val="VBAILTTableHeading1"/>
            </w:pPr>
            <w:r>
              <w:t>Notes</w:t>
            </w:r>
          </w:p>
        </w:tc>
      </w:tr>
      <w:tr w:rsidR="000A083B" w14:paraId="7326F769" w14:textId="77777777" w:rsidTr="00C80D9E">
        <w:trPr>
          <w:cantSplit/>
          <w:trHeight w:val="1282"/>
          <w:jc w:val="center"/>
        </w:trPr>
        <w:tc>
          <w:tcPr>
            <w:tcW w:w="3923" w:type="dxa"/>
            <w:tcBorders>
              <w:right w:val="dashSmallGap" w:sz="4" w:space="0" w:color="auto"/>
            </w:tcBorders>
          </w:tcPr>
          <w:p w14:paraId="7326F766" w14:textId="120482F5" w:rsidR="009F361E" w:rsidRPr="00126C3A" w:rsidRDefault="00845F59" w:rsidP="00706CDF">
            <w:pPr>
              <w:pStyle w:val="VBAILTBody"/>
              <w:rPr>
                <w:rStyle w:val="Strong"/>
              </w:rPr>
            </w:pPr>
            <w:r w:rsidRPr="00845F59">
              <w:rPr>
                <w:b/>
                <w:bCs/>
              </w:rPr>
              <w:t>Introduction to Old Law and Section 306</w:t>
            </w:r>
          </w:p>
        </w:tc>
        <w:tc>
          <w:tcPr>
            <w:tcW w:w="5707" w:type="dxa"/>
            <w:tcBorders>
              <w:left w:val="dashSmallGap" w:sz="4" w:space="0" w:color="auto"/>
            </w:tcBorders>
          </w:tcPr>
          <w:p w14:paraId="7326F768" w14:textId="70CA56BB" w:rsidR="00126C3A" w:rsidRDefault="00126C3A" w:rsidP="009F361E">
            <w:pPr>
              <w:pStyle w:val="VBAILTBody"/>
            </w:pPr>
          </w:p>
        </w:tc>
      </w:tr>
      <w:tr w:rsidR="00E15843" w14:paraId="20B08A40" w14:textId="77777777" w:rsidTr="00C80D9E">
        <w:trPr>
          <w:cantSplit/>
          <w:trHeight w:val="1282"/>
          <w:jc w:val="center"/>
        </w:trPr>
        <w:tc>
          <w:tcPr>
            <w:tcW w:w="3923" w:type="dxa"/>
            <w:tcBorders>
              <w:right w:val="dashSmallGap" w:sz="4" w:space="0" w:color="auto"/>
            </w:tcBorders>
          </w:tcPr>
          <w:p w14:paraId="65D06451" w14:textId="77777777" w:rsidR="00E15843" w:rsidRDefault="00E15843" w:rsidP="00E15843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Lesson Objectives</w:t>
            </w:r>
          </w:p>
          <w:p w14:paraId="06A56DF7" w14:textId="77777777" w:rsidR="00E15843" w:rsidRDefault="00E15843" w:rsidP="00E15843">
            <w:pPr>
              <w:pStyle w:val="VBAILTBody"/>
              <w:rPr>
                <w:rStyle w:val="Strong"/>
                <w:b w:val="0"/>
                <w:bCs w:val="0"/>
              </w:rPr>
            </w:pPr>
            <w:r w:rsidRPr="00FE5D68">
              <w:rPr>
                <w:rStyle w:val="Strong"/>
                <w:b w:val="0"/>
                <w:bCs w:val="0"/>
              </w:rPr>
              <w:t>At the end of this lesson, you will be able to:</w:t>
            </w:r>
          </w:p>
          <w:p w14:paraId="13785DD9" w14:textId="77777777" w:rsidR="00E15843" w:rsidRPr="002B624A" w:rsidRDefault="00E15843" w:rsidP="00E15843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t>Recognize an Old Law or Section 306 pension claim.</w:t>
            </w:r>
          </w:p>
          <w:p w14:paraId="7AF4E646" w14:textId="77777777" w:rsidR="00B45B34" w:rsidRPr="00B45B34" w:rsidRDefault="00E15843" w:rsidP="00B45B34">
            <w:pPr>
              <w:pStyle w:val="VBAILTbullet1"/>
              <w:rPr>
                <w:b/>
                <w:bCs/>
              </w:rPr>
            </w:pPr>
            <w:r w:rsidRPr="005458D8">
              <w:t>Describe the characteristics of Old Law.</w:t>
            </w:r>
            <w:r w:rsidR="00B45B34">
              <w:t xml:space="preserve"> </w:t>
            </w:r>
          </w:p>
          <w:p w14:paraId="2A6B7753" w14:textId="0FC1054C" w:rsidR="00E15843" w:rsidRPr="00845F59" w:rsidRDefault="00E15843" w:rsidP="00B45B34">
            <w:pPr>
              <w:pStyle w:val="VBAILTbullet1"/>
              <w:rPr>
                <w:b/>
                <w:bCs/>
              </w:rPr>
            </w:pPr>
            <w:r w:rsidRPr="005458D8">
              <w:t xml:space="preserve">Describe the characteristics of Section 306 </w:t>
            </w:r>
            <w:r>
              <w:t>p</w:t>
            </w:r>
            <w:r w:rsidRPr="005458D8">
              <w:t>ension.</w:t>
            </w:r>
          </w:p>
        </w:tc>
        <w:tc>
          <w:tcPr>
            <w:tcW w:w="5707" w:type="dxa"/>
            <w:tcBorders>
              <w:left w:val="dashSmallGap" w:sz="4" w:space="0" w:color="auto"/>
            </w:tcBorders>
          </w:tcPr>
          <w:p w14:paraId="77CD7939" w14:textId="77777777" w:rsidR="00E15843" w:rsidRDefault="00E15843" w:rsidP="00E15843">
            <w:pPr>
              <w:pStyle w:val="VBAILTBody"/>
            </w:pPr>
          </w:p>
        </w:tc>
      </w:tr>
      <w:tr w:rsidR="00E15843" w14:paraId="059A8BDE" w14:textId="77777777" w:rsidTr="00C80D9E">
        <w:trPr>
          <w:cantSplit/>
          <w:trHeight w:val="1282"/>
          <w:jc w:val="center"/>
        </w:trPr>
        <w:tc>
          <w:tcPr>
            <w:tcW w:w="3923" w:type="dxa"/>
            <w:tcBorders>
              <w:right w:val="dashSmallGap" w:sz="4" w:space="0" w:color="auto"/>
            </w:tcBorders>
          </w:tcPr>
          <w:p w14:paraId="7C9F3451" w14:textId="2A01E6CE" w:rsidR="00E15843" w:rsidRPr="00242413" w:rsidRDefault="00BB67B5" w:rsidP="00E15843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lastRenderedPageBreak/>
              <w:t>Why This Matters!</w:t>
            </w:r>
          </w:p>
          <w:p w14:paraId="29685E77" w14:textId="77777777" w:rsidR="007F1A0A" w:rsidRPr="00245015" w:rsidRDefault="007F1A0A" w:rsidP="007F1A0A">
            <w:pPr>
              <w:pStyle w:val="VBAILTbullet1"/>
              <w:numPr>
                <w:ilvl w:val="0"/>
                <w:numId w:val="0"/>
              </w:numPr>
            </w:pPr>
            <w:r w:rsidRPr="00245015">
              <w:t xml:space="preserve">The </w:t>
            </w:r>
            <w:r w:rsidRPr="00245015">
              <w:rPr>
                <w:b/>
                <w:bCs/>
              </w:rPr>
              <w:t xml:space="preserve">Introduction to Old Law and Section 306 Programs </w:t>
            </w:r>
            <w:r w:rsidRPr="00245015">
              <w:t>course matters because these claims are rare.</w:t>
            </w:r>
          </w:p>
          <w:p w14:paraId="323888AA" w14:textId="6F5B0F2A" w:rsidR="00E15843" w:rsidRPr="00242413" w:rsidRDefault="00E15843" w:rsidP="00E15843">
            <w:pPr>
              <w:pStyle w:val="VBAILTbullet1"/>
            </w:pPr>
            <w:r w:rsidRPr="00242413">
              <w:t>Entitlement to these pension programs is restricted to beneficiaries who were continuously entitled to receive benefits from the dates on which the programs were phased out until the present</w:t>
            </w:r>
            <w:r>
              <w:t>.</w:t>
            </w:r>
          </w:p>
          <w:p w14:paraId="7D90E70B" w14:textId="103BE2FE" w:rsidR="00E15843" w:rsidRPr="00402709" w:rsidRDefault="00E15843" w:rsidP="009C6A80">
            <w:pPr>
              <w:pStyle w:val="VBAILTbullet1"/>
              <w:rPr>
                <w:rStyle w:val="Strong"/>
                <w:b w:val="0"/>
                <w:bCs w:val="0"/>
              </w:rPr>
            </w:pPr>
            <w:r w:rsidRPr="00242413">
              <w:t>Section 306 and Old Law beneficiaries continue to receive the rates to which they were entitled on their respective phase-out dates</w:t>
            </w:r>
            <w:r>
              <w:t>.</w:t>
            </w:r>
          </w:p>
        </w:tc>
        <w:tc>
          <w:tcPr>
            <w:tcW w:w="5707" w:type="dxa"/>
            <w:tcBorders>
              <w:left w:val="dashSmallGap" w:sz="4" w:space="0" w:color="auto"/>
            </w:tcBorders>
          </w:tcPr>
          <w:p w14:paraId="3AFC8C2E" w14:textId="1BBD32EB" w:rsidR="00E15843" w:rsidRPr="00B95E85" w:rsidRDefault="00E15843" w:rsidP="00E15843">
            <w:pPr>
              <w:pStyle w:val="VBAILTBody"/>
            </w:pPr>
          </w:p>
        </w:tc>
      </w:tr>
      <w:tr w:rsidR="00E15843" w14:paraId="264C3960" w14:textId="77777777" w:rsidTr="00C80D9E">
        <w:trPr>
          <w:cantSplit/>
          <w:trHeight w:val="1282"/>
          <w:jc w:val="center"/>
        </w:trPr>
        <w:tc>
          <w:tcPr>
            <w:tcW w:w="3923" w:type="dxa"/>
            <w:tcBorders>
              <w:right w:val="dashSmallGap" w:sz="4" w:space="0" w:color="auto"/>
            </w:tcBorders>
          </w:tcPr>
          <w:p w14:paraId="6298211E" w14:textId="22CDC64A" w:rsidR="00E15843" w:rsidRDefault="00E15843" w:rsidP="00E15843">
            <w:pPr>
              <w:pStyle w:val="VBAILTBody"/>
              <w:rPr>
                <w:rStyle w:val="Strong"/>
              </w:rPr>
            </w:pPr>
            <w:r w:rsidRPr="005458D8">
              <w:rPr>
                <w:b/>
                <w:bCs/>
              </w:rPr>
              <w:lastRenderedPageBreak/>
              <w:t xml:space="preserve">What You Need to Know about Old Law and </w:t>
            </w:r>
            <w:r w:rsidRPr="005458D8">
              <w:rPr>
                <w:b/>
                <w:bCs/>
              </w:rPr>
              <w:br/>
              <w:t>Section 306 Pension Claims</w:t>
            </w:r>
          </w:p>
          <w:p w14:paraId="0A961D47" w14:textId="13CDD1DA" w:rsidR="00E15843" w:rsidRPr="005458D8" w:rsidRDefault="00E15843" w:rsidP="00E15843">
            <w:pPr>
              <w:pStyle w:val="VBAILTbullet1"/>
            </w:pPr>
            <w:r>
              <w:t>These are m</w:t>
            </w:r>
            <w:r w:rsidRPr="005458D8">
              <w:t>ost likely to be seen during claim maintenance</w:t>
            </w:r>
            <w:r>
              <w:t>.</w:t>
            </w:r>
          </w:p>
          <w:p w14:paraId="3BEDF3C0" w14:textId="1B8021E7" w:rsidR="00E15843" w:rsidRPr="005458D8" w:rsidRDefault="00E15843" w:rsidP="00E15843">
            <w:pPr>
              <w:pStyle w:val="VBAILTbullet1"/>
            </w:pPr>
            <w:r w:rsidRPr="005458D8">
              <w:t>Old Law and Section 306 pension rates are protected</w:t>
            </w:r>
            <w:r>
              <w:t>.</w:t>
            </w:r>
          </w:p>
          <w:p w14:paraId="5F40E37D" w14:textId="6DB31AB2" w:rsidR="00E15843" w:rsidRPr="00536A02" w:rsidRDefault="00E15843" w:rsidP="00E15843">
            <w:pPr>
              <w:pStyle w:val="VBAILTbullet1"/>
            </w:pPr>
            <w:r>
              <w:t>If a beneficiary of Old Law or Section 306 wants to receive a higher rate of pension, the beneficiary must elect current-law pension.</w:t>
            </w:r>
          </w:p>
          <w:p w14:paraId="2E2B1FA0" w14:textId="04377D8D" w:rsidR="00E15843" w:rsidRPr="005458D8" w:rsidRDefault="00E15843" w:rsidP="00E15843">
            <w:pPr>
              <w:pStyle w:val="VBAILTbullet1"/>
            </w:pPr>
            <w:r w:rsidRPr="005458D8">
              <w:t xml:space="preserve">Old Law and Section 306 </w:t>
            </w:r>
            <w:r>
              <w:t>p</w:t>
            </w:r>
            <w:r w:rsidRPr="005458D8">
              <w:t>ension can be discontinued due to:</w:t>
            </w:r>
          </w:p>
          <w:p w14:paraId="1F508EC8" w14:textId="77777777" w:rsidR="00E15843" w:rsidRDefault="00E15843" w:rsidP="00E15843">
            <w:pPr>
              <w:pStyle w:val="VBAILTBullet2"/>
            </w:pPr>
            <w:r>
              <w:t>Excessive Income</w:t>
            </w:r>
          </w:p>
          <w:p w14:paraId="70825E01" w14:textId="77777777" w:rsidR="00E15843" w:rsidRDefault="00E15843" w:rsidP="00E15843">
            <w:pPr>
              <w:pStyle w:val="VBAILTBullet2"/>
            </w:pPr>
            <w:r>
              <w:t>Excessive Net Worth</w:t>
            </w:r>
          </w:p>
          <w:p w14:paraId="545D33EA" w14:textId="1F6F8EEF" w:rsidR="00E15843" w:rsidRDefault="00E15843" w:rsidP="00E15843">
            <w:pPr>
              <w:pStyle w:val="VBAILTBullet2"/>
            </w:pPr>
            <w:r>
              <w:t>Dependency Status Change</w:t>
            </w:r>
          </w:p>
          <w:p w14:paraId="169D730C" w14:textId="41282ACB" w:rsidR="00E15843" w:rsidRDefault="00E15843" w:rsidP="00E15843">
            <w:pPr>
              <w:pStyle w:val="VBAILTBullet2"/>
            </w:pPr>
            <w:r>
              <w:t>Disability Status Change</w:t>
            </w:r>
          </w:p>
          <w:p w14:paraId="0A252BD8" w14:textId="31536170" w:rsidR="00E15843" w:rsidRPr="005458D8" w:rsidRDefault="00E15843" w:rsidP="00E15843">
            <w:pPr>
              <w:pStyle w:val="VBAILTBullet2"/>
              <w:rPr>
                <w:rStyle w:val="Strong"/>
                <w:b w:val="0"/>
                <w:bCs w:val="0"/>
              </w:rPr>
            </w:pPr>
            <w:r>
              <w:t>Fraud</w:t>
            </w:r>
          </w:p>
        </w:tc>
        <w:tc>
          <w:tcPr>
            <w:tcW w:w="5707" w:type="dxa"/>
            <w:tcBorders>
              <w:left w:val="dashSmallGap" w:sz="4" w:space="0" w:color="auto"/>
            </w:tcBorders>
          </w:tcPr>
          <w:p w14:paraId="4F0FA57B" w14:textId="5DB04484" w:rsidR="00E15843" w:rsidRPr="0039435C" w:rsidRDefault="00E15843" w:rsidP="00E1584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E15843" w14:paraId="34C1F840" w14:textId="77777777" w:rsidTr="00C80D9E">
        <w:trPr>
          <w:cantSplit/>
          <w:trHeight w:val="1282"/>
          <w:jc w:val="center"/>
        </w:trPr>
        <w:tc>
          <w:tcPr>
            <w:tcW w:w="3923" w:type="dxa"/>
            <w:tcBorders>
              <w:right w:val="dashSmallGap" w:sz="4" w:space="0" w:color="auto"/>
            </w:tcBorders>
          </w:tcPr>
          <w:p w14:paraId="2BCFF6FD" w14:textId="20CA0898" w:rsidR="00E15843" w:rsidRDefault="00E15843" w:rsidP="00E15843">
            <w:pPr>
              <w:pStyle w:val="VBAILTBody"/>
              <w:rPr>
                <w:b/>
                <w:bCs/>
              </w:rPr>
            </w:pPr>
            <w:r w:rsidRPr="005458D8">
              <w:rPr>
                <w:b/>
                <w:bCs/>
              </w:rPr>
              <w:lastRenderedPageBreak/>
              <w:t>Overview of Old Law and Section 306</w:t>
            </w:r>
            <w:r w:rsidRPr="005458D8">
              <w:rPr>
                <w:b/>
                <w:bCs/>
              </w:rPr>
              <w:br/>
              <w:t>Pension</w:t>
            </w:r>
            <w:r>
              <w:rPr>
                <w:b/>
                <w:bCs/>
              </w:rPr>
              <w:t xml:space="preserve"> Programs</w:t>
            </w:r>
          </w:p>
          <w:p w14:paraId="506D90C0" w14:textId="5FBC0075" w:rsidR="00E15843" w:rsidRPr="005458D8" w:rsidRDefault="00E15843" w:rsidP="00E15843">
            <w:pPr>
              <w:pStyle w:val="VBAILTbullet1"/>
            </w:pPr>
            <w:r w:rsidRPr="005458D8">
              <w:t xml:space="preserve">Entitlement </w:t>
            </w:r>
            <w:r>
              <w:t xml:space="preserve">is </w:t>
            </w:r>
            <w:r w:rsidRPr="005458D8">
              <w:t>restricted to beneficiaries who were continuously entitled to receive benefits from the dates on which the programs were phased out until the present</w:t>
            </w:r>
            <w:r>
              <w:t>.</w:t>
            </w:r>
          </w:p>
          <w:p w14:paraId="1656F450" w14:textId="77777777" w:rsidR="00E15843" w:rsidRPr="005458D8" w:rsidRDefault="00E15843" w:rsidP="00E15843">
            <w:pPr>
              <w:pStyle w:val="VBAILTbullet1"/>
            </w:pPr>
            <w:r w:rsidRPr="005458D8">
              <w:t>Old Law</w:t>
            </w:r>
          </w:p>
          <w:p w14:paraId="20E768D9" w14:textId="77777777" w:rsidR="00E15843" w:rsidRPr="005458D8" w:rsidRDefault="00E15843" w:rsidP="00E15843">
            <w:pPr>
              <w:pStyle w:val="VBAILTBullet2"/>
            </w:pPr>
            <w:r w:rsidRPr="005458D8">
              <w:t>June 30, 1960</w:t>
            </w:r>
          </w:p>
          <w:p w14:paraId="68AE00C1" w14:textId="77777777" w:rsidR="00E15843" w:rsidRPr="005458D8" w:rsidRDefault="00E15843" w:rsidP="00E15843">
            <w:pPr>
              <w:pStyle w:val="VBAILTbullet1"/>
            </w:pPr>
            <w:r w:rsidRPr="005458D8">
              <w:t>Section 306</w:t>
            </w:r>
          </w:p>
          <w:p w14:paraId="351DE36E" w14:textId="5AB29AB5" w:rsidR="00E15843" w:rsidRPr="005458D8" w:rsidRDefault="00E15843" w:rsidP="00E15843">
            <w:pPr>
              <w:pStyle w:val="VBAILTBullet2"/>
            </w:pPr>
            <w:r w:rsidRPr="005458D8">
              <w:t>December 31, 1978</w:t>
            </w:r>
          </w:p>
        </w:tc>
        <w:tc>
          <w:tcPr>
            <w:tcW w:w="5707" w:type="dxa"/>
            <w:tcBorders>
              <w:left w:val="dashSmallGap" w:sz="4" w:space="0" w:color="auto"/>
            </w:tcBorders>
          </w:tcPr>
          <w:p w14:paraId="3688AF83" w14:textId="4E4171AA" w:rsidR="00E15843" w:rsidRPr="00AC6DD3" w:rsidRDefault="00E15843" w:rsidP="00E15843">
            <w:pPr>
              <w:pStyle w:val="VBAILTBody"/>
              <w:rPr>
                <w:rStyle w:val="Strong"/>
                <w:b w:val="0"/>
              </w:rPr>
            </w:pPr>
          </w:p>
        </w:tc>
      </w:tr>
      <w:tr w:rsidR="00E15843" w14:paraId="63B1AFDA" w14:textId="77777777" w:rsidTr="00C80D9E">
        <w:trPr>
          <w:cantSplit/>
          <w:trHeight w:val="1282"/>
          <w:jc w:val="center"/>
        </w:trPr>
        <w:tc>
          <w:tcPr>
            <w:tcW w:w="3923" w:type="dxa"/>
            <w:tcBorders>
              <w:right w:val="dashSmallGap" w:sz="4" w:space="0" w:color="auto"/>
            </w:tcBorders>
          </w:tcPr>
          <w:p w14:paraId="2A9AA2CE" w14:textId="1D9D2B13" w:rsidR="00E15843" w:rsidRPr="00A90616" w:rsidRDefault="00E15843" w:rsidP="00E15843">
            <w:pPr>
              <w:pStyle w:val="VBAILTBody"/>
              <w:rPr>
                <w:rStyle w:val="Strong"/>
              </w:rPr>
            </w:pPr>
            <w:r w:rsidRPr="005458D8">
              <w:rPr>
                <w:b/>
                <w:bCs/>
              </w:rPr>
              <w:t>Characteristics of Old Law</w:t>
            </w:r>
            <w:r>
              <w:rPr>
                <w:b/>
                <w:bCs/>
              </w:rPr>
              <w:t xml:space="preserve"> Pension Program</w:t>
            </w:r>
          </w:p>
          <w:p w14:paraId="06BDBDCF" w14:textId="77777777" w:rsidR="00E15843" w:rsidRPr="00823974" w:rsidRDefault="00E15843" w:rsidP="00E15843">
            <w:pPr>
              <w:pStyle w:val="VBAILTbullet1"/>
              <w:numPr>
                <w:ilvl w:val="0"/>
                <w:numId w:val="1"/>
              </w:numPr>
            </w:pPr>
            <w:r w:rsidRPr="00823974">
              <w:t>Benefits for Old Law are calculated on a calendar year basis.</w:t>
            </w:r>
          </w:p>
          <w:p w14:paraId="3061E3C4" w14:textId="59D334ED" w:rsidR="00E15843" w:rsidRPr="005458D8" w:rsidRDefault="00E15843" w:rsidP="00E15843">
            <w:pPr>
              <w:pStyle w:val="VBAILTbullet1"/>
              <w:numPr>
                <w:ilvl w:val="0"/>
                <w:numId w:val="1"/>
              </w:numPr>
            </w:pPr>
            <w:r>
              <w:t>Claims</w:t>
            </w:r>
            <w:r w:rsidRPr="005458D8">
              <w:t xml:space="preserve"> for Old Law must show </w:t>
            </w:r>
            <w:r>
              <w:t xml:space="preserve">that </w:t>
            </w:r>
            <w:r w:rsidRPr="005458D8">
              <w:t>continuous entitlement from June 30, 1960</w:t>
            </w:r>
            <w:r>
              <w:t>,</w:t>
            </w:r>
            <w:r w:rsidRPr="005458D8">
              <w:t xml:space="preserve"> can be established</w:t>
            </w:r>
            <w:r>
              <w:t>.</w:t>
            </w:r>
          </w:p>
          <w:p w14:paraId="366BAA93" w14:textId="6F72ABA6" w:rsidR="00E15843" w:rsidRPr="005458D8" w:rsidRDefault="00E15843" w:rsidP="00E15843">
            <w:pPr>
              <w:pStyle w:val="VBAILTbullet1"/>
              <w:numPr>
                <w:ilvl w:val="0"/>
                <w:numId w:val="1"/>
              </w:numPr>
            </w:pPr>
            <w:r w:rsidRPr="005458D8">
              <w:t>Only certain types of income constitute countable income for Old Law pension</w:t>
            </w:r>
            <w:r>
              <w:t xml:space="preserve"> benefits.</w:t>
            </w:r>
          </w:p>
          <w:p w14:paraId="3718E87D" w14:textId="455264D2" w:rsidR="00E15843" w:rsidRPr="006C09F7" w:rsidRDefault="00E15843" w:rsidP="00E15843">
            <w:pPr>
              <w:pStyle w:val="VBAILTbullet1"/>
              <w:numPr>
                <w:ilvl w:val="0"/>
                <w:numId w:val="0"/>
              </w:numPr>
              <w:ind w:left="360"/>
              <w:rPr>
                <w:rStyle w:val="Strong"/>
                <w:b w:val="0"/>
                <w:bCs w:val="0"/>
              </w:rPr>
            </w:pPr>
          </w:p>
        </w:tc>
        <w:tc>
          <w:tcPr>
            <w:tcW w:w="5707" w:type="dxa"/>
            <w:tcBorders>
              <w:left w:val="dashSmallGap" w:sz="4" w:space="0" w:color="auto"/>
            </w:tcBorders>
          </w:tcPr>
          <w:p w14:paraId="519BDE73" w14:textId="3FB26E4F" w:rsidR="00E15843" w:rsidRPr="00B31404" w:rsidRDefault="00E15843" w:rsidP="00E15843">
            <w:pPr>
              <w:pStyle w:val="VBAILTBody"/>
              <w:rPr>
                <w:rStyle w:val="Strong"/>
                <w:b w:val="0"/>
              </w:rPr>
            </w:pPr>
          </w:p>
        </w:tc>
      </w:tr>
    </w:tbl>
    <w:p w14:paraId="643F1543" w14:textId="52EA7B5D" w:rsidR="00715D07" w:rsidRDefault="00715D07"/>
    <w:p w14:paraId="088B8F8E" w14:textId="77777777" w:rsidR="00715D07" w:rsidRDefault="00715D07">
      <w:r>
        <w:br w:type="page"/>
      </w:r>
    </w:p>
    <w:tbl>
      <w:tblPr>
        <w:tblStyle w:val="TableGrid"/>
        <w:tblW w:w="9607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3960"/>
        <w:gridCol w:w="5647"/>
      </w:tblGrid>
      <w:tr w:rsidR="00BD1D2A" w14:paraId="72EAD763" w14:textId="77777777" w:rsidTr="00715D07">
        <w:trPr>
          <w:cantSplit/>
          <w:trHeight w:val="602"/>
          <w:tblHeader/>
          <w:jc w:val="center"/>
        </w:trPr>
        <w:tc>
          <w:tcPr>
            <w:tcW w:w="3960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62943085" w14:textId="77777777" w:rsidR="00BD1D2A" w:rsidRPr="006E54AE" w:rsidRDefault="00BD1D2A" w:rsidP="00CD123C">
            <w:pPr>
              <w:pStyle w:val="VBAILTTableHeading1"/>
            </w:pPr>
            <w:r>
              <w:lastRenderedPageBreak/>
              <w:t>PowerPoint Slides</w:t>
            </w:r>
          </w:p>
        </w:tc>
        <w:tc>
          <w:tcPr>
            <w:tcW w:w="5647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6A1641E5" w14:textId="091F84DF" w:rsidR="00BD1D2A" w:rsidRDefault="00EC14B2" w:rsidP="00CD123C">
            <w:pPr>
              <w:pStyle w:val="VBAILTTableHeading1"/>
            </w:pPr>
            <w:r>
              <w:t>Notes</w:t>
            </w:r>
          </w:p>
        </w:tc>
      </w:tr>
      <w:tr w:rsidR="00C80D9E" w14:paraId="5D60361A" w14:textId="77777777" w:rsidTr="00715D07">
        <w:trPr>
          <w:trHeight w:val="1282"/>
          <w:jc w:val="center"/>
        </w:trPr>
        <w:tc>
          <w:tcPr>
            <w:tcW w:w="3960" w:type="dxa"/>
            <w:tcBorders>
              <w:right w:val="dashSmallGap" w:sz="4" w:space="0" w:color="auto"/>
            </w:tcBorders>
          </w:tcPr>
          <w:p w14:paraId="0D6E5E48" w14:textId="1EEDF70D" w:rsidR="00C80D9E" w:rsidRPr="00A90616" w:rsidRDefault="005458D8" w:rsidP="003E2DBB">
            <w:pPr>
              <w:pStyle w:val="VBAILTBody"/>
              <w:rPr>
                <w:rStyle w:val="Strong"/>
              </w:rPr>
            </w:pPr>
            <w:r w:rsidRPr="005458D8">
              <w:rPr>
                <w:b/>
                <w:bCs/>
              </w:rPr>
              <w:t>Characteristics of Section 306 Pension</w:t>
            </w:r>
            <w:r w:rsidR="002B624A">
              <w:rPr>
                <w:b/>
                <w:bCs/>
              </w:rPr>
              <w:t xml:space="preserve"> Program</w:t>
            </w:r>
          </w:p>
          <w:p w14:paraId="1E626795" w14:textId="77777777" w:rsidR="00A22319" w:rsidRPr="00823974" w:rsidRDefault="00F058C5" w:rsidP="00823974">
            <w:pPr>
              <w:pStyle w:val="VBAILTbullet1"/>
            </w:pPr>
            <w:r w:rsidRPr="00823974">
              <w:t>Benefits for Section 306 pension are calculated on a calendar year basis.</w:t>
            </w:r>
          </w:p>
          <w:p w14:paraId="218B1A5B" w14:textId="47236E7F" w:rsidR="004A3096" w:rsidRPr="005458D8" w:rsidRDefault="004A3096" w:rsidP="005458D8">
            <w:pPr>
              <w:pStyle w:val="VBAILTbullet1"/>
            </w:pPr>
            <w:r w:rsidRPr="005458D8">
              <w:t xml:space="preserve">Income must be below the </w:t>
            </w:r>
            <w:r w:rsidR="00D26E4D">
              <w:t>Maximum Annual Pension Rate (</w:t>
            </w:r>
            <w:r w:rsidRPr="005458D8">
              <w:t>MAPR</w:t>
            </w:r>
            <w:r w:rsidR="00D26E4D">
              <w:t>)</w:t>
            </w:r>
            <w:r w:rsidRPr="005458D8">
              <w:t xml:space="preserve"> to keep the protected rate</w:t>
            </w:r>
            <w:r w:rsidR="00D3178E">
              <w:t>.</w:t>
            </w:r>
          </w:p>
          <w:p w14:paraId="0C760607" w14:textId="00748C95" w:rsidR="00C80D9E" w:rsidRPr="005458D8" w:rsidRDefault="00D26E4D" w:rsidP="00D3178E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t>Claims</w:t>
            </w:r>
            <w:r w:rsidR="004A3096" w:rsidRPr="005458D8">
              <w:t xml:space="preserve"> for </w:t>
            </w:r>
            <w:r w:rsidR="00D3178E">
              <w:t xml:space="preserve">Section </w:t>
            </w:r>
            <w:r w:rsidR="004A3096" w:rsidRPr="005458D8">
              <w:t xml:space="preserve">306 </w:t>
            </w:r>
            <w:r w:rsidR="00D3178E">
              <w:t>p</w:t>
            </w:r>
            <w:r w:rsidR="00D3178E" w:rsidRPr="005458D8">
              <w:t xml:space="preserve">ension </w:t>
            </w:r>
            <w:r w:rsidR="004A3096" w:rsidRPr="005458D8">
              <w:t xml:space="preserve">must show </w:t>
            </w:r>
            <w:r w:rsidR="00D3178E">
              <w:t xml:space="preserve">that </w:t>
            </w:r>
            <w:r w:rsidR="004A3096" w:rsidRPr="005458D8">
              <w:t>continuous entitlement from December 31, 1978, can be established</w:t>
            </w:r>
            <w:r w:rsidR="00D3178E">
              <w:t>.</w:t>
            </w:r>
          </w:p>
        </w:tc>
        <w:tc>
          <w:tcPr>
            <w:tcW w:w="5647" w:type="dxa"/>
            <w:tcBorders>
              <w:left w:val="dashSmallGap" w:sz="4" w:space="0" w:color="auto"/>
            </w:tcBorders>
          </w:tcPr>
          <w:p w14:paraId="26D1E58E" w14:textId="15C8FBB3" w:rsidR="00C80D9E" w:rsidRPr="00877ED3" w:rsidRDefault="00C80D9E" w:rsidP="00D3178E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CC3A1B" w14:paraId="0FC95398" w14:textId="77777777" w:rsidTr="00536DC6">
        <w:trPr>
          <w:cantSplit/>
          <w:trHeight w:val="1282"/>
          <w:jc w:val="center"/>
        </w:trPr>
        <w:tc>
          <w:tcPr>
            <w:tcW w:w="3960" w:type="dxa"/>
            <w:tcBorders>
              <w:right w:val="dashSmallGap" w:sz="4" w:space="0" w:color="auto"/>
            </w:tcBorders>
          </w:tcPr>
          <w:p w14:paraId="2542992F" w14:textId="14104DA3" w:rsidR="00CC3A1B" w:rsidRDefault="005458D8" w:rsidP="003E2DBB">
            <w:pPr>
              <w:pStyle w:val="VBAILTBody"/>
              <w:rPr>
                <w:b/>
                <w:bCs/>
              </w:rPr>
            </w:pPr>
            <w:r w:rsidRPr="005458D8">
              <w:rPr>
                <w:b/>
                <w:bCs/>
              </w:rPr>
              <w:t xml:space="preserve">How to </w:t>
            </w:r>
            <w:r>
              <w:rPr>
                <w:b/>
                <w:bCs/>
              </w:rPr>
              <w:t xml:space="preserve">Recognize an Old Law or Section </w:t>
            </w:r>
            <w:r w:rsidRPr="005458D8">
              <w:rPr>
                <w:b/>
                <w:bCs/>
              </w:rPr>
              <w:t>306 Pension Claim</w:t>
            </w:r>
          </w:p>
          <w:p w14:paraId="5F9F8931" w14:textId="55F02A09" w:rsidR="004A3096" w:rsidRPr="005458D8" w:rsidRDefault="004A3096" w:rsidP="005458D8">
            <w:pPr>
              <w:pStyle w:val="VBAILTbullet1"/>
            </w:pPr>
            <w:r w:rsidRPr="005458D8">
              <w:t xml:space="preserve">Review entitlement </w:t>
            </w:r>
            <w:r w:rsidR="0047151C">
              <w:t>column on the Award Information tab in the Corporate Record</w:t>
            </w:r>
            <w:r w:rsidR="00720804">
              <w:t>.</w:t>
            </w:r>
          </w:p>
          <w:p w14:paraId="065F0B8C" w14:textId="19392273" w:rsidR="004A3096" w:rsidRPr="005458D8" w:rsidRDefault="004A3096" w:rsidP="005458D8">
            <w:pPr>
              <w:pStyle w:val="VBAILTbullet1"/>
            </w:pPr>
            <w:r w:rsidRPr="005458D8">
              <w:t>Review the rate being</w:t>
            </w:r>
            <w:r w:rsidR="00EC14B2">
              <w:t xml:space="preserve"> </w:t>
            </w:r>
            <w:r w:rsidRPr="005458D8">
              <w:t>received</w:t>
            </w:r>
            <w:r w:rsidR="00720804">
              <w:t>.</w:t>
            </w:r>
          </w:p>
          <w:p w14:paraId="56F899A7" w14:textId="283C31E8" w:rsidR="00CC3A1B" w:rsidRPr="005458D8" w:rsidRDefault="004A3096" w:rsidP="005458D8">
            <w:pPr>
              <w:pStyle w:val="VBAILTbullet1"/>
              <w:rPr>
                <w:rStyle w:val="Strong"/>
                <w:b w:val="0"/>
                <w:bCs w:val="0"/>
              </w:rPr>
            </w:pPr>
            <w:r w:rsidRPr="005458D8">
              <w:t>Review the date of entitlement</w:t>
            </w:r>
            <w:r w:rsidR="00720804">
              <w:t>.</w:t>
            </w:r>
          </w:p>
        </w:tc>
        <w:tc>
          <w:tcPr>
            <w:tcW w:w="5647" w:type="dxa"/>
            <w:tcBorders>
              <w:left w:val="dashSmallGap" w:sz="4" w:space="0" w:color="auto"/>
            </w:tcBorders>
          </w:tcPr>
          <w:p w14:paraId="1A2B7236" w14:textId="5A6CAF35" w:rsidR="00C67C69" w:rsidRPr="00C67C69" w:rsidRDefault="00C67C69" w:rsidP="00C67C69">
            <w:pPr>
              <w:pStyle w:val="VBAILTBody"/>
              <w:rPr>
                <w:rStyle w:val="Strong"/>
                <w:b w:val="0"/>
                <w:bCs w:val="0"/>
                <w:i/>
              </w:rPr>
            </w:pPr>
          </w:p>
        </w:tc>
      </w:tr>
      <w:tr w:rsidR="00C80D9E" w14:paraId="0316868F" w14:textId="77777777" w:rsidTr="00715D07">
        <w:trPr>
          <w:trHeight w:val="1282"/>
          <w:jc w:val="center"/>
        </w:trPr>
        <w:tc>
          <w:tcPr>
            <w:tcW w:w="3960" w:type="dxa"/>
            <w:tcBorders>
              <w:right w:val="dashSmallGap" w:sz="4" w:space="0" w:color="auto"/>
            </w:tcBorders>
          </w:tcPr>
          <w:p w14:paraId="68971AB8" w14:textId="5EC6817B" w:rsidR="00C80D9E" w:rsidRPr="0093015F" w:rsidRDefault="005458D8" w:rsidP="003E2DBB">
            <w:pPr>
              <w:pStyle w:val="VBAILTBody"/>
              <w:rPr>
                <w:rStyle w:val="Strong"/>
              </w:rPr>
            </w:pPr>
            <w:r w:rsidRPr="005458D8">
              <w:rPr>
                <w:b/>
                <w:bCs/>
              </w:rPr>
              <w:t>Group Practice Exercise—Entitlement to Old</w:t>
            </w:r>
            <w:r w:rsidRPr="005458D8">
              <w:rPr>
                <w:b/>
                <w:bCs/>
              </w:rPr>
              <w:br/>
              <w:t>Law and 306 Pension</w:t>
            </w:r>
            <w:r w:rsidR="002B624A">
              <w:rPr>
                <w:b/>
                <w:bCs/>
              </w:rPr>
              <w:t xml:space="preserve"> Benefits</w:t>
            </w:r>
          </w:p>
          <w:p w14:paraId="0637C5B7" w14:textId="77777777" w:rsidR="004A3096" w:rsidRPr="005458D8" w:rsidRDefault="004A3096" w:rsidP="005458D8">
            <w:pPr>
              <w:pStyle w:val="VBAILTbullet1"/>
            </w:pPr>
            <w:r w:rsidRPr="005458D8">
              <w:t>Instructions:</w:t>
            </w:r>
          </w:p>
          <w:p w14:paraId="24A8ABB7" w14:textId="37EE649E" w:rsidR="004A3096" w:rsidRPr="005458D8" w:rsidRDefault="00D3178E" w:rsidP="005458D8">
            <w:pPr>
              <w:pStyle w:val="VBAILTBullet2"/>
            </w:pPr>
            <w:r>
              <w:t>The i</w:t>
            </w:r>
            <w:r w:rsidR="004A3096" w:rsidRPr="005458D8">
              <w:t>nstructor will read the scenario(s</w:t>
            </w:r>
            <w:r>
              <w:t>) aloud.</w:t>
            </w:r>
          </w:p>
          <w:p w14:paraId="75D041BA" w14:textId="53622191" w:rsidR="004A3096" w:rsidRPr="005458D8" w:rsidRDefault="004A3096" w:rsidP="005458D8">
            <w:pPr>
              <w:pStyle w:val="VBAILTBullet2"/>
            </w:pPr>
            <w:r w:rsidRPr="005458D8">
              <w:t>Access CPKM to use the M21-1</w:t>
            </w:r>
            <w:r w:rsidR="00D3178E">
              <w:t>.</w:t>
            </w:r>
          </w:p>
          <w:p w14:paraId="517669E4" w14:textId="77777777" w:rsidR="004A3096" w:rsidRPr="005458D8" w:rsidRDefault="004A3096" w:rsidP="005458D8">
            <w:pPr>
              <w:pStyle w:val="VBAILTBullet2"/>
            </w:pPr>
            <w:r w:rsidRPr="005458D8">
              <w:t>Raise your hand when you know the answer.</w:t>
            </w:r>
          </w:p>
          <w:p w14:paraId="46C92A44" w14:textId="77777777" w:rsidR="004A3096" w:rsidRPr="005458D8" w:rsidRDefault="004A3096" w:rsidP="005458D8">
            <w:pPr>
              <w:pStyle w:val="VBAILTBullet2"/>
            </w:pPr>
            <w:r w:rsidRPr="005458D8">
              <w:lastRenderedPageBreak/>
              <w:t>Explain the reason for your answer.</w:t>
            </w:r>
          </w:p>
          <w:p w14:paraId="2923F250" w14:textId="096D53E4" w:rsidR="00C80D9E" w:rsidRPr="005458D8" w:rsidRDefault="004A3096" w:rsidP="005458D8">
            <w:pPr>
              <w:pStyle w:val="VBAILTbullet1"/>
              <w:rPr>
                <w:rStyle w:val="Strong"/>
                <w:b w:val="0"/>
                <w:bCs w:val="0"/>
              </w:rPr>
            </w:pPr>
            <w:r w:rsidRPr="005458D8">
              <w:t>Time allowed: 10 min.</w:t>
            </w:r>
          </w:p>
        </w:tc>
        <w:tc>
          <w:tcPr>
            <w:tcW w:w="5647" w:type="dxa"/>
            <w:tcBorders>
              <w:left w:val="dashSmallGap" w:sz="4" w:space="0" w:color="auto"/>
            </w:tcBorders>
          </w:tcPr>
          <w:p w14:paraId="6313A10E" w14:textId="168A7267" w:rsidR="00C80D9E" w:rsidRPr="00864FAB" w:rsidRDefault="00C80D9E" w:rsidP="00477C30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</w:p>
        </w:tc>
      </w:tr>
      <w:tr w:rsidR="00C80D9E" w14:paraId="173D7270" w14:textId="77777777" w:rsidTr="00715D07">
        <w:trPr>
          <w:cantSplit/>
          <w:trHeight w:val="1282"/>
          <w:jc w:val="center"/>
        </w:trPr>
        <w:tc>
          <w:tcPr>
            <w:tcW w:w="3960" w:type="dxa"/>
            <w:tcBorders>
              <w:right w:val="dashSmallGap" w:sz="4" w:space="0" w:color="auto"/>
            </w:tcBorders>
          </w:tcPr>
          <w:p w14:paraId="02A3663C" w14:textId="08040EBC" w:rsidR="00C80D9E" w:rsidRDefault="005458D8" w:rsidP="00E00A35">
            <w:pPr>
              <w:pStyle w:val="VBAILTBody"/>
              <w:rPr>
                <w:rStyle w:val="Strong"/>
              </w:rPr>
            </w:pPr>
            <w:r>
              <w:rPr>
                <w:b/>
                <w:bCs/>
              </w:rPr>
              <w:t>Scenario 1</w:t>
            </w:r>
            <w:r w:rsidRPr="005458D8">
              <w:rPr>
                <w:b/>
                <w:bCs/>
              </w:rPr>
              <w:t>—Is the Claimant Entitled to Old</w:t>
            </w:r>
            <w:r w:rsidRPr="005458D8">
              <w:rPr>
                <w:b/>
                <w:bCs/>
              </w:rPr>
              <w:br/>
              <w:t>Law or 306 Pension</w:t>
            </w:r>
            <w:r w:rsidR="002B624A">
              <w:rPr>
                <w:b/>
                <w:bCs/>
              </w:rPr>
              <w:t xml:space="preserve"> Benefits</w:t>
            </w:r>
            <w:r w:rsidRPr="005458D8">
              <w:rPr>
                <w:b/>
                <w:bCs/>
              </w:rPr>
              <w:t>?</w:t>
            </w:r>
          </w:p>
          <w:p w14:paraId="7D1DB0D4" w14:textId="754C479E" w:rsidR="00C80D9E" w:rsidRPr="005458D8" w:rsidRDefault="005458D8" w:rsidP="00D3178E">
            <w:pPr>
              <w:pStyle w:val="VBAILTBody"/>
              <w:rPr>
                <w:rStyle w:val="Strong"/>
                <w:b w:val="0"/>
                <w:bCs w:val="0"/>
              </w:rPr>
            </w:pPr>
            <w:r w:rsidRPr="005458D8">
              <w:t xml:space="preserve">You receive a submission of </w:t>
            </w:r>
            <w:r w:rsidR="00536DC6">
              <w:t>income</w:t>
            </w:r>
            <w:r w:rsidRPr="005458D8">
              <w:t xml:space="preserve"> from a claimant. You review the claim and see that the claimant is receiving entitlement under</w:t>
            </w:r>
            <w:r w:rsidR="00D3178E">
              <w:t xml:space="preserve"> </w:t>
            </w:r>
            <w:r w:rsidR="00BE792A">
              <w:t xml:space="preserve">Section </w:t>
            </w:r>
            <w:r w:rsidRPr="005458D8">
              <w:t xml:space="preserve">306 </w:t>
            </w:r>
            <w:r w:rsidR="00D3178E">
              <w:t>p</w:t>
            </w:r>
            <w:r w:rsidR="00D3178E" w:rsidRPr="005458D8">
              <w:t>ension</w:t>
            </w:r>
            <w:r w:rsidRPr="005458D8">
              <w:t xml:space="preserve">. You review the submission of income and determine the income is from unemployment compensation. Based on the type of income received, is the claimant still entitled to receive </w:t>
            </w:r>
            <w:r w:rsidR="00BE792A">
              <w:t xml:space="preserve">Section </w:t>
            </w:r>
            <w:r w:rsidRPr="005458D8">
              <w:t xml:space="preserve">306 </w:t>
            </w:r>
            <w:r w:rsidR="00D3178E">
              <w:t>p</w:t>
            </w:r>
            <w:r w:rsidR="00D3178E" w:rsidRPr="005458D8">
              <w:t>ension</w:t>
            </w:r>
            <w:r w:rsidRPr="005458D8">
              <w:t>?</w:t>
            </w:r>
          </w:p>
        </w:tc>
        <w:tc>
          <w:tcPr>
            <w:tcW w:w="5647" w:type="dxa"/>
            <w:tcBorders>
              <w:left w:val="dashSmallGap" w:sz="4" w:space="0" w:color="auto"/>
            </w:tcBorders>
          </w:tcPr>
          <w:p w14:paraId="7715B7EA" w14:textId="58538D58" w:rsidR="00C80D9E" w:rsidRPr="00E43109" w:rsidRDefault="00C80D9E" w:rsidP="00E43109">
            <w:pPr>
              <w:pStyle w:val="VBAILTBody"/>
              <w:rPr>
                <w:rStyle w:val="Strong"/>
                <w:b w:val="0"/>
              </w:rPr>
            </w:pPr>
          </w:p>
        </w:tc>
      </w:tr>
      <w:tr w:rsidR="00C80D9E" w14:paraId="3E05A879" w14:textId="77777777" w:rsidTr="00715D07">
        <w:trPr>
          <w:cantSplit/>
          <w:trHeight w:val="1282"/>
          <w:jc w:val="center"/>
        </w:trPr>
        <w:tc>
          <w:tcPr>
            <w:tcW w:w="3960" w:type="dxa"/>
            <w:tcBorders>
              <w:right w:val="dashSmallGap" w:sz="4" w:space="0" w:color="auto"/>
            </w:tcBorders>
          </w:tcPr>
          <w:p w14:paraId="7667441A" w14:textId="54B5E5E3" w:rsidR="00C80D9E" w:rsidRPr="0093015F" w:rsidRDefault="002E4933" w:rsidP="008A0512">
            <w:pPr>
              <w:pStyle w:val="VBAILTBody"/>
              <w:rPr>
                <w:rStyle w:val="Strong"/>
              </w:rPr>
            </w:pPr>
            <w:r w:rsidRPr="002E4933">
              <w:rPr>
                <w:b/>
                <w:bCs/>
              </w:rPr>
              <w:t>Scenario 2—Should the Claimant Continue</w:t>
            </w:r>
            <w:r w:rsidRPr="002E4933">
              <w:rPr>
                <w:b/>
                <w:bCs/>
              </w:rPr>
              <w:br/>
              <w:t>to Receive Old Law Pension</w:t>
            </w:r>
            <w:r w:rsidR="002B624A">
              <w:rPr>
                <w:b/>
                <w:bCs/>
              </w:rPr>
              <w:t xml:space="preserve"> Benefits</w:t>
            </w:r>
            <w:r w:rsidRPr="002E4933">
              <w:rPr>
                <w:b/>
                <w:bCs/>
              </w:rPr>
              <w:t>?</w:t>
            </w:r>
          </w:p>
          <w:p w14:paraId="05228882" w14:textId="170063B3" w:rsidR="00C80D9E" w:rsidRPr="00E43109" w:rsidRDefault="002E4933" w:rsidP="00BE792A">
            <w:pPr>
              <w:pStyle w:val="VBAILTBody"/>
              <w:rPr>
                <w:rStyle w:val="Strong"/>
                <w:b w:val="0"/>
                <w:bCs w:val="0"/>
              </w:rPr>
            </w:pPr>
            <w:r w:rsidRPr="002E4933">
              <w:t xml:space="preserve">You receive an election from a claimant </w:t>
            </w:r>
            <w:r w:rsidR="00BE792A">
              <w:t>who</w:t>
            </w:r>
            <w:r w:rsidR="00BE792A" w:rsidRPr="002E4933">
              <w:t xml:space="preserve"> </w:t>
            </w:r>
            <w:r w:rsidRPr="002E4933">
              <w:t>was previously receiving pension under Old Law. After reviewing all information in the claim, you determine the monthly rate of the current-law pension would be less than what the claimant is currently receiving under Old Law pension. Based on your findings, what action would you take?</w:t>
            </w:r>
          </w:p>
        </w:tc>
        <w:tc>
          <w:tcPr>
            <w:tcW w:w="5647" w:type="dxa"/>
            <w:tcBorders>
              <w:left w:val="dashSmallGap" w:sz="4" w:space="0" w:color="auto"/>
            </w:tcBorders>
          </w:tcPr>
          <w:p w14:paraId="18DBA996" w14:textId="0BF4B906" w:rsidR="00C80D9E" w:rsidRPr="00135E9A" w:rsidRDefault="00C80D9E" w:rsidP="00D3178E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</w:tbl>
    <w:p w14:paraId="2B04168F" w14:textId="77777777" w:rsidR="009B2AA6" w:rsidRDefault="009B2AA6"/>
    <w:p w14:paraId="229C554F" w14:textId="0E42FF62" w:rsidR="008A0512" w:rsidRDefault="008A0512"/>
    <w:p w14:paraId="0396531A" w14:textId="77777777" w:rsidR="009B2AA6" w:rsidRDefault="009B2AA6"/>
    <w:tbl>
      <w:tblPr>
        <w:tblStyle w:val="TableGrid"/>
        <w:tblW w:w="962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045"/>
        <w:gridCol w:w="5580"/>
      </w:tblGrid>
      <w:tr w:rsidR="008C6F42" w14:paraId="34BF719D" w14:textId="77777777" w:rsidTr="007F1A0A">
        <w:trPr>
          <w:cantSplit/>
          <w:trHeight w:val="602"/>
          <w:tblHeader/>
          <w:jc w:val="center"/>
        </w:trPr>
        <w:tc>
          <w:tcPr>
            <w:tcW w:w="4045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5CA4D39C" w14:textId="77777777" w:rsidR="008C6F42" w:rsidRPr="006E54AE" w:rsidRDefault="008C6F42" w:rsidP="002A4968">
            <w:pPr>
              <w:pStyle w:val="VBAILTTableHeading1"/>
            </w:pPr>
            <w:r>
              <w:t>PowerPoint Slides</w:t>
            </w:r>
          </w:p>
        </w:tc>
        <w:tc>
          <w:tcPr>
            <w:tcW w:w="5580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3A56F345" w14:textId="3FE10527" w:rsidR="008C6F42" w:rsidRDefault="00EC14B2" w:rsidP="002A4968">
            <w:pPr>
              <w:pStyle w:val="VBAILTTableHeading1"/>
            </w:pPr>
            <w:r>
              <w:t>Notes</w:t>
            </w:r>
          </w:p>
        </w:tc>
      </w:tr>
      <w:tr w:rsidR="00B45B34" w14:paraId="58278547" w14:textId="77777777" w:rsidTr="007F1A0A">
        <w:trPr>
          <w:cantSplit/>
          <w:trHeight w:val="1282"/>
          <w:jc w:val="center"/>
        </w:trPr>
        <w:tc>
          <w:tcPr>
            <w:tcW w:w="4045" w:type="dxa"/>
            <w:tcBorders>
              <w:right w:val="dashSmallGap" w:sz="4" w:space="0" w:color="auto"/>
            </w:tcBorders>
          </w:tcPr>
          <w:p w14:paraId="1F670216" w14:textId="3C376DE1" w:rsidR="00B45B34" w:rsidRPr="001E2137" w:rsidRDefault="007F1A0A" w:rsidP="00B45B34">
            <w:pPr>
              <w:pStyle w:val="VBAILTBody"/>
              <w:rPr>
                <w:rStyle w:val="Strong"/>
              </w:rPr>
            </w:pPr>
            <w:r>
              <w:rPr>
                <w:b/>
                <w:bCs/>
              </w:rPr>
              <w:t xml:space="preserve">Knowledge Check: </w:t>
            </w:r>
            <w:r w:rsidR="00B45B34" w:rsidRPr="002E4933">
              <w:rPr>
                <w:b/>
                <w:bCs/>
              </w:rPr>
              <w:t xml:space="preserve">Lesson </w:t>
            </w:r>
            <w:r w:rsidR="00B45B34">
              <w:rPr>
                <w:b/>
                <w:bCs/>
              </w:rPr>
              <w:t xml:space="preserve">Summary Review </w:t>
            </w:r>
          </w:p>
          <w:p w14:paraId="7D2174CB" w14:textId="77777777" w:rsidR="00B45B34" w:rsidRDefault="007F1A0A" w:rsidP="007F1A0A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rStyle w:val="Strong"/>
                <w:b w:val="0"/>
                <w:bCs w:val="0"/>
              </w:rPr>
            </w:pPr>
            <w:r w:rsidRPr="00345E8B">
              <w:rPr>
                <w:noProof/>
              </w:rPr>
              <w:drawing>
                <wp:inline distT="0" distB="0" distL="0" distR="0" wp14:anchorId="5BD7056E" wp14:editId="62F82500">
                  <wp:extent cx="1546024" cy="722489"/>
                  <wp:effectExtent l="0" t="0" r="0" b="1905"/>
                  <wp:docPr id="995" name="Picture 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075" cy="7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9C9316" w14:textId="5AE9FAF5" w:rsidR="007F1A0A" w:rsidRPr="002E4933" w:rsidRDefault="007F1A0A" w:rsidP="007F1A0A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rStyle w:val="Strong"/>
                <w:b w:val="0"/>
                <w:bCs w:val="0"/>
              </w:rPr>
            </w:pPr>
            <w:r w:rsidRPr="007F1A0A">
              <w:rPr>
                <w:rStyle w:val="Strong"/>
              </w:rPr>
              <w:t>Time Allowed</w:t>
            </w:r>
            <w:r>
              <w:rPr>
                <w:rStyle w:val="Strong"/>
                <w:b w:val="0"/>
                <w:bCs w:val="0"/>
              </w:rPr>
              <w:t>: 10 minutes</w:t>
            </w:r>
          </w:p>
        </w:tc>
        <w:tc>
          <w:tcPr>
            <w:tcW w:w="5580" w:type="dxa"/>
            <w:tcBorders>
              <w:left w:val="dashSmallGap" w:sz="4" w:space="0" w:color="auto"/>
            </w:tcBorders>
          </w:tcPr>
          <w:p w14:paraId="0FC37336" w14:textId="20A0476E" w:rsidR="00B45B34" w:rsidRPr="004420A8" w:rsidRDefault="00B45B34" w:rsidP="00B45B34">
            <w:pPr>
              <w:pStyle w:val="VBAILTbullet1"/>
              <w:numPr>
                <w:ilvl w:val="0"/>
                <w:numId w:val="0"/>
              </w:numPr>
              <w:ind w:left="360"/>
              <w:rPr>
                <w:rStyle w:val="Strong"/>
                <w:b w:val="0"/>
                <w:bCs w:val="0"/>
              </w:rPr>
            </w:pPr>
          </w:p>
        </w:tc>
      </w:tr>
      <w:tr w:rsidR="00FD2D9F" w14:paraId="06797ED3" w14:textId="77777777" w:rsidTr="007F1A0A">
        <w:trPr>
          <w:trHeight w:val="1282"/>
          <w:jc w:val="center"/>
        </w:trPr>
        <w:tc>
          <w:tcPr>
            <w:tcW w:w="4045" w:type="dxa"/>
            <w:tcBorders>
              <w:right w:val="dashSmallGap" w:sz="4" w:space="0" w:color="auto"/>
            </w:tcBorders>
          </w:tcPr>
          <w:p w14:paraId="1D6663BC" w14:textId="41F4DE55" w:rsidR="00FD2D9F" w:rsidRPr="00681556" w:rsidRDefault="00FD2D9F" w:rsidP="00CD123C">
            <w:pPr>
              <w:pStyle w:val="VBAILTBody"/>
              <w:rPr>
                <w:b/>
                <w:bCs/>
              </w:rPr>
            </w:pPr>
            <w:r>
              <w:rPr>
                <w:rStyle w:val="Strong"/>
              </w:rPr>
              <w:t>What’s Next</w:t>
            </w:r>
          </w:p>
          <w:p w14:paraId="395BDC62" w14:textId="32AD15F3" w:rsidR="00177CB3" w:rsidRPr="002E4933" w:rsidRDefault="00177CB3" w:rsidP="002E4933">
            <w:pPr>
              <w:pStyle w:val="VBAILTbullet1"/>
              <w:rPr>
                <w:rStyle w:val="Strong"/>
                <w:b w:val="0"/>
                <w:bCs w:val="0"/>
              </w:rPr>
            </w:pPr>
            <w:r w:rsidRPr="00177CB3">
              <w:rPr>
                <w:rStyle w:val="Strong"/>
                <w:b w:val="0"/>
                <w:bCs w:val="0"/>
              </w:rPr>
              <w:t>Complete course evaluation in TMS.</w:t>
            </w:r>
            <w:r w:rsidR="005162E4">
              <w:rPr>
                <w:rStyle w:val="Strong"/>
                <w:b w:val="0"/>
                <w:bCs w:val="0"/>
              </w:rPr>
              <w:t xml:space="preserve"> </w:t>
            </w:r>
            <w:r w:rsidR="005162E4" w:rsidRPr="00243713">
              <w:rPr>
                <w:rStyle w:val="Strong"/>
              </w:rPr>
              <w:t>TMS ID 4189360</w:t>
            </w:r>
          </w:p>
        </w:tc>
        <w:tc>
          <w:tcPr>
            <w:tcW w:w="5580" w:type="dxa"/>
            <w:tcBorders>
              <w:left w:val="dashSmallGap" w:sz="4" w:space="0" w:color="auto"/>
            </w:tcBorders>
          </w:tcPr>
          <w:p w14:paraId="14226496" w14:textId="3943052D" w:rsidR="00FD2D9F" w:rsidRPr="009F361E" w:rsidRDefault="00FD2D9F" w:rsidP="00CD123C">
            <w:pPr>
              <w:pStyle w:val="VBAILTBody"/>
              <w:rPr>
                <w:rStyle w:val="Strong"/>
              </w:rPr>
            </w:pPr>
          </w:p>
        </w:tc>
      </w:tr>
    </w:tbl>
    <w:p w14:paraId="7326F772" w14:textId="64241D11" w:rsidR="00CF50B0" w:rsidRPr="00066C36" w:rsidRDefault="00CF50B0" w:rsidP="00066C36">
      <w:pPr>
        <w:numPr>
          <w:ilvl w:val="12"/>
          <w:numId w:val="0"/>
        </w:numPr>
        <w:rPr>
          <w:rFonts w:ascii="Arial" w:hAnsi="Arial"/>
          <w:sz w:val="24"/>
        </w:rPr>
      </w:pPr>
    </w:p>
    <w:sectPr w:rsidR="00CF50B0" w:rsidRPr="00066C36" w:rsidSect="00C30F06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A551D" w14:textId="77777777" w:rsidR="007B1926" w:rsidRDefault="007B1926" w:rsidP="00C214A9">
      <w:pPr>
        <w:spacing w:after="0" w:line="240" w:lineRule="auto"/>
      </w:pPr>
      <w:r>
        <w:separator/>
      </w:r>
    </w:p>
  </w:endnote>
  <w:endnote w:type="continuationSeparator" w:id="0">
    <w:p w14:paraId="7990B938" w14:textId="77777777" w:rsidR="007B1926" w:rsidRDefault="007B1926" w:rsidP="00C214A9">
      <w:pPr>
        <w:spacing w:after="0" w:line="240" w:lineRule="auto"/>
      </w:pPr>
      <w:r>
        <w:continuationSeparator/>
      </w:r>
    </w:p>
  </w:endnote>
  <w:endnote w:type="continuationNotice" w:id="1">
    <w:p w14:paraId="6EA53C3F" w14:textId="77777777" w:rsidR="007B1926" w:rsidRDefault="007B19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6F779" w14:textId="533B77E1" w:rsidR="004A3096" w:rsidRPr="00C214A9" w:rsidRDefault="006069F3" w:rsidP="000B5F91">
    <w:pPr>
      <w:pStyle w:val="VBAILTFooter"/>
    </w:pPr>
    <w:r>
      <w:t>May 2024</w:t>
    </w:r>
    <w:r w:rsidR="004A3096">
      <w:tab/>
    </w:r>
    <w:r w:rsidR="004A3096" w:rsidRPr="00C214A9">
      <w:fldChar w:fldCharType="begin"/>
    </w:r>
    <w:r w:rsidR="004A3096" w:rsidRPr="00C214A9">
      <w:instrText xml:space="preserve"> PAGE   \* MERGEFORMAT </w:instrText>
    </w:r>
    <w:r w:rsidR="004A3096" w:rsidRPr="00C214A9">
      <w:fldChar w:fldCharType="separate"/>
    </w:r>
    <w:r w:rsidR="001E6C7B" w:rsidRPr="001E6C7B">
      <w:rPr>
        <w:b/>
        <w:bCs/>
        <w:noProof/>
      </w:rPr>
      <w:t>12</w:t>
    </w:r>
    <w:r w:rsidR="004A3096" w:rsidRPr="00C214A9">
      <w:rPr>
        <w:b/>
        <w:bCs/>
        <w:noProof/>
      </w:rPr>
      <w:fldChar w:fldCharType="end"/>
    </w:r>
    <w:r w:rsidR="004A3096" w:rsidRPr="00C214A9">
      <w:rPr>
        <w:b/>
        <w:bCs/>
      </w:rPr>
      <w:t xml:space="preserve"> </w:t>
    </w:r>
    <w:r w:rsidR="004A3096" w:rsidRPr="00C214A9">
      <w:t>|</w:t>
    </w:r>
    <w:r w:rsidR="004A3096" w:rsidRPr="00C214A9">
      <w:rPr>
        <w:b/>
        <w:bCs/>
      </w:rPr>
      <w:t xml:space="preserve"> </w:t>
    </w:r>
    <w:r w:rsidR="004A3096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B652B" w14:textId="77777777" w:rsidR="007B1926" w:rsidRDefault="007B1926" w:rsidP="00C214A9">
      <w:pPr>
        <w:spacing w:after="0" w:line="240" w:lineRule="auto"/>
      </w:pPr>
      <w:r>
        <w:separator/>
      </w:r>
    </w:p>
  </w:footnote>
  <w:footnote w:type="continuationSeparator" w:id="0">
    <w:p w14:paraId="10BF7367" w14:textId="77777777" w:rsidR="007B1926" w:rsidRDefault="007B1926" w:rsidP="00C214A9">
      <w:pPr>
        <w:spacing w:after="0" w:line="240" w:lineRule="auto"/>
      </w:pPr>
      <w:r>
        <w:continuationSeparator/>
      </w:r>
    </w:p>
  </w:footnote>
  <w:footnote w:type="continuationNotice" w:id="1">
    <w:p w14:paraId="6B5005E0" w14:textId="77777777" w:rsidR="007B1926" w:rsidRDefault="007B19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6F777" w14:textId="5D14AA62" w:rsidR="004A3096" w:rsidRPr="002D1DCE" w:rsidRDefault="004A3096" w:rsidP="002D1DCE">
    <w:pPr>
      <w:pStyle w:val="VBAILTHeader"/>
    </w:pPr>
    <w:r>
      <w:rPr>
        <w:bCs/>
      </w:rPr>
      <w:t>Introduction to Old Law and Section 306</w:t>
    </w:r>
    <w:r w:rsidR="00C86342">
      <w:rPr>
        <w:bCs/>
      </w:rPr>
      <w:t xml:space="preserve"> Programs</w:t>
    </w:r>
  </w:p>
  <w:p w14:paraId="7326F778" w14:textId="24E36DB7" w:rsidR="004A3096" w:rsidRPr="002D1DCE" w:rsidRDefault="00EC14B2" w:rsidP="001262F7">
    <w:pPr>
      <w:pStyle w:val="VBAILTHeader"/>
      <w:pBdr>
        <w:bottom w:val="single" w:sz="4" w:space="1" w:color="auto"/>
      </w:pBdr>
    </w:pPr>
    <w:r>
      <w:t>Trainee Guide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6F77A" w14:textId="58CA80B2" w:rsidR="004A3096" w:rsidRDefault="004A3096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8F1958F" wp14:editId="33431579">
          <wp:simplePos x="0" y="0"/>
          <wp:positionH relativeFrom="column">
            <wp:posOffset>-895350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21" name="Picture 21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E6E20"/>
    <w:multiLevelType w:val="hybridMultilevel"/>
    <w:tmpl w:val="7E5AC8DA"/>
    <w:lvl w:ilvl="0" w:tplc="425E9CBE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9CC980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32D46"/>
    <w:multiLevelType w:val="hybridMultilevel"/>
    <w:tmpl w:val="2B90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46E15"/>
    <w:multiLevelType w:val="hybridMultilevel"/>
    <w:tmpl w:val="E8A242C0"/>
    <w:lvl w:ilvl="0" w:tplc="0D1C5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0A9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4CA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EB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D21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8C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EC8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67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2C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813248"/>
    <w:multiLevelType w:val="hybridMultilevel"/>
    <w:tmpl w:val="F21002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DB440A"/>
    <w:multiLevelType w:val="hybridMultilevel"/>
    <w:tmpl w:val="D25EE8FE"/>
    <w:lvl w:ilvl="0" w:tplc="EC4A6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46A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2A2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925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24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8D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8B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23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1C3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7C82DCE"/>
    <w:multiLevelType w:val="hybridMultilevel"/>
    <w:tmpl w:val="EE4EC844"/>
    <w:lvl w:ilvl="0" w:tplc="7BDC4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E0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24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0E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CC3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6B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CA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943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E0A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91161706">
    <w:abstractNumId w:val="0"/>
  </w:num>
  <w:num w:numId="2" w16cid:durableId="1727223082">
    <w:abstractNumId w:val="0"/>
  </w:num>
  <w:num w:numId="3" w16cid:durableId="1867252062">
    <w:abstractNumId w:val="5"/>
  </w:num>
  <w:num w:numId="4" w16cid:durableId="108551237">
    <w:abstractNumId w:val="2"/>
  </w:num>
  <w:num w:numId="5" w16cid:durableId="296910845">
    <w:abstractNumId w:val="4"/>
  </w:num>
  <w:num w:numId="6" w16cid:durableId="1833180275">
    <w:abstractNumId w:val="3"/>
  </w:num>
  <w:num w:numId="7" w16cid:durableId="174942360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02"/>
    <w:rsid w:val="000121D5"/>
    <w:rsid w:val="000125C5"/>
    <w:rsid w:val="00012971"/>
    <w:rsid w:val="00022112"/>
    <w:rsid w:val="00025712"/>
    <w:rsid w:val="00026D2D"/>
    <w:rsid w:val="000407B8"/>
    <w:rsid w:val="00041431"/>
    <w:rsid w:val="000424D4"/>
    <w:rsid w:val="000446EA"/>
    <w:rsid w:val="00047271"/>
    <w:rsid w:val="00050610"/>
    <w:rsid w:val="0005210A"/>
    <w:rsid w:val="000545EF"/>
    <w:rsid w:val="00055E15"/>
    <w:rsid w:val="000571F7"/>
    <w:rsid w:val="0006078E"/>
    <w:rsid w:val="00061112"/>
    <w:rsid w:val="00063448"/>
    <w:rsid w:val="00066C36"/>
    <w:rsid w:val="0007045B"/>
    <w:rsid w:val="000705C1"/>
    <w:rsid w:val="00075E9C"/>
    <w:rsid w:val="00077BE7"/>
    <w:rsid w:val="00080620"/>
    <w:rsid w:val="00081509"/>
    <w:rsid w:val="00083925"/>
    <w:rsid w:val="00084A63"/>
    <w:rsid w:val="0009169D"/>
    <w:rsid w:val="00096294"/>
    <w:rsid w:val="000A083B"/>
    <w:rsid w:val="000A25CE"/>
    <w:rsid w:val="000A346C"/>
    <w:rsid w:val="000A4299"/>
    <w:rsid w:val="000A5A02"/>
    <w:rsid w:val="000A7CF1"/>
    <w:rsid w:val="000B1E51"/>
    <w:rsid w:val="000B5F91"/>
    <w:rsid w:val="000C066E"/>
    <w:rsid w:val="000D4CEA"/>
    <w:rsid w:val="000E40EC"/>
    <w:rsid w:val="000E55D8"/>
    <w:rsid w:val="000F230D"/>
    <w:rsid w:val="000F28CB"/>
    <w:rsid w:val="000F308C"/>
    <w:rsid w:val="000F366C"/>
    <w:rsid w:val="000F4DD7"/>
    <w:rsid w:val="000F5CF5"/>
    <w:rsid w:val="00100EC2"/>
    <w:rsid w:val="001075CF"/>
    <w:rsid w:val="00112191"/>
    <w:rsid w:val="00112865"/>
    <w:rsid w:val="001133FA"/>
    <w:rsid w:val="0011427B"/>
    <w:rsid w:val="00123C69"/>
    <w:rsid w:val="00125104"/>
    <w:rsid w:val="001262F7"/>
    <w:rsid w:val="00126C3A"/>
    <w:rsid w:val="001308EB"/>
    <w:rsid w:val="001348E6"/>
    <w:rsid w:val="00134FEF"/>
    <w:rsid w:val="00135E9A"/>
    <w:rsid w:val="00143CCF"/>
    <w:rsid w:val="00144E60"/>
    <w:rsid w:val="00150349"/>
    <w:rsid w:val="001508B7"/>
    <w:rsid w:val="00160414"/>
    <w:rsid w:val="00161210"/>
    <w:rsid w:val="001627CE"/>
    <w:rsid w:val="00163051"/>
    <w:rsid w:val="00164679"/>
    <w:rsid w:val="0017147F"/>
    <w:rsid w:val="00171866"/>
    <w:rsid w:val="0017228F"/>
    <w:rsid w:val="001727EE"/>
    <w:rsid w:val="00177CB3"/>
    <w:rsid w:val="00180044"/>
    <w:rsid w:val="00184EDE"/>
    <w:rsid w:val="0019028B"/>
    <w:rsid w:val="001948BF"/>
    <w:rsid w:val="00195B64"/>
    <w:rsid w:val="00196368"/>
    <w:rsid w:val="00196C4B"/>
    <w:rsid w:val="00196FB6"/>
    <w:rsid w:val="00197546"/>
    <w:rsid w:val="001B3309"/>
    <w:rsid w:val="001B3585"/>
    <w:rsid w:val="001B5A3B"/>
    <w:rsid w:val="001C106C"/>
    <w:rsid w:val="001C5777"/>
    <w:rsid w:val="001C6BBE"/>
    <w:rsid w:val="001D1F75"/>
    <w:rsid w:val="001D2E6A"/>
    <w:rsid w:val="001D5716"/>
    <w:rsid w:val="001D5A75"/>
    <w:rsid w:val="001E17CB"/>
    <w:rsid w:val="001E2137"/>
    <w:rsid w:val="001E4B06"/>
    <w:rsid w:val="001E6C7B"/>
    <w:rsid w:val="001E7488"/>
    <w:rsid w:val="001F080C"/>
    <w:rsid w:val="001F406B"/>
    <w:rsid w:val="00200439"/>
    <w:rsid w:val="0021432C"/>
    <w:rsid w:val="0021707E"/>
    <w:rsid w:val="002249EB"/>
    <w:rsid w:val="0022501A"/>
    <w:rsid w:val="00234089"/>
    <w:rsid w:val="00236F4E"/>
    <w:rsid w:val="00237F67"/>
    <w:rsid w:val="0024084E"/>
    <w:rsid w:val="002408A6"/>
    <w:rsid w:val="00242413"/>
    <w:rsid w:val="002458C1"/>
    <w:rsid w:val="00246558"/>
    <w:rsid w:val="00250591"/>
    <w:rsid w:val="00250FEF"/>
    <w:rsid w:val="0025287A"/>
    <w:rsid w:val="00253B2D"/>
    <w:rsid w:val="00255E39"/>
    <w:rsid w:val="00257AAD"/>
    <w:rsid w:val="00265F2A"/>
    <w:rsid w:val="00267BA2"/>
    <w:rsid w:val="00285F23"/>
    <w:rsid w:val="002A25D6"/>
    <w:rsid w:val="002A2B27"/>
    <w:rsid w:val="002A39BE"/>
    <w:rsid w:val="002A4968"/>
    <w:rsid w:val="002B5CD6"/>
    <w:rsid w:val="002B624A"/>
    <w:rsid w:val="002C2860"/>
    <w:rsid w:val="002C289E"/>
    <w:rsid w:val="002C2D38"/>
    <w:rsid w:val="002C3FE7"/>
    <w:rsid w:val="002C6AC7"/>
    <w:rsid w:val="002D0E2E"/>
    <w:rsid w:val="002D0ECE"/>
    <w:rsid w:val="002D1DCE"/>
    <w:rsid w:val="002E1577"/>
    <w:rsid w:val="002E3812"/>
    <w:rsid w:val="002E4933"/>
    <w:rsid w:val="002E5D4D"/>
    <w:rsid w:val="002E75D2"/>
    <w:rsid w:val="002E7FD3"/>
    <w:rsid w:val="002F0193"/>
    <w:rsid w:val="002F0A92"/>
    <w:rsid w:val="002F1FD3"/>
    <w:rsid w:val="002F6CF4"/>
    <w:rsid w:val="00302346"/>
    <w:rsid w:val="0030493C"/>
    <w:rsid w:val="00305DF5"/>
    <w:rsid w:val="00306E6B"/>
    <w:rsid w:val="00310EE5"/>
    <w:rsid w:val="0031290B"/>
    <w:rsid w:val="003327DD"/>
    <w:rsid w:val="00337EDF"/>
    <w:rsid w:val="00353FE2"/>
    <w:rsid w:val="003541B3"/>
    <w:rsid w:val="00356C54"/>
    <w:rsid w:val="00360881"/>
    <w:rsid w:val="00360BA1"/>
    <w:rsid w:val="00360F79"/>
    <w:rsid w:val="003702EA"/>
    <w:rsid w:val="00372611"/>
    <w:rsid w:val="00382471"/>
    <w:rsid w:val="003873A9"/>
    <w:rsid w:val="0039435C"/>
    <w:rsid w:val="003A6422"/>
    <w:rsid w:val="003B118F"/>
    <w:rsid w:val="003B249B"/>
    <w:rsid w:val="003B2B67"/>
    <w:rsid w:val="003B3180"/>
    <w:rsid w:val="003B5710"/>
    <w:rsid w:val="003B7BC5"/>
    <w:rsid w:val="003C1DE3"/>
    <w:rsid w:val="003C5D5B"/>
    <w:rsid w:val="003D463B"/>
    <w:rsid w:val="003D56B9"/>
    <w:rsid w:val="003E08E5"/>
    <w:rsid w:val="003E1CFC"/>
    <w:rsid w:val="003E2DBB"/>
    <w:rsid w:val="003E3D02"/>
    <w:rsid w:val="003F5BD9"/>
    <w:rsid w:val="00401568"/>
    <w:rsid w:val="00402709"/>
    <w:rsid w:val="00406802"/>
    <w:rsid w:val="00406D56"/>
    <w:rsid w:val="00407DF5"/>
    <w:rsid w:val="0041467E"/>
    <w:rsid w:val="00416682"/>
    <w:rsid w:val="00430534"/>
    <w:rsid w:val="004420A8"/>
    <w:rsid w:val="00443FEA"/>
    <w:rsid w:val="004474C7"/>
    <w:rsid w:val="00447AAA"/>
    <w:rsid w:val="00450FB1"/>
    <w:rsid w:val="004535EF"/>
    <w:rsid w:val="00453A56"/>
    <w:rsid w:val="00463BDB"/>
    <w:rsid w:val="00467B37"/>
    <w:rsid w:val="0047151C"/>
    <w:rsid w:val="004747D8"/>
    <w:rsid w:val="00474F42"/>
    <w:rsid w:val="00477C30"/>
    <w:rsid w:val="0048085C"/>
    <w:rsid w:val="00485959"/>
    <w:rsid w:val="00493485"/>
    <w:rsid w:val="004A0CF0"/>
    <w:rsid w:val="004A3096"/>
    <w:rsid w:val="004A453C"/>
    <w:rsid w:val="004B2BBC"/>
    <w:rsid w:val="004B5D72"/>
    <w:rsid w:val="004C611F"/>
    <w:rsid w:val="004D089E"/>
    <w:rsid w:val="004E0CB2"/>
    <w:rsid w:val="004E75FF"/>
    <w:rsid w:val="004F3312"/>
    <w:rsid w:val="005027B3"/>
    <w:rsid w:val="00503F55"/>
    <w:rsid w:val="00513BA5"/>
    <w:rsid w:val="005162E4"/>
    <w:rsid w:val="00517DC4"/>
    <w:rsid w:val="00521441"/>
    <w:rsid w:val="0053056D"/>
    <w:rsid w:val="00534021"/>
    <w:rsid w:val="00536A02"/>
    <w:rsid w:val="00536C81"/>
    <w:rsid w:val="00536DC6"/>
    <w:rsid w:val="00540EF4"/>
    <w:rsid w:val="005458D8"/>
    <w:rsid w:val="00550613"/>
    <w:rsid w:val="00551299"/>
    <w:rsid w:val="005536C8"/>
    <w:rsid w:val="00557EC2"/>
    <w:rsid w:val="00561044"/>
    <w:rsid w:val="0056238D"/>
    <w:rsid w:val="0056614F"/>
    <w:rsid w:val="00574911"/>
    <w:rsid w:val="0057740C"/>
    <w:rsid w:val="005833A1"/>
    <w:rsid w:val="00584C51"/>
    <w:rsid w:val="0058534E"/>
    <w:rsid w:val="00585CD4"/>
    <w:rsid w:val="00587072"/>
    <w:rsid w:val="00591119"/>
    <w:rsid w:val="00595182"/>
    <w:rsid w:val="005A51A5"/>
    <w:rsid w:val="005A6A7C"/>
    <w:rsid w:val="005A7588"/>
    <w:rsid w:val="005B20E0"/>
    <w:rsid w:val="005B6479"/>
    <w:rsid w:val="005B6B8D"/>
    <w:rsid w:val="005B7CCD"/>
    <w:rsid w:val="005C0903"/>
    <w:rsid w:val="005C19B8"/>
    <w:rsid w:val="005C4133"/>
    <w:rsid w:val="005D1298"/>
    <w:rsid w:val="005D3B88"/>
    <w:rsid w:val="005D73B5"/>
    <w:rsid w:val="005D74EB"/>
    <w:rsid w:val="005E1733"/>
    <w:rsid w:val="005E17F2"/>
    <w:rsid w:val="005E3A78"/>
    <w:rsid w:val="005E7ED3"/>
    <w:rsid w:val="005F0474"/>
    <w:rsid w:val="005F423C"/>
    <w:rsid w:val="005F566F"/>
    <w:rsid w:val="00602227"/>
    <w:rsid w:val="0060548F"/>
    <w:rsid w:val="006069F3"/>
    <w:rsid w:val="006126B6"/>
    <w:rsid w:val="006216E8"/>
    <w:rsid w:val="00622460"/>
    <w:rsid w:val="00622A77"/>
    <w:rsid w:val="00630251"/>
    <w:rsid w:val="00631567"/>
    <w:rsid w:val="00633F5D"/>
    <w:rsid w:val="006415EC"/>
    <w:rsid w:val="00642BB9"/>
    <w:rsid w:val="00642F9B"/>
    <w:rsid w:val="006500B9"/>
    <w:rsid w:val="00660022"/>
    <w:rsid w:val="00661074"/>
    <w:rsid w:val="00666176"/>
    <w:rsid w:val="00674CA1"/>
    <w:rsid w:val="0067519E"/>
    <w:rsid w:val="006778AB"/>
    <w:rsid w:val="00681556"/>
    <w:rsid w:val="006819E1"/>
    <w:rsid w:val="006824B9"/>
    <w:rsid w:val="006832C5"/>
    <w:rsid w:val="00685195"/>
    <w:rsid w:val="00685EAA"/>
    <w:rsid w:val="006932F3"/>
    <w:rsid w:val="00695094"/>
    <w:rsid w:val="00696FF1"/>
    <w:rsid w:val="00697B3E"/>
    <w:rsid w:val="00697FFC"/>
    <w:rsid w:val="006A2692"/>
    <w:rsid w:val="006A483E"/>
    <w:rsid w:val="006B5825"/>
    <w:rsid w:val="006C09F7"/>
    <w:rsid w:val="006D3711"/>
    <w:rsid w:val="006D4007"/>
    <w:rsid w:val="006D5E63"/>
    <w:rsid w:val="006D7589"/>
    <w:rsid w:val="006E0990"/>
    <w:rsid w:val="006E1958"/>
    <w:rsid w:val="006E4A50"/>
    <w:rsid w:val="006E54AE"/>
    <w:rsid w:val="006F04EA"/>
    <w:rsid w:val="006F1E07"/>
    <w:rsid w:val="006F515B"/>
    <w:rsid w:val="00702253"/>
    <w:rsid w:val="007041C0"/>
    <w:rsid w:val="00706CDF"/>
    <w:rsid w:val="007120DB"/>
    <w:rsid w:val="00715072"/>
    <w:rsid w:val="00715D07"/>
    <w:rsid w:val="00716575"/>
    <w:rsid w:val="00720804"/>
    <w:rsid w:val="00723258"/>
    <w:rsid w:val="00731C06"/>
    <w:rsid w:val="00736F94"/>
    <w:rsid w:val="00740D78"/>
    <w:rsid w:val="0074690B"/>
    <w:rsid w:val="00746B2F"/>
    <w:rsid w:val="00747092"/>
    <w:rsid w:val="00747913"/>
    <w:rsid w:val="00747D2C"/>
    <w:rsid w:val="00747E7F"/>
    <w:rsid w:val="0075202C"/>
    <w:rsid w:val="00756407"/>
    <w:rsid w:val="00756E0A"/>
    <w:rsid w:val="007668C3"/>
    <w:rsid w:val="00774B2F"/>
    <w:rsid w:val="00777BEA"/>
    <w:rsid w:val="007819EF"/>
    <w:rsid w:val="00782077"/>
    <w:rsid w:val="00786FE1"/>
    <w:rsid w:val="007871B8"/>
    <w:rsid w:val="00790B6C"/>
    <w:rsid w:val="00795096"/>
    <w:rsid w:val="007A0F8F"/>
    <w:rsid w:val="007A290B"/>
    <w:rsid w:val="007A2B8C"/>
    <w:rsid w:val="007A3DED"/>
    <w:rsid w:val="007B1926"/>
    <w:rsid w:val="007B2CAE"/>
    <w:rsid w:val="007B3CDE"/>
    <w:rsid w:val="007B40E2"/>
    <w:rsid w:val="007C1618"/>
    <w:rsid w:val="007C28BA"/>
    <w:rsid w:val="007C6370"/>
    <w:rsid w:val="007C638A"/>
    <w:rsid w:val="007D38CD"/>
    <w:rsid w:val="007D483F"/>
    <w:rsid w:val="007E2E6F"/>
    <w:rsid w:val="007F1A0A"/>
    <w:rsid w:val="007F1A18"/>
    <w:rsid w:val="007F32E5"/>
    <w:rsid w:val="007F33ED"/>
    <w:rsid w:val="007F45D9"/>
    <w:rsid w:val="007F52CA"/>
    <w:rsid w:val="007F66F2"/>
    <w:rsid w:val="007F744F"/>
    <w:rsid w:val="00800208"/>
    <w:rsid w:val="00802EAF"/>
    <w:rsid w:val="00803F0B"/>
    <w:rsid w:val="00807E6A"/>
    <w:rsid w:val="008154B8"/>
    <w:rsid w:val="00815EBA"/>
    <w:rsid w:val="008164CA"/>
    <w:rsid w:val="008172DD"/>
    <w:rsid w:val="00820BDE"/>
    <w:rsid w:val="00823974"/>
    <w:rsid w:val="00830667"/>
    <w:rsid w:val="00833DDC"/>
    <w:rsid w:val="00845F59"/>
    <w:rsid w:val="008473EA"/>
    <w:rsid w:val="00856840"/>
    <w:rsid w:val="00863676"/>
    <w:rsid w:val="008641EC"/>
    <w:rsid w:val="00864A5D"/>
    <w:rsid w:val="00864FAB"/>
    <w:rsid w:val="008715F0"/>
    <w:rsid w:val="00877ED3"/>
    <w:rsid w:val="00885C60"/>
    <w:rsid w:val="008869CC"/>
    <w:rsid w:val="008A0512"/>
    <w:rsid w:val="008A5F2E"/>
    <w:rsid w:val="008A7120"/>
    <w:rsid w:val="008B116D"/>
    <w:rsid w:val="008B5143"/>
    <w:rsid w:val="008C6F42"/>
    <w:rsid w:val="008D1BAD"/>
    <w:rsid w:val="008D2AFE"/>
    <w:rsid w:val="008D5244"/>
    <w:rsid w:val="008E190D"/>
    <w:rsid w:val="008E5E97"/>
    <w:rsid w:val="008F1CDB"/>
    <w:rsid w:val="008F3317"/>
    <w:rsid w:val="008F6FEB"/>
    <w:rsid w:val="00906C24"/>
    <w:rsid w:val="00907EA7"/>
    <w:rsid w:val="00911667"/>
    <w:rsid w:val="009121A0"/>
    <w:rsid w:val="0091339C"/>
    <w:rsid w:val="00916631"/>
    <w:rsid w:val="009250C2"/>
    <w:rsid w:val="0093015F"/>
    <w:rsid w:val="009405BA"/>
    <w:rsid w:val="00950187"/>
    <w:rsid w:val="0095225E"/>
    <w:rsid w:val="00953F11"/>
    <w:rsid w:val="0095494C"/>
    <w:rsid w:val="0096078A"/>
    <w:rsid w:val="00961A19"/>
    <w:rsid w:val="0096258C"/>
    <w:rsid w:val="00964AE1"/>
    <w:rsid w:val="0096700A"/>
    <w:rsid w:val="00973332"/>
    <w:rsid w:val="00975DF2"/>
    <w:rsid w:val="00976E95"/>
    <w:rsid w:val="009775F0"/>
    <w:rsid w:val="00980A1D"/>
    <w:rsid w:val="00983347"/>
    <w:rsid w:val="009838F2"/>
    <w:rsid w:val="00991844"/>
    <w:rsid w:val="0099243C"/>
    <w:rsid w:val="009939E6"/>
    <w:rsid w:val="00997413"/>
    <w:rsid w:val="00997F92"/>
    <w:rsid w:val="009A1808"/>
    <w:rsid w:val="009A4D00"/>
    <w:rsid w:val="009A5A17"/>
    <w:rsid w:val="009B1062"/>
    <w:rsid w:val="009B1AF5"/>
    <w:rsid w:val="009B23C6"/>
    <w:rsid w:val="009B2A8C"/>
    <w:rsid w:val="009B2AA6"/>
    <w:rsid w:val="009B506C"/>
    <w:rsid w:val="009C4CA2"/>
    <w:rsid w:val="009C6A80"/>
    <w:rsid w:val="009D0FD1"/>
    <w:rsid w:val="009D2F79"/>
    <w:rsid w:val="009D6ABC"/>
    <w:rsid w:val="009E384D"/>
    <w:rsid w:val="009E41EF"/>
    <w:rsid w:val="009F361E"/>
    <w:rsid w:val="00A00D78"/>
    <w:rsid w:val="00A03870"/>
    <w:rsid w:val="00A0590B"/>
    <w:rsid w:val="00A06E33"/>
    <w:rsid w:val="00A11D93"/>
    <w:rsid w:val="00A17253"/>
    <w:rsid w:val="00A22319"/>
    <w:rsid w:val="00A230BE"/>
    <w:rsid w:val="00A24936"/>
    <w:rsid w:val="00A2545C"/>
    <w:rsid w:val="00A30789"/>
    <w:rsid w:val="00A31B79"/>
    <w:rsid w:val="00A31C5F"/>
    <w:rsid w:val="00A33A59"/>
    <w:rsid w:val="00A3503A"/>
    <w:rsid w:val="00A43B31"/>
    <w:rsid w:val="00A477CC"/>
    <w:rsid w:val="00A54BDC"/>
    <w:rsid w:val="00A55044"/>
    <w:rsid w:val="00A570FA"/>
    <w:rsid w:val="00A62323"/>
    <w:rsid w:val="00A64740"/>
    <w:rsid w:val="00A66DFB"/>
    <w:rsid w:val="00A67B7C"/>
    <w:rsid w:val="00A72261"/>
    <w:rsid w:val="00A77259"/>
    <w:rsid w:val="00A775F4"/>
    <w:rsid w:val="00A85D70"/>
    <w:rsid w:val="00A86818"/>
    <w:rsid w:val="00A90616"/>
    <w:rsid w:val="00AA0648"/>
    <w:rsid w:val="00AA0D34"/>
    <w:rsid w:val="00AB0146"/>
    <w:rsid w:val="00AB122F"/>
    <w:rsid w:val="00AB2979"/>
    <w:rsid w:val="00AB2EE3"/>
    <w:rsid w:val="00AB3C1E"/>
    <w:rsid w:val="00AB46F8"/>
    <w:rsid w:val="00AC6DD3"/>
    <w:rsid w:val="00AD54E6"/>
    <w:rsid w:val="00AE07A3"/>
    <w:rsid w:val="00AE5377"/>
    <w:rsid w:val="00AE69E8"/>
    <w:rsid w:val="00AF3EEC"/>
    <w:rsid w:val="00AF655F"/>
    <w:rsid w:val="00AF698A"/>
    <w:rsid w:val="00AF6E60"/>
    <w:rsid w:val="00B00F8C"/>
    <w:rsid w:val="00B10B51"/>
    <w:rsid w:val="00B1552B"/>
    <w:rsid w:val="00B15F01"/>
    <w:rsid w:val="00B205D4"/>
    <w:rsid w:val="00B2194C"/>
    <w:rsid w:val="00B21DC4"/>
    <w:rsid w:val="00B221E5"/>
    <w:rsid w:val="00B22BBA"/>
    <w:rsid w:val="00B24747"/>
    <w:rsid w:val="00B31404"/>
    <w:rsid w:val="00B45B34"/>
    <w:rsid w:val="00B51010"/>
    <w:rsid w:val="00B51163"/>
    <w:rsid w:val="00B524BD"/>
    <w:rsid w:val="00B56539"/>
    <w:rsid w:val="00B60E19"/>
    <w:rsid w:val="00B65FC3"/>
    <w:rsid w:val="00B66AA7"/>
    <w:rsid w:val="00B678C9"/>
    <w:rsid w:val="00B73BF4"/>
    <w:rsid w:val="00B808B5"/>
    <w:rsid w:val="00B8411A"/>
    <w:rsid w:val="00B913D8"/>
    <w:rsid w:val="00B95E85"/>
    <w:rsid w:val="00B96D09"/>
    <w:rsid w:val="00BA4C10"/>
    <w:rsid w:val="00BB03BA"/>
    <w:rsid w:val="00BB1235"/>
    <w:rsid w:val="00BB45DB"/>
    <w:rsid w:val="00BB67B5"/>
    <w:rsid w:val="00BB7954"/>
    <w:rsid w:val="00BC6FE9"/>
    <w:rsid w:val="00BD13DA"/>
    <w:rsid w:val="00BD1D2A"/>
    <w:rsid w:val="00BD45D1"/>
    <w:rsid w:val="00BD6622"/>
    <w:rsid w:val="00BD6AE7"/>
    <w:rsid w:val="00BE313A"/>
    <w:rsid w:val="00BE368F"/>
    <w:rsid w:val="00BE5C9A"/>
    <w:rsid w:val="00BE792A"/>
    <w:rsid w:val="00BF26D8"/>
    <w:rsid w:val="00BF4172"/>
    <w:rsid w:val="00BF5038"/>
    <w:rsid w:val="00BF5803"/>
    <w:rsid w:val="00BF5F77"/>
    <w:rsid w:val="00C00BA5"/>
    <w:rsid w:val="00C11B89"/>
    <w:rsid w:val="00C1485D"/>
    <w:rsid w:val="00C14C49"/>
    <w:rsid w:val="00C14C4B"/>
    <w:rsid w:val="00C16E15"/>
    <w:rsid w:val="00C2093E"/>
    <w:rsid w:val="00C214A9"/>
    <w:rsid w:val="00C2313D"/>
    <w:rsid w:val="00C30F06"/>
    <w:rsid w:val="00C32488"/>
    <w:rsid w:val="00C33AC2"/>
    <w:rsid w:val="00C33DE2"/>
    <w:rsid w:val="00C352B5"/>
    <w:rsid w:val="00C45BE2"/>
    <w:rsid w:val="00C520BD"/>
    <w:rsid w:val="00C5712C"/>
    <w:rsid w:val="00C61A15"/>
    <w:rsid w:val="00C61E6A"/>
    <w:rsid w:val="00C62DE1"/>
    <w:rsid w:val="00C67C69"/>
    <w:rsid w:val="00C7186D"/>
    <w:rsid w:val="00C764DB"/>
    <w:rsid w:val="00C80D9E"/>
    <w:rsid w:val="00C81486"/>
    <w:rsid w:val="00C84BFD"/>
    <w:rsid w:val="00C86342"/>
    <w:rsid w:val="00C8779F"/>
    <w:rsid w:val="00C90127"/>
    <w:rsid w:val="00C924EC"/>
    <w:rsid w:val="00C93BA8"/>
    <w:rsid w:val="00C9450B"/>
    <w:rsid w:val="00C95A1D"/>
    <w:rsid w:val="00C96E54"/>
    <w:rsid w:val="00CA4F06"/>
    <w:rsid w:val="00CA5E55"/>
    <w:rsid w:val="00CA73FF"/>
    <w:rsid w:val="00CB1661"/>
    <w:rsid w:val="00CC12B2"/>
    <w:rsid w:val="00CC26C3"/>
    <w:rsid w:val="00CC3149"/>
    <w:rsid w:val="00CC3A1B"/>
    <w:rsid w:val="00CD123C"/>
    <w:rsid w:val="00CD16F2"/>
    <w:rsid w:val="00CD29B6"/>
    <w:rsid w:val="00CD5444"/>
    <w:rsid w:val="00CE2F99"/>
    <w:rsid w:val="00CE79C2"/>
    <w:rsid w:val="00CF0520"/>
    <w:rsid w:val="00CF137D"/>
    <w:rsid w:val="00CF46ED"/>
    <w:rsid w:val="00CF50B0"/>
    <w:rsid w:val="00CF6CD0"/>
    <w:rsid w:val="00D00F70"/>
    <w:rsid w:val="00D02051"/>
    <w:rsid w:val="00D032BB"/>
    <w:rsid w:val="00D05120"/>
    <w:rsid w:val="00D061F0"/>
    <w:rsid w:val="00D10420"/>
    <w:rsid w:val="00D10AC3"/>
    <w:rsid w:val="00D120F4"/>
    <w:rsid w:val="00D17723"/>
    <w:rsid w:val="00D228D6"/>
    <w:rsid w:val="00D23BD2"/>
    <w:rsid w:val="00D26E4D"/>
    <w:rsid w:val="00D30F16"/>
    <w:rsid w:val="00D3178E"/>
    <w:rsid w:val="00D40FCF"/>
    <w:rsid w:val="00D47B09"/>
    <w:rsid w:val="00D50B47"/>
    <w:rsid w:val="00D5188A"/>
    <w:rsid w:val="00D51B0C"/>
    <w:rsid w:val="00D5646A"/>
    <w:rsid w:val="00D60446"/>
    <w:rsid w:val="00D65BF2"/>
    <w:rsid w:val="00D6671B"/>
    <w:rsid w:val="00D77B6C"/>
    <w:rsid w:val="00D85147"/>
    <w:rsid w:val="00D87408"/>
    <w:rsid w:val="00D920C8"/>
    <w:rsid w:val="00DA5892"/>
    <w:rsid w:val="00DB10DE"/>
    <w:rsid w:val="00DB255C"/>
    <w:rsid w:val="00DB67E8"/>
    <w:rsid w:val="00DD0304"/>
    <w:rsid w:val="00DD228B"/>
    <w:rsid w:val="00DD2EAB"/>
    <w:rsid w:val="00DE3C06"/>
    <w:rsid w:val="00E00A35"/>
    <w:rsid w:val="00E00D1F"/>
    <w:rsid w:val="00E041F1"/>
    <w:rsid w:val="00E06683"/>
    <w:rsid w:val="00E15843"/>
    <w:rsid w:val="00E24852"/>
    <w:rsid w:val="00E249FA"/>
    <w:rsid w:val="00E34CBF"/>
    <w:rsid w:val="00E353F8"/>
    <w:rsid w:val="00E401F3"/>
    <w:rsid w:val="00E43109"/>
    <w:rsid w:val="00E43C51"/>
    <w:rsid w:val="00E44A2F"/>
    <w:rsid w:val="00E53D87"/>
    <w:rsid w:val="00E60413"/>
    <w:rsid w:val="00E61AC5"/>
    <w:rsid w:val="00E65D96"/>
    <w:rsid w:val="00E70715"/>
    <w:rsid w:val="00E73091"/>
    <w:rsid w:val="00E7334C"/>
    <w:rsid w:val="00E743A3"/>
    <w:rsid w:val="00E7643C"/>
    <w:rsid w:val="00E77486"/>
    <w:rsid w:val="00E82F9B"/>
    <w:rsid w:val="00E85A37"/>
    <w:rsid w:val="00E87D80"/>
    <w:rsid w:val="00E90603"/>
    <w:rsid w:val="00E9360D"/>
    <w:rsid w:val="00E93EE2"/>
    <w:rsid w:val="00E94608"/>
    <w:rsid w:val="00E9637F"/>
    <w:rsid w:val="00EA1D3E"/>
    <w:rsid w:val="00EA30D5"/>
    <w:rsid w:val="00EA3381"/>
    <w:rsid w:val="00EB2A65"/>
    <w:rsid w:val="00EB321A"/>
    <w:rsid w:val="00EB3B7B"/>
    <w:rsid w:val="00EB433C"/>
    <w:rsid w:val="00EC14B2"/>
    <w:rsid w:val="00EC33AF"/>
    <w:rsid w:val="00EC5F5D"/>
    <w:rsid w:val="00EC67FD"/>
    <w:rsid w:val="00ED15C8"/>
    <w:rsid w:val="00ED6984"/>
    <w:rsid w:val="00ED6EEE"/>
    <w:rsid w:val="00EE786C"/>
    <w:rsid w:val="00EF0F1E"/>
    <w:rsid w:val="00EF1298"/>
    <w:rsid w:val="00EF36A0"/>
    <w:rsid w:val="00F043C6"/>
    <w:rsid w:val="00F058C5"/>
    <w:rsid w:val="00F10A81"/>
    <w:rsid w:val="00F125AF"/>
    <w:rsid w:val="00F239FB"/>
    <w:rsid w:val="00F25534"/>
    <w:rsid w:val="00F300ED"/>
    <w:rsid w:val="00F34853"/>
    <w:rsid w:val="00F351DD"/>
    <w:rsid w:val="00F40852"/>
    <w:rsid w:val="00F47E1F"/>
    <w:rsid w:val="00F47EFF"/>
    <w:rsid w:val="00F52ED1"/>
    <w:rsid w:val="00F63873"/>
    <w:rsid w:val="00F648AE"/>
    <w:rsid w:val="00F64EA7"/>
    <w:rsid w:val="00F73CC0"/>
    <w:rsid w:val="00F814A7"/>
    <w:rsid w:val="00F843F4"/>
    <w:rsid w:val="00F8460A"/>
    <w:rsid w:val="00F85B8D"/>
    <w:rsid w:val="00F90601"/>
    <w:rsid w:val="00F910F2"/>
    <w:rsid w:val="00F91946"/>
    <w:rsid w:val="00F93D11"/>
    <w:rsid w:val="00FA3F80"/>
    <w:rsid w:val="00FA5297"/>
    <w:rsid w:val="00FA5E6D"/>
    <w:rsid w:val="00FB0765"/>
    <w:rsid w:val="00FC359C"/>
    <w:rsid w:val="00FD0F30"/>
    <w:rsid w:val="00FD2D9F"/>
    <w:rsid w:val="00FD6F8C"/>
    <w:rsid w:val="00FE2819"/>
    <w:rsid w:val="00FE2DC1"/>
    <w:rsid w:val="00FE5D68"/>
    <w:rsid w:val="00FE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6F73C"/>
  <w15:docId w15:val="{51A17C4D-A3E4-4E15-98F1-1487311B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6D8"/>
  </w:style>
  <w:style w:type="paragraph" w:styleId="Heading1">
    <w:name w:val="heading 1"/>
    <w:basedOn w:val="Normal"/>
    <w:next w:val="Normal"/>
    <w:link w:val="Heading1Char"/>
    <w:qFormat/>
    <w:rsid w:val="00407DF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07DF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AF698A"/>
    <w:pPr>
      <w:numPr>
        <w:numId w:val="2"/>
      </w:numPr>
      <w:spacing w:after="0"/>
    </w:pPr>
  </w:style>
  <w:style w:type="paragraph" w:customStyle="1" w:styleId="VBAILTBullet2">
    <w:name w:val="VBAILT Bullet 2"/>
    <w:basedOn w:val="VBAILTBody"/>
    <w:qFormat/>
    <w:rsid w:val="00AF698A"/>
    <w:pPr>
      <w:numPr>
        <w:ilvl w:val="1"/>
        <w:numId w:val="2"/>
      </w:numPr>
    </w:pPr>
  </w:style>
  <w:style w:type="table" w:styleId="TableGrid">
    <w:name w:val="Table Grid"/>
    <w:basedOn w:val="TableNormal"/>
    <w:uiPriority w:val="5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6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E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E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E3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485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485D"/>
    <w:rPr>
      <w:color w:val="954F72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CA73FF"/>
    <w:rPr>
      <w:smallCaps/>
      <w:color w:val="ED7D31" w:themeColor="accent2"/>
      <w:u w:val="single"/>
    </w:rPr>
  </w:style>
  <w:style w:type="paragraph" w:styleId="Revision">
    <w:name w:val="Revision"/>
    <w:hidden/>
    <w:uiPriority w:val="99"/>
    <w:semiHidden/>
    <w:rsid w:val="007F1A1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407DF5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07DF5"/>
    <w:rPr>
      <w:rFonts w:ascii="Arial" w:eastAsia="Times New Roman" w:hAnsi="Arial" w:cs="Times New Roman"/>
      <w:sz w:val="24"/>
      <w:szCs w:val="20"/>
    </w:rPr>
  </w:style>
  <w:style w:type="paragraph" w:customStyle="1" w:styleId="VBAILTAnswer">
    <w:name w:val="VBAILT Answer"/>
    <w:basedOn w:val="VBAILTBody"/>
    <w:next w:val="VBAILTBody"/>
    <w:qFormat/>
    <w:rsid w:val="008F1CDB"/>
    <w:rPr>
      <w:i/>
      <w:color w:val="00B050"/>
    </w:rPr>
  </w:style>
  <w:style w:type="paragraph" w:customStyle="1" w:styleId="VBAILTAnswerbullet1">
    <w:name w:val="VBAILT Answer bullet 1"/>
    <w:basedOn w:val="VBAILTbullet1"/>
    <w:next w:val="VBAILTBody"/>
    <w:qFormat/>
    <w:rsid w:val="008F1CDB"/>
    <w:rPr>
      <w:i/>
      <w:color w:val="00B050"/>
    </w:rPr>
  </w:style>
  <w:style w:type="paragraph" w:customStyle="1" w:styleId="VBAILTAnswersbullet2">
    <w:name w:val="VBAILT Answers bullet2"/>
    <w:basedOn w:val="VBAILTBullet2"/>
    <w:next w:val="VBAILTBody"/>
    <w:qFormat/>
    <w:rsid w:val="008F1CDB"/>
    <w:pPr>
      <w:ind w:left="720"/>
    </w:pPr>
    <w:rPr>
      <w:i/>
      <w:color w:val="00B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4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5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8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0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0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8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6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4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9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8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3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8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4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61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89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3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7202">
          <w:blockQuote w:val="1"/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9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8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5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8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4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5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8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6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3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7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5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5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1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5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2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2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71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21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2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5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0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5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9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0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0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1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0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6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25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0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8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95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0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4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7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5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7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0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41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7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18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2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2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629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49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44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18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47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25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5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1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52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2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7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68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91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43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2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1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4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0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4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5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8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4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4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8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3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4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3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7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9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12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0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9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1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0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7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3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8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8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9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9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0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5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5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5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6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0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0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4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75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8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5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7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42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3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1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4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57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95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8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3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5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989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2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1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5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8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2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2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8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4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2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5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2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1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8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9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0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40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0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4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9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7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0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8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3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0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24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5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01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1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8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1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1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0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7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37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3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8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8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4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8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6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50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58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6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2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9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6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1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4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8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506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74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40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28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866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04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569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0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2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2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8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0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3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9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8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4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9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3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8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9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4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6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691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8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9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87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8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74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29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3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4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797012230374AA39771009739C241" ma:contentTypeVersion="8" ma:contentTypeDescription="Create a new document." ma:contentTypeScope="" ma:versionID="c1a1a0daf0e9da3c058c727bf65c6ec8">
  <xsd:schema xmlns:xsd="http://www.w3.org/2001/XMLSchema" xmlns:xs="http://www.w3.org/2001/XMLSchema" xmlns:p="http://schemas.microsoft.com/office/2006/metadata/properties" xmlns:ns2="8bb1bfa7-48e2-440f-bcbc-a0cc6c57fee9" targetNamespace="http://schemas.microsoft.com/office/2006/metadata/properties" ma:root="true" ma:fieldsID="18892578d6d1a087e5eb22a58e30b9b6" ns2:_="">
    <xsd:import namespace="8bb1bfa7-48e2-440f-bcbc-a0cc6c57f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1bfa7-48e2-440f-bcbc-a0cc6c57f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C5A3E-EC84-4C59-8998-8973C9B53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1bfa7-48e2-440f-bcbc-a0cc6c57f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0DB2E5-7C7F-4698-94EF-F26A4853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7: Introduction to Old Law and Section 306 Programs Trainee Guide</vt:lpstr>
    </vt:vector>
  </TitlesOfParts>
  <Company>Veterans Benefits Administration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7: Introduction to Old Law and Section 306 Programs Trainee Guide</dc:title>
  <dc:creator>Department of Veterans Affairs, Veterans Benefits Administration, Pension and Fiduciary Service, STAFF</dc:creator>
  <cp:lastModifiedBy>Kathy Poole</cp:lastModifiedBy>
  <cp:revision>4</cp:revision>
  <dcterms:created xsi:type="dcterms:W3CDTF">2024-05-10T18:20:00Z</dcterms:created>
  <dcterms:modified xsi:type="dcterms:W3CDTF">2024-06-12T21:08:00Z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0x010100BD1797012230374AA39771009739C241</vt:lpwstr>
  </property>
  <property fmtid="{D5CDD505-2E9C-101B-9397-08002B2CF9AE}" pid="3" name="Language">
    <vt:lpwstr>en</vt:lpwstr>
  </property>
  <property fmtid="{D5CDD505-2E9C-101B-9397-08002B2CF9AE}" pid="4" name="Type">
    <vt:lpwstr>Guide</vt:lpwstr>
  </property>
  <property fmtid="{D5CDD505-2E9C-101B-9397-08002B2CF9AE}" pid="5" name="MediaServiceImageTags">
    <vt:lpwstr/>
  </property>
  <property fmtid="{D5CDD505-2E9C-101B-9397-08002B2CF9AE}" pid="6" name="Order">
    <vt:r8>797800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Reviewed">
    <vt:bool>false</vt:bool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