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BE28D" w14:textId="0F99506F" w:rsidR="00290A0E" w:rsidRDefault="00F10231" w:rsidP="00290A0E">
      <w:pPr>
        <w:spacing w:after="0"/>
        <w:jc w:val="center"/>
        <w:rPr>
          <w:rFonts w:ascii="Arial" w:eastAsia="Helvetica" w:hAnsi="Arial" w:cs="Arial"/>
          <w:b/>
          <w:sz w:val="28"/>
          <w:szCs w:val="20"/>
        </w:rPr>
      </w:pPr>
      <w:r>
        <w:rPr>
          <w:noProof/>
        </w:rPr>
        <w:drawing>
          <wp:anchor distT="0" distB="0" distL="114300" distR="114300" simplePos="0" relativeHeight="251658240" behindDoc="0" locked="0" layoutInCell="1" allowOverlap="1" wp14:anchorId="1DD474FF" wp14:editId="167B001B">
            <wp:simplePos x="0" y="0"/>
            <wp:positionH relativeFrom="margin">
              <wp:align>left</wp:align>
            </wp:positionH>
            <wp:positionV relativeFrom="paragraph">
              <wp:posOffset>-13970</wp:posOffset>
            </wp:positionV>
            <wp:extent cx="1950720" cy="584259"/>
            <wp:effectExtent l="0" t="0" r="0" b="6350"/>
            <wp:wrapNone/>
            <wp:docPr id="1" name="Picture 1">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FF2B5EF4-FFF2-40B4-BE49-F238E27FC236}">
                          <a16:creationId xmlns:a16="http://schemas.microsoft.com/office/drawing/2014/main" id="{00000000-0008-0000-0000-00000400000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48536" t="79948" r="15227"/>
                    <a:stretch>
                      <a:fillRect/>
                    </a:stretch>
                  </pic:blipFill>
                  <pic:spPr bwMode="auto">
                    <a:xfrm>
                      <a:off x="0" y="0"/>
                      <a:ext cx="1950720" cy="584259"/>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00290A0E">
        <w:tab/>
      </w:r>
    </w:p>
    <w:p w14:paraId="7D11C2D2" w14:textId="77777777" w:rsidR="00290A0E" w:rsidRDefault="00290A0E" w:rsidP="00290A0E">
      <w:pPr>
        <w:spacing w:after="0"/>
        <w:rPr>
          <w:rFonts w:ascii="Arial" w:eastAsia="Helvetica" w:hAnsi="Arial" w:cs="Arial"/>
          <w:b/>
          <w:sz w:val="28"/>
          <w:szCs w:val="20"/>
        </w:rPr>
      </w:pPr>
    </w:p>
    <w:p w14:paraId="435DAE87" w14:textId="77777777" w:rsidR="00F10231" w:rsidRPr="00F10231" w:rsidRDefault="00F10231" w:rsidP="00F10231">
      <w:pPr>
        <w:spacing w:after="0"/>
        <w:rPr>
          <w:rFonts w:ascii="Arial" w:eastAsia="Helvetica" w:hAnsi="Arial" w:cs="Arial"/>
          <w:b/>
          <w:sz w:val="20"/>
          <w:szCs w:val="20"/>
        </w:rPr>
      </w:pPr>
    </w:p>
    <w:p w14:paraId="2D6BDB9A" w14:textId="0ECA7F98" w:rsidR="00290A0E" w:rsidRPr="003A435A" w:rsidRDefault="00290A0E" w:rsidP="00F10231">
      <w:pPr>
        <w:spacing w:after="0"/>
        <w:rPr>
          <w:rFonts w:ascii="Arial" w:eastAsia="Helvetica" w:hAnsi="Arial" w:cs="Arial"/>
          <w:b/>
          <w:sz w:val="48"/>
          <w:szCs w:val="48"/>
        </w:rPr>
      </w:pPr>
      <w:r w:rsidRPr="003A435A">
        <w:rPr>
          <w:rFonts w:ascii="Arial" w:eastAsia="Helvetica" w:hAnsi="Arial" w:cs="Arial"/>
          <w:b/>
          <w:sz w:val="48"/>
          <w:szCs w:val="48"/>
        </w:rPr>
        <w:t>Pension and Fiduciary Service</w:t>
      </w:r>
      <w:r w:rsidR="00487729">
        <w:rPr>
          <w:rFonts w:ascii="Arial" w:eastAsia="Helvetica" w:hAnsi="Arial" w:cs="Arial"/>
          <w:b/>
          <w:sz w:val="48"/>
          <w:szCs w:val="48"/>
        </w:rPr>
        <w:t xml:space="preserve"> </w:t>
      </w:r>
      <w:r w:rsidR="00487729" w:rsidRPr="003A435A">
        <w:rPr>
          <w:rFonts w:ascii="Arial" w:eastAsia="Helvetica" w:hAnsi="Arial" w:cs="Arial"/>
          <w:b/>
          <w:sz w:val="48"/>
          <w:szCs w:val="48"/>
        </w:rPr>
        <w:t>(P&amp;F)</w:t>
      </w:r>
    </w:p>
    <w:p w14:paraId="43B35C89" w14:textId="07EFEA72" w:rsidR="007D5F00" w:rsidRPr="003A435A" w:rsidRDefault="007D5F00" w:rsidP="004C1C14">
      <w:pPr>
        <w:tabs>
          <w:tab w:val="left" w:pos="8940"/>
        </w:tabs>
        <w:rPr>
          <w:sz w:val="18"/>
          <w:szCs w:val="18"/>
        </w:rPr>
      </w:pPr>
    </w:p>
    <w:tbl>
      <w:tblPr>
        <w:tblStyle w:val="TableGrid"/>
        <w:tblW w:w="5062" w:type="pct"/>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7651"/>
        <w:gridCol w:w="2700"/>
      </w:tblGrid>
      <w:tr w:rsidR="002B2D13" w:rsidRPr="00E87C99" w14:paraId="44BA1CAA" w14:textId="77777777" w:rsidTr="0054785C">
        <w:tc>
          <w:tcPr>
            <w:tcW w:w="7650" w:type="dxa"/>
          </w:tcPr>
          <w:p w14:paraId="52F1DEFE" w14:textId="3EC2CC02" w:rsidR="002B2D13" w:rsidRPr="003A435A" w:rsidRDefault="007F2966">
            <w:pPr>
              <w:pStyle w:val="Title"/>
              <w:rPr>
                <w:sz w:val="40"/>
                <w:szCs w:val="40"/>
              </w:rPr>
            </w:pPr>
            <w:r w:rsidRPr="003A435A">
              <w:rPr>
                <w:sz w:val="40"/>
                <w:szCs w:val="40"/>
              </w:rPr>
              <w:t>Pension</w:t>
            </w:r>
            <w:r w:rsidR="007D5F00" w:rsidRPr="003A435A">
              <w:rPr>
                <w:sz w:val="40"/>
                <w:szCs w:val="40"/>
              </w:rPr>
              <w:t xml:space="preserve"> Quality Call</w:t>
            </w:r>
          </w:p>
        </w:tc>
        <w:tc>
          <w:tcPr>
            <w:tcW w:w="2700" w:type="dxa"/>
            <w:vAlign w:val="bottom"/>
          </w:tcPr>
          <w:p w14:paraId="24048D58" w14:textId="6F8D61F5" w:rsidR="00D62E01" w:rsidRPr="00E87C99" w:rsidRDefault="00000000">
            <w:pPr>
              <w:pStyle w:val="Heading3"/>
              <w:rPr>
                <w:sz w:val="18"/>
                <w:szCs w:val="20"/>
              </w:rPr>
            </w:pPr>
            <w:sdt>
              <w:sdtPr>
                <w:rPr>
                  <w:sz w:val="18"/>
                  <w:szCs w:val="20"/>
                </w:rPr>
                <w:id w:val="2006626827"/>
                <w:placeholder>
                  <w:docPart w:val="0E5DDF16B8D840B4B01294AF94A69C40"/>
                </w:placeholder>
                <w:temporary/>
                <w:showingPlcHdr/>
                <w15:appearance w15:val="hidden"/>
              </w:sdtPr>
              <w:sdtContent>
                <w:r w:rsidR="00D62E01" w:rsidRPr="00E87C99">
                  <w:rPr>
                    <w:sz w:val="18"/>
                    <w:szCs w:val="20"/>
                  </w:rPr>
                  <w:t>Date</w:t>
                </w:r>
              </w:sdtContent>
            </w:sdt>
            <w:r w:rsidR="007D5F00" w:rsidRPr="00E87C99">
              <w:rPr>
                <w:sz w:val="18"/>
                <w:szCs w:val="20"/>
              </w:rPr>
              <w:t xml:space="preserve">: </w:t>
            </w:r>
            <w:r w:rsidR="00B56273" w:rsidRPr="00E87C99">
              <w:rPr>
                <w:sz w:val="18"/>
                <w:szCs w:val="20"/>
              </w:rPr>
              <w:t>September 24</w:t>
            </w:r>
            <w:r w:rsidR="004C1C14" w:rsidRPr="00E87C99">
              <w:rPr>
                <w:sz w:val="18"/>
                <w:szCs w:val="20"/>
              </w:rPr>
              <w:t>, 2024</w:t>
            </w:r>
          </w:p>
          <w:p w14:paraId="5DAF1EFE" w14:textId="05A9F1EF" w:rsidR="00D62E01" w:rsidRPr="00E87C99" w:rsidRDefault="007D5F00">
            <w:pPr>
              <w:pStyle w:val="Heading3"/>
              <w:rPr>
                <w:sz w:val="18"/>
                <w:szCs w:val="20"/>
              </w:rPr>
            </w:pPr>
            <w:r w:rsidRPr="00E87C99">
              <w:rPr>
                <w:sz w:val="18"/>
                <w:szCs w:val="20"/>
              </w:rPr>
              <w:t>TMS: # VA</w:t>
            </w:r>
            <w:r w:rsidR="00E87C99" w:rsidRPr="00E87C99">
              <w:rPr>
                <w:sz w:val="18"/>
                <w:szCs w:val="20"/>
              </w:rPr>
              <w:t xml:space="preserve"> 4665599</w:t>
            </w:r>
            <w:r w:rsidR="006E30AD" w:rsidRPr="00E87C99">
              <w:rPr>
                <w:sz w:val="18"/>
                <w:szCs w:val="20"/>
              </w:rPr>
              <w:t xml:space="preserve"> </w:t>
            </w:r>
            <w:r w:rsidR="0021641C" w:rsidRPr="00E87C99">
              <w:rPr>
                <w:sz w:val="18"/>
                <w:szCs w:val="20"/>
              </w:rPr>
              <w:t xml:space="preserve"> </w:t>
            </w:r>
          </w:p>
          <w:p w14:paraId="2244CEB1" w14:textId="77777777" w:rsidR="002B2D13" w:rsidRPr="00E87C99" w:rsidRDefault="002B2D13" w:rsidP="00D62E01">
            <w:pPr>
              <w:pStyle w:val="Heading3"/>
              <w:rPr>
                <w:sz w:val="18"/>
                <w:szCs w:val="20"/>
              </w:rPr>
            </w:pPr>
          </w:p>
        </w:tc>
      </w:tr>
    </w:tbl>
    <w:tbl>
      <w:tblPr>
        <w:tblW w:w="9050" w:type="pct"/>
        <w:tblCellMar>
          <w:top w:w="14" w:type="dxa"/>
          <w:left w:w="0" w:type="dxa"/>
          <w:bottom w:w="14" w:type="dxa"/>
          <w:right w:w="0" w:type="dxa"/>
        </w:tblCellMar>
        <w:tblLook w:val="0000" w:firstRow="0" w:lastRow="0" w:firstColumn="0" w:lastColumn="0" w:noHBand="0" w:noVBand="0"/>
        <w:tblDescription w:val="Layout table"/>
      </w:tblPr>
      <w:tblGrid>
        <w:gridCol w:w="10260"/>
        <w:gridCol w:w="8245"/>
      </w:tblGrid>
      <w:tr w:rsidR="00F96A26" w:rsidRPr="00D60069" w14:paraId="11430F0D" w14:textId="77777777" w:rsidTr="00EE1706">
        <w:tc>
          <w:tcPr>
            <w:tcW w:w="10260" w:type="dxa"/>
          </w:tcPr>
          <w:p w14:paraId="3F7A1F59" w14:textId="5E6CD1CB" w:rsidR="00EE1706" w:rsidRPr="00075FC0" w:rsidRDefault="00EE1706" w:rsidP="00EE1706">
            <w:pPr>
              <w:pStyle w:val="Heading1"/>
              <w:rPr>
                <w:color w:val="8064A2" w:themeColor="accent4"/>
              </w:rPr>
            </w:pPr>
            <w:r w:rsidRPr="00075FC0">
              <w:rPr>
                <w:color w:val="8064A2" w:themeColor="accent4"/>
              </w:rPr>
              <w:t>AGENDA</w:t>
            </w:r>
            <w:r>
              <w:rPr>
                <w:color w:val="8064A2" w:themeColor="accent4"/>
              </w:rPr>
              <w:t xml:space="preserve"> TOPICS</w:t>
            </w:r>
          </w:p>
          <w:p w14:paraId="2E226181" w14:textId="77777777" w:rsidR="00EE1706" w:rsidRDefault="00EE1706" w:rsidP="00D34264"/>
          <w:p w14:paraId="40BBF538" w14:textId="3E29D596" w:rsidR="00222A05" w:rsidRPr="00BA6165" w:rsidRDefault="00BA6165" w:rsidP="00D34264">
            <w:pPr>
              <w:rPr>
                <w:rStyle w:val="Hyperlink"/>
                <w:sz w:val="22"/>
                <w:szCs w:val="22"/>
              </w:rPr>
            </w:pPr>
            <w:r>
              <w:rPr>
                <w:sz w:val="22"/>
                <w:szCs w:val="22"/>
              </w:rPr>
              <w:fldChar w:fldCharType="begin"/>
            </w:r>
            <w:r>
              <w:rPr>
                <w:sz w:val="22"/>
                <w:szCs w:val="22"/>
              </w:rPr>
              <w:instrText>HYPERLINK  \l "_Discussion:_STAR_Error"</w:instrText>
            </w:r>
            <w:r>
              <w:rPr>
                <w:sz w:val="22"/>
                <w:szCs w:val="22"/>
              </w:rPr>
            </w:r>
            <w:r>
              <w:rPr>
                <w:sz w:val="22"/>
                <w:szCs w:val="22"/>
              </w:rPr>
              <w:fldChar w:fldCharType="separate"/>
            </w:r>
            <w:r w:rsidR="008E706D" w:rsidRPr="00BA6165">
              <w:rPr>
                <w:rStyle w:val="Hyperlink"/>
                <w:sz w:val="22"/>
                <w:szCs w:val="22"/>
              </w:rPr>
              <w:t xml:space="preserve">ITEM 1:  </w:t>
            </w:r>
            <w:r w:rsidR="00BD764E" w:rsidRPr="00BA6165">
              <w:rPr>
                <w:rStyle w:val="Hyperlink"/>
                <w:sz w:val="22"/>
                <w:szCs w:val="22"/>
              </w:rPr>
              <w:t xml:space="preserve">STAR </w:t>
            </w:r>
            <w:r w:rsidR="00AA4979" w:rsidRPr="00BA6165">
              <w:rPr>
                <w:rStyle w:val="Hyperlink"/>
                <w:sz w:val="22"/>
                <w:szCs w:val="22"/>
              </w:rPr>
              <w:t>ERROR TRENDS</w:t>
            </w:r>
          </w:p>
          <w:p w14:paraId="5EE5F0B7" w14:textId="36DC22F0" w:rsidR="008E706D" w:rsidRPr="00465497" w:rsidRDefault="00BA6165" w:rsidP="00D34264">
            <w:pPr>
              <w:rPr>
                <w:rStyle w:val="Hyperlink"/>
                <w:sz w:val="22"/>
                <w:szCs w:val="22"/>
              </w:rPr>
            </w:pPr>
            <w:r>
              <w:rPr>
                <w:sz w:val="22"/>
                <w:szCs w:val="22"/>
              </w:rPr>
              <w:fldChar w:fldCharType="end"/>
            </w:r>
            <w:r w:rsidR="00465497">
              <w:rPr>
                <w:sz w:val="22"/>
                <w:szCs w:val="22"/>
              </w:rPr>
              <w:fldChar w:fldCharType="begin"/>
            </w:r>
            <w:r>
              <w:rPr>
                <w:sz w:val="22"/>
                <w:szCs w:val="22"/>
              </w:rPr>
              <w:instrText>HYPERLINK  \l "_Discussion:_PMC_PACT"</w:instrText>
            </w:r>
            <w:r w:rsidR="00465497">
              <w:rPr>
                <w:sz w:val="22"/>
                <w:szCs w:val="22"/>
              </w:rPr>
            </w:r>
            <w:r w:rsidR="00465497">
              <w:rPr>
                <w:sz w:val="22"/>
                <w:szCs w:val="22"/>
              </w:rPr>
              <w:fldChar w:fldCharType="separate"/>
            </w:r>
            <w:r w:rsidR="006E7235" w:rsidRPr="00465497">
              <w:rPr>
                <w:rStyle w:val="Hyperlink"/>
                <w:sz w:val="22"/>
                <w:szCs w:val="22"/>
              </w:rPr>
              <w:t xml:space="preserve">ITEM </w:t>
            </w:r>
            <w:r w:rsidR="00AA4979">
              <w:rPr>
                <w:rStyle w:val="Hyperlink"/>
                <w:sz w:val="22"/>
                <w:szCs w:val="22"/>
              </w:rPr>
              <w:t>2</w:t>
            </w:r>
            <w:r w:rsidR="006E7235" w:rsidRPr="00465497">
              <w:rPr>
                <w:rStyle w:val="Hyperlink"/>
                <w:sz w:val="22"/>
                <w:szCs w:val="22"/>
              </w:rPr>
              <w:t xml:space="preserve">:  </w:t>
            </w:r>
            <w:r w:rsidR="00E0073A">
              <w:rPr>
                <w:rStyle w:val="Hyperlink"/>
                <w:sz w:val="22"/>
                <w:szCs w:val="22"/>
              </w:rPr>
              <w:t>PACT ACT UPDATES</w:t>
            </w:r>
          </w:p>
          <w:p w14:paraId="3431BAB1" w14:textId="0EF5A188" w:rsidR="00BD764E" w:rsidRPr="00C6671A" w:rsidRDefault="00465497" w:rsidP="00D34264">
            <w:pPr>
              <w:rPr>
                <w:rStyle w:val="Hyperlink"/>
                <w:sz w:val="22"/>
                <w:szCs w:val="22"/>
              </w:rPr>
            </w:pPr>
            <w:r>
              <w:rPr>
                <w:sz w:val="22"/>
                <w:szCs w:val="22"/>
              </w:rPr>
              <w:fldChar w:fldCharType="end"/>
            </w:r>
            <w:r w:rsidR="00C6671A">
              <w:rPr>
                <w:sz w:val="22"/>
                <w:szCs w:val="22"/>
              </w:rPr>
              <w:fldChar w:fldCharType="begin"/>
            </w:r>
            <w:r w:rsidR="00B355F0">
              <w:rPr>
                <w:sz w:val="22"/>
                <w:szCs w:val="22"/>
              </w:rPr>
              <w:instrText>HYPERLINK  \l "_Discussion:"</w:instrText>
            </w:r>
            <w:r w:rsidR="00C6671A">
              <w:rPr>
                <w:sz w:val="22"/>
                <w:szCs w:val="22"/>
              </w:rPr>
            </w:r>
            <w:r w:rsidR="00C6671A">
              <w:rPr>
                <w:sz w:val="22"/>
                <w:szCs w:val="22"/>
              </w:rPr>
              <w:fldChar w:fldCharType="separate"/>
            </w:r>
            <w:r w:rsidR="00BD764E" w:rsidRPr="00C6671A">
              <w:rPr>
                <w:rStyle w:val="Hyperlink"/>
                <w:sz w:val="22"/>
                <w:szCs w:val="22"/>
              </w:rPr>
              <w:t xml:space="preserve">ITEM </w:t>
            </w:r>
            <w:r w:rsidR="00AA4979">
              <w:rPr>
                <w:rStyle w:val="Hyperlink"/>
                <w:sz w:val="22"/>
                <w:szCs w:val="22"/>
              </w:rPr>
              <w:t>3</w:t>
            </w:r>
            <w:r w:rsidR="00BD764E" w:rsidRPr="00C6671A">
              <w:rPr>
                <w:rStyle w:val="Hyperlink"/>
                <w:sz w:val="22"/>
                <w:szCs w:val="22"/>
              </w:rPr>
              <w:t xml:space="preserve">: </w:t>
            </w:r>
            <w:r w:rsidR="00B4592E" w:rsidRPr="00C6671A">
              <w:rPr>
                <w:rStyle w:val="Hyperlink"/>
                <w:sz w:val="22"/>
                <w:szCs w:val="22"/>
              </w:rPr>
              <w:t xml:space="preserve"> </w:t>
            </w:r>
            <w:r w:rsidR="00AF1F84">
              <w:rPr>
                <w:rStyle w:val="Hyperlink"/>
                <w:sz w:val="22"/>
                <w:szCs w:val="22"/>
              </w:rPr>
              <w:t>ACCRUED NOTIFICATION REMINDERS</w:t>
            </w:r>
            <w:r w:rsidR="00391DF6">
              <w:rPr>
                <w:rStyle w:val="Hyperlink"/>
                <w:sz w:val="22"/>
                <w:szCs w:val="22"/>
              </w:rPr>
              <w:t xml:space="preserve"> </w:t>
            </w:r>
          </w:p>
          <w:p w14:paraId="4E86F736" w14:textId="569EDF3F" w:rsidR="0021170B" w:rsidRPr="00C6671A" w:rsidRDefault="00C6671A" w:rsidP="0021170B">
            <w:pPr>
              <w:rPr>
                <w:rStyle w:val="Hyperlink"/>
                <w:sz w:val="22"/>
                <w:szCs w:val="22"/>
              </w:rPr>
            </w:pPr>
            <w:r>
              <w:rPr>
                <w:sz w:val="22"/>
                <w:szCs w:val="22"/>
              </w:rPr>
              <w:fldChar w:fldCharType="end"/>
            </w:r>
            <w:r w:rsidR="0021170B">
              <w:rPr>
                <w:sz w:val="22"/>
                <w:szCs w:val="22"/>
              </w:rPr>
              <w:fldChar w:fldCharType="begin"/>
            </w:r>
            <w:r w:rsidR="008E3568">
              <w:rPr>
                <w:sz w:val="22"/>
                <w:szCs w:val="22"/>
              </w:rPr>
              <w:instrText>HYPERLINK  \l "_Target_Audience:_2"</w:instrText>
            </w:r>
            <w:r w:rsidR="0021170B">
              <w:rPr>
                <w:sz w:val="22"/>
                <w:szCs w:val="22"/>
              </w:rPr>
            </w:r>
            <w:r w:rsidR="0021170B">
              <w:rPr>
                <w:sz w:val="22"/>
                <w:szCs w:val="22"/>
              </w:rPr>
              <w:fldChar w:fldCharType="separate"/>
            </w:r>
            <w:r w:rsidR="0021170B" w:rsidRPr="00C6671A">
              <w:rPr>
                <w:rStyle w:val="Hyperlink"/>
                <w:sz w:val="22"/>
                <w:szCs w:val="22"/>
              </w:rPr>
              <w:t xml:space="preserve">ITEM </w:t>
            </w:r>
            <w:r w:rsidR="0021170B">
              <w:rPr>
                <w:rStyle w:val="Hyperlink"/>
                <w:sz w:val="22"/>
                <w:szCs w:val="22"/>
              </w:rPr>
              <w:t>4</w:t>
            </w:r>
            <w:r w:rsidR="0021170B" w:rsidRPr="00C6671A">
              <w:rPr>
                <w:rStyle w:val="Hyperlink"/>
                <w:sz w:val="22"/>
                <w:szCs w:val="22"/>
              </w:rPr>
              <w:t xml:space="preserve">: </w:t>
            </w:r>
            <w:r w:rsidR="0021170B">
              <w:rPr>
                <w:rStyle w:val="Hyperlink"/>
                <w:sz w:val="22"/>
                <w:szCs w:val="22"/>
              </w:rPr>
              <w:t xml:space="preserve"> </w:t>
            </w:r>
            <w:r w:rsidR="00AF1F84">
              <w:rPr>
                <w:rStyle w:val="Hyperlink"/>
                <w:sz w:val="22"/>
                <w:szCs w:val="22"/>
              </w:rPr>
              <w:t>ACCRUED BENEFITS – POLICY AND PROCEDURES</w:t>
            </w:r>
            <w:r w:rsidR="0021170B">
              <w:rPr>
                <w:rStyle w:val="Hyperlink"/>
                <w:sz w:val="22"/>
                <w:szCs w:val="22"/>
              </w:rPr>
              <w:t xml:space="preserve"> </w:t>
            </w:r>
          </w:p>
          <w:p w14:paraId="27E5FFE9" w14:textId="37C75A2E" w:rsidR="005A10FC" w:rsidRDefault="0021170B" w:rsidP="00E0073A">
            <w:pPr>
              <w:rPr>
                <w:sz w:val="22"/>
                <w:szCs w:val="22"/>
              </w:rPr>
            </w:pPr>
            <w:r>
              <w:rPr>
                <w:sz w:val="22"/>
                <w:szCs w:val="22"/>
              </w:rPr>
              <w:fldChar w:fldCharType="end"/>
            </w:r>
            <w:hyperlink w:anchor="_Agenda_item:_1" w:history="1">
              <w:r w:rsidR="005A10FC" w:rsidRPr="005A10FC">
                <w:rPr>
                  <w:rStyle w:val="Hyperlink"/>
                  <w:sz w:val="22"/>
                  <w:szCs w:val="22"/>
                </w:rPr>
                <w:t>ITEM 5: QUALITY CALL Q&amp;A</w:t>
              </w:r>
            </w:hyperlink>
          </w:p>
          <w:p w14:paraId="6E05CD17" w14:textId="64BC53C1" w:rsidR="008E706D" w:rsidRDefault="008E706D" w:rsidP="00E0073A">
            <w:pPr>
              <w:rPr>
                <w:rStyle w:val="Hyperlink"/>
                <w:sz w:val="22"/>
                <w:szCs w:val="22"/>
              </w:rPr>
            </w:pPr>
            <w:hyperlink w:anchor="_Discussion:_2" w:history="1"/>
            <w:hyperlink w:anchor="CLOSING_" w:history="1">
              <w:r w:rsidRPr="008E706D">
                <w:rPr>
                  <w:rStyle w:val="Hyperlink"/>
                  <w:sz w:val="22"/>
                  <w:szCs w:val="22"/>
                </w:rPr>
                <w:t>CLOSING, QUESTIONS, NEXT QUALITY CALL</w:t>
              </w:r>
            </w:hyperlink>
          </w:p>
          <w:p w14:paraId="42DD5B55" w14:textId="6F99E0D7" w:rsidR="00AA08D5" w:rsidRPr="00EE1706" w:rsidRDefault="00AA08D5" w:rsidP="00E0073A">
            <w:pPr>
              <w:rPr>
                <w:sz w:val="22"/>
                <w:szCs w:val="22"/>
              </w:rPr>
            </w:pPr>
          </w:p>
        </w:tc>
        <w:tc>
          <w:tcPr>
            <w:tcW w:w="8245" w:type="dxa"/>
          </w:tcPr>
          <w:p w14:paraId="4105A977" w14:textId="77777777" w:rsidR="00F96A26" w:rsidRPr="00D60069" w:rsidRDefault="00F96A26" w:rsidP="00D62E01"/>
        </w:tc>
      </w:tr>
    </w:tbl>
    <w:p w14:paraId="54A530E0" w14:textId="77777777" w:rsidR="002B2D13" w:rsidRPr="00075FC0" w:rsidRDefault="007D5F00" w:rsidP="00E83076">
      <w:pPr>
        <w:pStyle w:val="Heading1"/>
        <w:spacing w:before="0" w:after="0"/>
        <w:rPr>
          <w:color w:val="8064A2" w:themeColor="accent4"/>
        </w:rPr>
      </w:pPr>
      <w:r w:rsidRPr="00075FC0">
        <w:rPr>
          <w:color w:val="8064A2" w:themeColor="accent4"/>
        </w:rPr>
        <w:t>AGENDA</w:t>
      </w:r>
      <w:r w:rsidR="005537F7">
        <w:rPr>
          <w:color w:val="8064A2" w:themeColor="accent4"/>
        </w:rPr>
        <w:t xml:space="preserve"> ITEMS</w:t>
      </w:r>
    </w:p>
    <w:tbl>
      <w:tblPr>
        <w:tblW w:w="5000" w:type="pct"/>
        <w:tblCellMar>
          <w:left w:w="0" w:type="dxa"/>
          <w:right w:w="0" w:type="dxa"/>
        </w:tblCellMar>
        <w:tblLook w:val="0000" w:firstRow="0" w:lastRow="0" w:firstColumn="0" w:lastColumn="0" w:noHBand="0" w:noVBand="0"/>
        <w:tblDescription w:val="Layout table"/>
      </w:tblPr>
      <w:tblGrid>
        <w:gridCol w:w="1620"/>
        <w:gridCol w:w="4970"/>
        <w:gridCol w:w="790"/>
        <w:gridCol w:w="2844"/>
      </w:tblGrid>
      <w:tr w:rsidR="002B2D13" w:rsidRPr="00D60069" w14:paraId="6A9A53A7" w14:textId="77777777" w:rsidTr="005D6D7C">
        <w:tc>
          <w:tcPr>
            <w:tcW w:w="1620" w:type="dxa"/>
          </w:tcPr>
          <w:p w14:paraId="6050E255" w14:textId="77777777" w:rsidR="002B2D13" w:rsidRPr="00075FC0" w:rsidRDefault="00000000" w:rsidP="00CA31B6">
            <w:pPr>
              <w:pStyle w:val="Heading2"/>
              <w:spacing w:before="0" w:after="0"/>
              <w:rPr>
                <w:color w:val="8064A2" w:themeColor="accent4"/>
              </w:rPr>
            </w:pPr>
            <w:sdt>
              <w:sdtPr>
                <w:rPr>
                  <w:color w:val="8064A2" w:themeColor="accent4"/>
                </w:rPr>
                <w:id w:val="90904773"/>
                <w:placeholder>
                  <w:docPart w:val="20DE57C5D5E449D1A227C0884E237AD8"/>
                </w:placeholder>
                <w:temporary/>
                <w:showingPlcHdr/>
                <w15:appearance w15:val="hidden"/>
              </w:sdtPr>
              <w:sdtContent>
                <w:r w:rsidR="006344A8" w:rsidRPr="007E4418">
                  <w:rPr>
                    <w:color w:val="8064A2" w:themeColor="accent4"/>
                    <w:sz w:val="24"/>
                    <w:szCs w:val="24"/>
                  </w:rPr>
                  <w:t>Agenda item:</w:t>
                </w:r>
              </w:sdtContent>
            </w:sdt>
          </w:p>
        </w:tc>
        <w:tc>
          <w:tcPr>
            <w:tcW w:w="4970" w:type="dxa"/>
          </w:tcPr>
          <w:p w14:paraId="1A07B25E" w14:textId="041B40C4" w:rsidR="002B2D13" w:rsidRPr="00075FC0" w:rsidRDefault="003C07C2" w:rsidP="00CA31B6">
            <w:pPr>
              <w:spacing w:before="0" w:after="0"/>
              <w:rPr>
                <w:color w:val="8064A2" w:themeColor="accent4"/>
                <w:sz w:val="24"/>
                <w:szCs w:val="24"/>
              </w:rPr>
            </w:pPr>
            <w:bookmarkStart w:id="0" w:name="ONE_"/>
            <w:bookmarkEnd w:id="0"/>
            <w:r w:rsidRPr="00AA4979">
              <w:rPr>
                <w:color w:val="8064A2" w:themeColor="accent4"/>
                <w:sz w:val="24"/>
                <w:szCs w:val="24"/>
              </w:rPr>
              <w:t xml:space="preserve">STAR </w:t>
            </w:r>
            <w:r w:rsidR="00AA4979" w:rsidRPr="00AA4979">
              <w:rPr>
                <w:color w:val="8064A2" w:themeColor="accent4"/>
                <w:sz w:val="24"/>
                <w:szCs w:val="24"/>
              </w:rPr>
              <w:t>Error Trends</w:t>
            </w:r>
          </w:p>
        </w:tc>
        <w:tc>
          <w:tcPr>
            <w:tcW w:w="790" w:type="dxa"/>
          </w:tcPr>
          <w:p w14:paraId="10DB22D8" w14:textId="77777777" w:rsidR="002B2D13" w:rsidRDefault="002B2D13" w:rsidP="00CA31B6">
            <w:pPr>
              <w:pStyle w:val="Heading2"/>
              <w:spacing w:before="0" w:after="0"/>
              <w:rPr>
                <w:color w:val="8064A2" w:themeColor="accent4"/>
              </w:rPr>
            </w:pPr>
          </w:p>
          <w:p w14:paraId="345291AC" w14:textId="4A1BFC7F" w:rsidR="00C41406" w:rsidRPr="00075FC0" w:rsidRDefault="00C41406" w:rsidP="00CA31B6">
            <w:pPr>
              <w:pStyle w:val="Heading2"/>
              <w:spacing w:before="0" w:after="0"/>
              <w:rPr>
                <w:color w:val="8064A2" w:themeColor="accent4"/>
              </w:rPr>
            </w:pPr>
          </w:p>
        </w:tc>
        <w:tc>
          <w:tcPr>
            <w:tcW w:w="2844" w:type="dxa"/>
          </w:tcPr>
          <w:p w14:paraId="5EAB3EF0" w14:textId="7A7AE4D5" w:rsidR="002B2D13" w:rsidRPr="00075FC0" w:rsidRDefault="006D246A" w:rsidP="00CA31B6">
            <w:pPr>
              <w:spacing w:before="0" w:after="0"/>
              <w:rPr>
                <w:color w:val="8064A2" w:themeColor="accent4"/>
                <w:sz w:val="24"/>
                <w:szCs w:val="24"/>
              </w:rPr>
            </w:pPr>
            <w:r w:rsidRPr="006D246A">
              <w:rPr>
                <w:b/>
                <w:bCs/>
                <w:color w:val="8064A2" w:themeColor="accent4"/>
                <w:sz w:val="24"/>
                <w:szCs w:val="24"/>
              </w:rPr>
              <w:t>Presenter</w:t>
            </w:r>
            <w:r>
              <w:rPr>
                <w:color w:val="8064A2" w:themeColor="accent4"/>
                <w:sz w:val="24"/>
                <w:szCs w:val="24"/>
              </w:rPr>
              <w:t>:</w:t>
            </w:r>
            <w:r w:rsidR="00226A01">
              <w:rPr>
                <w:color w:val="8064A2" w:themeColor="accent4"/>
                <w:sz w:val="24"/>
                <w:szCs w:val="24"/>
              </w:rPr>
              <w:t xml:space="preserve"> </w:t>
            </w:r>
            <w:r w:rsidR="004A6701">
              <w:rPr>
                <w:color w:val="8064A2" w:themeColor="accent4"/>
                <w:sz w:val="24"/>
                <w:szCs w:val="24"/>
              </w:rPr>
              <w:t>Jennifer Kunkel</w:t>
            </w:r>
            <w:r>
              <w:rPr>
                <w:color w:val="8064A2" w:themeColor="accent4"/>
                <w:sz w:val="24"/>
                <w:szCs w:val="24"/>
              </w:rPr>
              <w:t>, Analyst</w:t>
            </w:r>
          </w:p>
        </w:tc>
      </w:tr>
    </w:tbl>
    <w:p w14:paraId="2A1B6F4B" w14:textId="09F1F668" w:rsidR="002B2D13" w:rsidRPr="004C6763" w:rsidRDefault="00075FC0" w:rsidP="00CA31B6">
      <w:pPr>
        <w:pStyle w:val="Heading4"/>
        <w:spacing w:before="0" w:after="0"/>
        <w:rPr>
          <w:color w:val="4F81BD" w:themeColor="accent1"/>
          <w:sz w:val="24"/>
          <w:szCs w:val="24"/>
        </w:rPr>
      </w:pPr>
      <w:r w:rsidRPr="00075FC0">
        <w:rPr>
          <w:color w:val="548DD4" w:themeColor="text2" w:themeTint="99"/>
          <w:sz w:val="24"/>
          <w:szCs w:val="24"/>
        </w:rPr>
        <w:t>Target Audience:</w:t>
      </w:r>
      <w:r w:rsidR="00EA7503">
        <w:rPr>
          <w:color w:val="548DD4" w:themeColor="text2" w:themeTint="99"/>
          <w:sz w:val="24"/>
          <w:szCs w:val="24"/>
        </w:rPr>
        <w:t xml:space="preserve"> </w:t>
      </w:r>
      <w:r w:rsidR="0086373B">
        <w:rPr>
          <w:color w:val="548DD4" w:themeColor="text2" w:themeTint="99"/>
          <w:sz w:val="24"/>
          <w:szCs w:val="24"/>
        </w:rPr>
        <w:t>Quality Review Team (</w:t>
      </w:r>
      <w:r w:rsidR="003C07C2">
        <w:rPr>
          <w:color w:val="4F81BD" w:themeColor="accent1"/>
          <w:sz w:val="24"/>
          <w:szCs w:val="24"/>
        </w:rPr>
        <w:t>QRT</w:t>
      </w:r>
      <w:r w:rsidR="0086373B">
        <w:rPr>
          <w:color w:val="4F81BD" w:themeColor="accent1"/>
          <w:sz w:val="24"/>
          <w:szCs w:val="24"/>
        </w:rPr>
        <w:t>)</w:t>
      </w:r>
      <w:r w:rsidR="003C07C2">
        <w:rPr>
          <w:color w:val="4F81BD" w:themeColor="accent1"/>
          <w:sz w:val="24"/>
          <w:szCs w:val="24"/>
        </w:rPr>
        <w:t xml:space="preserve"> and Management</w:t>
      </w:r>
    </w:p>
    <w:p w14:paraId="59366E7E" w14:textId="77777777" w:rsidR="009E5BC3" w:rsidRDefault="009E5BC3" w:rsidP="00CA31B6">
      <w:pPr>
        <w:pStyle w:val="Heading4"/>
        <w:spacing w:before="0" w:after="0"/>
        <w:rPr>
          <w:sz w:val="24"/>
          <w:szCs w:val="24"/>
        </w:rPr>
      </w:pPr>
    </w:p>
    <w:p w14:paraId="276CC422" w14:textId="2FAC89A2" w:rsidR="006E2362" w:rsidRDefault="006E2362" w:rsidP="00CA31B6">
      <w:pPr>
        <w:pStyle w:val="Heading4"/>
        <w:spacing w:before="0" w:after="0"/>
        <w:rPr>
          <w:rFonts w:ascii="Arial" w:hAnsi="Arial" w:cs="Arial"/>
          <w:sz w:val="24"/>
          <w:szCs w:val="24"/>
        </w:rPr>
      </w:pPr>
      <w:bookmarkStart w:id="1" w:name="_Discussion:_STAR_Error"/>
      <w:bookmarkEnd w:id="1"/>
      <w:r w:rsidRPr="002E0BAE">
        <w:rPr>
          <w:rFonts w:ascii="Arial" w:hAnsi="Arial" w:cs="Arial"/>
          <w:sz w:val="24"/>
          <w:szCs w:val="24"/>
        </w:rPr>
        <w:t xml:space="preserve">Discussion: </w:t>
      </w:r>
    </w:p>
    <w:p w14:paraId="347F738C" w14:textId="77777777" w:rsidR="00CA31B6" w:rsidRPr="002E0BAE" w:rsidRDefault="00CA31B6" w:rsidP="00CA31B6">
      <w:pPr>
        <w:pStyle w:val="Heading4"/>
        <w:spacing w:before="0" w:after="0"/>
        <w:rPr>
          <w:rFonts w:ascii="Arial" w:hAnsi="Arial" w:cs="Arial"/>
          <w:sz w:val="24"/>
          <w:szCs w:val="24"/>
        </w:rPr>
      </w:pPr>
    </w:p>
    <w:p w14:paraId="12AD01A1" w14:textId="5232CB39" w:rsidR="006E2362" w:rsidRPr="002E0BAE" w:rsidRDefault="006E2362" w:rsidP="00CA31B6">
      <w:pPr>
        <w:autoSpaceDE w:val="0"/>
        <w:autoSpaceDN w:val="0"/>
        <w:adjustRightInd w:val="0"/>
        <w:spacing w:before="0" w:after="0"/>
        <w:rPr>
          <w:rFonts w:ascii="Arial" w:hAnsi="Arial" w:cs="Arial"/>
          <w:sz w:val="24"/>
          <w:szCs w:val="24"/>
        </w:rPr>
      </w:pPr>
      <w:r w:rsidRPr="002E0BAE">
        <w:rPr>
          <w:rFonts w:ascii="Arial" w:hAnsi="Arial" w:cs="Arial"/>
          <w:sz w:val="24"/>
          <w:szCs w:val="24"/>
        </w:rPr>
        <w:t xml:space="preserve">A trend analysis was conducted </w:t>
      </w:r>
      <w:r w:rsidR="0086373B">
        <w:rPr>
          <w:rFonts w:ascii="Arial" w:hAnsi="Arial" w:cs="Arial"/>
          <w:sz w:val="24"/>
          <w:szCs w:val="24"/>
        </w:rPr>
        <w:t>of the</w:t>
      </w:r>
      <w:r w:rsidRPr="002E0BAE">
        <w:rPr>
          <w:rFonts w:ascii="Arial" w:hAnsi="Arial" w:cs="Arial"/>
          <w:sz w:val="24"/>
          <w:szCs w:val="24"/>
        </w:rPr>
        <w:t xml:space="preserve"> errors cited on National STAR Pension Quality Reviews completed between the months of </w:t>
      </w:r>
      <w:r w:rsidRPr="002E0BAE">
        <w:rPr>
          <w:rFonts w:ascii="Arial" w:hAnsi="Arial" w:cs="Arial"/>
          <w:b/>
          <w:bCs/>
          <w:sz w:val="24"/>
          <w:szCs w:val="24"/>
        </w:rPr>
        <w:t>July 2024 and August 2024</w:t>
      </w:r>
      <w:r w:rsidRPr="002E0BAE">
        <w:rPr>
          <w:rFonts w:ascii="Arial" w:hAnsi="Arial" w:cs="Arial"/>
          <w:sz w:val="24"/>
          <w:szCs w:val="24"/>
        </w:rPr>
        <w:t xml:space="preserve"> (transactions completed between June 1, 2024, through July 31, 2024). STAR reviews are performed the month after a claim is completed. </w:t>
      </w:r>
    </w:p>
    <w:p w14:paraId="12243696" w14:textId="77777777" w:rsidR="006E2362" w:rsidRPr="002E0BAE" w:rsidRDefault="006E2362" w:rsidP="00CA31B6">
      <w:pPr>
        <w:spacing w:before="0" w:after="0"/>
        <w:jc w:val="center"/>
        <w:rPr>
          <w:rFonts w:ascii="Arial" w:hAnsi="Arial" w:cs="Arial"/>
          <w:sz w:val="24"/>
          <w:szCs w:val="24"/>
        </w:rPr>
      </w:pPr>
    </w:p>
    <w:tbl>
      <w:tblPr>
        <w:tblW w:w="9350" w:type="dxa"/>
        <w:tblInd w:w="-100" w:type="dxa"/>
        <w:tblLayout w:type="fixed"/>
        <w:tblLook w:val="04A0" w:firstRow="1" w:lastRow="0" w:firstColumn="1" w:lastColumn="0" w:noHBand="0" w:noVBand="1"/>
      </w:tblPr>
      <w:tblGrid>
        <w:gridCol w:w="1100"/>
        <w:gridCol w:w="1510"/>
        <w:gridCol w:w="1160"/>
        <w:gridCol w:w="1080"/>
        <w:gridCol w:w="990"/>
        <w:gridCol w:w="900"/>
        <w:gridCol w:w="1350"/>
        <w:gridCol w:w="1260"/>
      </w:tblGrid>
      <w:tr w:rsidR="006E2362" w:rsidRPr="002E0BAE" w14:paraId="11CB79BD" w14:textId="77777777" w:rsidTr="00FB7923">
        <w:trPr>
          <w:trHeight w:val="876"/>
        </w:trPr>
        <w:tc>
          <w:tcPr>
            <w:tcW w:w="1100" w:type="dxa"/>
            <w:tcBorders>
              <w:top w:val="single" w:sz="8" w:space="0" w:color="auto"/>
              <w:left w:val="single" w:sz="8" w:space="0" w:color="auto"/>
              <w:bottom w:val="single" w:sz="4" w:space="0" w:color="auto"/>
              <w:right w:val="single" w:sz="4" w:space="0" w:color="auto"/>
            </w:tcBorders>
            <w:shd w:val="clear" w:color="000000" w:fill="4472C4"/>
            <w:vAlign w:val="center"/>
          </w:tcPr>
          <w:p w14:paraId="124EDBB5" w14:textId="77777777" w:rsidR="006E2362" w:rsidRPr="002E0BAE" w:rsidRDefault="006E2362" w:rsidP="00CA31B6">
            <w:pPr>
              <w:spacing w:before="0" w:after="0"/>
              <w:jc w:val="center"/>
              <w:rPr>
                <w:rFonts w:ascii="Arial" w:eastAsia="Times New Roman" w:hAnsi="Arial" w:cs="Arial"/>
                <w:b/>
                <w:bCs/>
                <w:color w:val="FFFFFF"/>
                <w:sz w:val="22"/>
                <w:szCs w:val="22"/>
              </w:rPr>
            </w:pPr>
            <w:r w:rsidRPr="002E0BAE">
              <w:rPr>
                <w:rFonts w:ascii="Arial" w:hAnsi="Arial" w:cs="Arial"/>
                <w:b/>
                <w:bCs/>
                <w:color w:val="FFFFFF"/>
                <w:sz w:val="22"/>
                <w:szCs w:val="22"/>
              </w:rPr>
              <w:t>Review Month</w:t>
            </w:r>
          </w:p>
        </w:tc>
        <w:tc>
          <w:tcPr>
            <w:tcW w:w="1510" w:type="dxa"/>
            <w:tcBorders>
              <w:top w:val="single" w:sz="8" w:space="0" w:color="auto"/>
              <w:left w:val="single" w:sz="8" w:space="0" w:color="auto"/>
              <w:bottom w:val="single" w:sz="4" w:space="0" w:color="auto"/>
              <w:right w:val="single" w:sz="4" w:space="0" w:color="auto"/>
            </w:tcBorders>
            <w:shd w:val="clear" w:color="000000" w:fill="4472C4"/>
            <w:vAlign w:val="center"/>
            <w:hideMark/>
          </w:tcPr>
          <w:p w14:paraId="764F5F9B" w14:textId="77777777" w:rsidR="006E2362" w:rsidRPr="002E0BAE" w:rsidRDefault="006E2362" w:rsidP="00CA31B6">
            <w:pPr>
              <w:spacing w:before="0" w:after="0"/>
              <w:jc w:val="center"/>
              <w:rPr>
                <w:rFonts w:ascii="Arial" w:eastAsia="Times New Roman" w:hAnsi="Arial" w:cs="Arial"/>
                <w:b/>
                <w:bCs/>
                <w:color w:val="FFFFFF"/>
                <w:sz w:val="22"/>
                <w:szCs w:val="22"/>
              </w:rPr>
            </w:pPr>
            <w:r w:rsidRPr="002E0BAE">
              <w:rPr>
                <w:rFonts w:ascii="Arial" w:hAnsi="Arial" w:cs="Arial"/>
                <w:b/>
                <w:bCs/>
                <w:color w:val="FFFFFF"/>
                <w:sz w:val="22"/>
                <w:szCs w:val="22"/>
              </w:rPr>
              <w:t>Review Category</w:t>
            </w:r>
          </w:p>
        </w:tc>
        <w:tc>
          <w:tcPr>
            <w:tcW w:w="1160" w:type="dxa"/>
            <w:tcBorders>
              <w:top w:val="single" w:sz="8" w:space="0" w:color="auto"/>
              <w:left w:val="nil"/>
              <w:bottom w:val="single" w:sz="4" w:space="0" w:color="auto"/>
              <w:right w:val="single" w:sz="4" w:space="0" w:color="auto"/>
            </w:tcBorders>
            <w:shd w:val="clear" w:color="000000" w:fill="4472C4"/>
            <w:vAlign w:val="center"/>
            <w:hideMark/>
          </w:tcPr>
          <w:p w14:paraId="5E13A7A1" w14:textId="77777777" w:rsidR="006E2362" w:rsidRPr="002E0BAE" w:rsidRDefault="006E2362" w:rsidP="00CA31B6">
            <w:pPr>
              <w:spacing w:before="0" w:after="0"/>
              <w:jc w:val="center"/>
              <w:rPr>
                <w:rFonts w:ascii="Arial" w:eastAsia="Times New Roman" w:hAnsi="Arial" w:cs="Arial"/>
                <w:b/>
                <w:bCs/>
                <w:color w:val="FFFFFF"/>
                <w:sz w:val="22"/>
                <w:szCs w:val="22"/>
              </w:rPr>
            </w:pPr>
            <w:r w:rsidRPr="002E0BAE">
              <w:rPr>
                <w:rFonts w:ascii="Arial" w:hAnsi="Arial" w:cs="Arial"/>
                <w:b/>
                <w:bCs/>
                <w:color w:val="FFFFFF"/>
                <w:sz w:val="22"/>
                <w:szCs w:val="22"/>
              </w:rPr>
              <w:t>Total Reviewed</w:t>
            </w:r>
          </w:p>
        </w:tc>
        <w:tc>
          <w:tcPr>
            <w:tcW w:w="1080" w:type="dxa"/>
            <w:tcBorders>
              <w:top w:val="single" w:sz="4" w:space="0" w:color="auto"/>
              <w:left w:val="single" w:sz="4" w:space="0" w:color="auto"/>
              <w:bottom w:val="single" w:sz="4" w:space="0" w:color="auto"/>
              <w:right w:val="single" w:sz="4" w:space="0" w:color="auto"/>
            </w:tcBorders>
            <w:shd w:val="clear" w:color="000000" w:fill="4472C4"/>
            <w:vAlign w:val="center"/>
          </w:tcPr>
          <w:p w14:paraId="3312C21A" w14:textId="77777777" w:rsidR="006E2362" w:rsidRPr="002E0BAE" w:rsidRDefault="006E2362" w:rsidP="00CA31B6">
            <w:pPr>
              <w:spacing w:before="0" w:after="0"/>
              <w:jc w:val="center"/>
              <w:rPr>
                <w:rFonts w:ascii="Arial" w:eastAsia="Times New Roman" w:hAnsi="Arial" w:cs="Arial"/>
                <w:b/>
                <w:bCs/>
                <w:color w:val="FFFFFF"/>
                <w:sz w:val="22"/>
                <w:szCs w:val="22"/>
              </w:rPr>
            </w:pPr>
            <w:r w:rsidRPr="002E0BAE">
              <w:rPr>
                <w:rFonts w:ascii="Arial" w:hAnsi="Arial" w:cs="Arial"/>
                <w:b/>
                <w:bCs/>
                <w:color w:val="FFFFFF"/>
                <w:sz w:val="22"/>
                <w:szCs w:val="22"/>
              </w:rPr>
              <w:t>Total # of Errors</w:t>
            </w:r>
          </w:p>
        </w:tc>
        <w:tc>
          <w:tcPr>
            <w:tcW w:w="99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1AD2786" w14:textId="77777777" w:rsidR="006E2362" w:rsidRPr="002E0BAE" w:rsidRDefault="006E2362" w:rsidP="00CA31B6">
            <w:pPr>
              <w:spacing w:before="0" w:after="0"/>
              <w:jc w:val="center"/>
              <w:rPr>
                <w:rFonts w:ascii="Arial" w:eastAsia="Times New Roman" w:hAnsi="Arial" w:cs="Arial"/>
                <w:b/>
                <w:bCs/>
                <w:color w:val="FFFFFF"/>
                <w:sz w:val="22"/>
                <w:szCs w:val="22"/>
              </w:rPr>
            </w:pPr>
            <w:r w:rsidRPr="002E0BAE">
              <w:rPr>
                <w:rFonts w:ascii="Arial" w:hAnsi="Arial" w:cs="Arial"/>
                <w:b/>
                <w:bCs/>
                <w:color w:val="FFFFFF"/>
                <w:sz w:val="22"/>
                <w:szCs w:val="22"/>
              </w:rPr>
              <w:t># Claims in Error</w:t>
            </w:r>
          </w:p>
        </w:tc>
        <w:tc>
          <w:tcPr>
            <w:tcW w:w="900" w:type="dxa"/>
            <w:tcBorders>
              <w:top w:val="single" w:sz="4" w:space="0" w:color="auto"/>
              <w:left w:val="single" w:sz="4" w:space="0" w:color="auto"/>
              <w:bottom w:val="single" w:sz="4" w:space="0" w:color="auto"/>
              <w:right w:val="single" w:sz="4" w:space="0" w:color="auto"/>
            </w:tcBorders>
            <w:shd w:val="clear" w:color="000000" w:fill="4472C4"/>
            <w:vAlign w:val="center"/>
          </w:tcPr>
          <w:p w14:paraId="1AD235D8" w14:textId="77777777" w:rsidR="006E2362" w:rsidRPr="002E0BAE" w:rsidRDefault="006E2362" w:rsidP="00CA31B6">
            <w:pPr>
              <w:spacing w:before="0" w:after="0"/>
              <w:jc w:val="center"/>
              <w:rPr>
                <w:rFonts w:ascii="Arial" w:eastAsia="Times New Roman" w:hAnsi="Arial" w:cs="Arial"/>
                <w:b/>
                <w:bCs/>
                <w:color w:val="FFFFFF"/>
                <w:sz w:val="22"/>
                <w:szCs w:val="22"/>
              </w:rPr>
            </w:pPr>
            <w:r w:rsidRPr="002E0BAE">
              <w:rPr>
                <w:rFonts w:ascii="Arial" w:hAnsi="Arial" w:cs="Arial"/>
                <w:b/>
                <w:bCs/>
                <w:color w:val="FFFFFF"/>
                <w:sz w:val="22"/>
                <w:szCs w:val="22"/>
              </w:rPr>
              <w:t>BE Errors</w:t>
            </w:r>
          </w:p>
        </w:tc>
        <w:tc>
          <w:tcPr>
            <w:tcW w:w="1350" w:type="dxa"/>
            <w:tcBorders>
              <w:top w:val="single" w:sz="4" w:space="0" w:color="auto"/>
              <w:left w:val="single" w:sz="4" w:space="0" w:color="auto"/>
              <w:bottom w:val="single" w:sz="4" w:space="0" w:color="auto"/>
              <w:right w:val="single" w:sz="4" w:space="0" w:color="auto"/>
            </w:tcBorders>
            <w:shd w:val="clear" w:color="000000" w:fill="4472C4"/>
            <w:vAlign w:val="center"/>
          </w:tcPr>
          <w:p w14:paraId="0D68642E" w14:textId="77777777" w:rsidR="006E2362" w:rsidRPr="002E0BAE" w:rsidRDefault="006E2362" w:rsidP="00CA31B6">
            <w:pPr>
              <w:spacing w:before="0" w:after="0"/>
              <w:jc w:val="center"/>
              <w:rPr>
                <w:rFonts w:ascii="Arial" w:eastAsia="Times New Roman" w:hAnsi="Arial" w:cs="Arial"/>
                <w:b/>
                <w:bCs/>
                <w:color w:val="FFFFFF"/>
                <w:sz w:val="22"/>
                <w:szCs w:val="22"/>
              </w:rPr>
            </w:pPr>
            <w:r w:rsidRPr="002E0BAE">
              <w:rPr>
                <w:rFonts w:ascii="Arial" w:hAnsi="Arial" w:cs="Arial"/>
                <w:b/>
                <w:bCs/>
                <w:color w:val="FFFFFF"/>
                <w:sz w:val="22"/>
                <w:szCs w:val="22"/>
              </w:rPr>
              <w:t>Recons Submitted</w:t>
            </w:r>
          </w:p>
        </w:tc>
        <w:tc>
          <w:tcPr>
            <w:tcW w:w="1260" w:type="dxa"/>
            <w:tcBorders>
              <w:top w:val="single" w:sz="4" w:space="0" w:color="auto"/>
              <w:left w:val="single" w:sz="4" w:space="0" w:color="auto"/>
              <w:bottom w:val="single" w:sz="4" w:space="0" w:color="auto"/>
              <w:right w:val="single" w:sz="4" w:space="0" w:color="auto"/>
            </w:tcBorders>
            <w:shd w:val="clear" w:color="000000" w:fill="4472C4"/>
            <w:vAlign w:val="center"/>
          </w:tcPr>
          <w:p w14:paraId="78D801D6" w14:textId="77777777" w:rsidR="006E2362" w:rsidRPr="002E0BAE" w:rsidRDefault="006E2362" w:rsidP="00CA31B6">
            <w:pPr>
              <w:spacing w:before="0" w:after="0"/>
              <w:jc w:val="center"/>
              <w:rPr>
                <w:rFonts w:ascii="Arial" w:eastAsia="Times New Roman" w:hAnsi="Arial" w:cs="Arial"/>
                <w:b/>
                <w:bCs/>
                <w:color w:val="FFFFFF"/>
                <w:sz w:val="22"/>
                <w:szCs w:val="22"/>
              </w:rPr>
            </w:pPr>
            <w:r w:rsidRPr="002E0BAE">
              <w:rPr>
                <w:rFonts w:ascii="Arial" w:hAnsi="Arial" w:cs="Arial"/>
                <w:b/>
                <w:bCs/>
                <w:color w:val="FFFFFF"/>
                <w:sz w:val="22"/>
                <w:szCs w:val="22"/>
              </w:rPr>
              <w:t>BE Accuracy %</w:t>
            </w:r>
          </w:p>
        </w:tc>
      </w:tr>
      <w:tr w:rsidR="006E2362" w:rsidRPr="002E0BAE" w14:paraId="48391B19" w14:textId="77777777" w:rsidTr="00FB7923">
        <w:trPr>
          <w:trHeight w:val="312"/>
        </w:trPr>
        <w:tc>
          <w:tcPr>
            <w:tcW w:w="1100" w:type="dxa"/>
            <w:vMerge w:val="restart"/>
            <w:tcBorders>
              <w:top w:val="double" w:sz="4" w:space="0" w:color="auto"/>
              <w:left w:val="single" w:sz="8" w:space="0" w:color="auto"/>
              <w:right w:val="single" w:sz="4" w:space="0" w:color="auto"/>
            </w:tcBorders>
            <w:vAlign w:val="center"/>
          </w:tcPr>
          <w:p w14:paraId="4609F90A"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Jul</w:t>
            </w:r>
          </w:p>
        </w:tc>
        <w:tc>
          <w:tcPr>
            <w:tcW w:w="1510"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07A3C303"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Authorization</w:t>
            </w:r>
          </w:p>
        </w:tc>
        <w:tc>
          <w:tcPr>
            <w:tcW w:w="1160" w:type="dxa"/>
            <w:tcBorders>
              <w:top w:val="double" w:sz="4" w:space="0" w:color="auto"/>
              <w:left w:val="nil"/>
              <w:bottom w:val="single" w:sz="4" w:space="0" w:color="auto"/>
              <w:right w:val="single" w:sz="4" w:space="0" w:color="auto"/>
            </w:tcBorders>
            <w:shd w:val="clear" w:color="auto" w:fill="auto"/>
            <w:noWrap/>
            <w:vAlign w:val="center"/>
          </w:tcPr>
          <w:p w14:paraId="307CFD6B"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25</w:t>
            </w:r>
          </w:p>
        </w:tc>
        <w:tc>
          <w:tcPr>
            <w:tcW w:w="1080" w:type="dxa"/>
            <w:tcBorders>
              <w:top w:val="double" w:sz="4" w:space="0" w:color="auto"/>
              <w:left w:val="single" w:sz="4" w:space="0" w:color="auto"/>
              <w:bottom w:val="single" w:sz="4" w:space="0" w:color="auto"/>
              <w:right w:val="single" w:sz="4" w:space="0" w:color="auto"/>
            </w:tcBorders>
            <w:vAlign w:val="center"/>
          </w:tcPr>
          <w:p w14:paraId="4612B59B"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8</w:t>
            </w:r>
          </w:p>
        </w:tc>
        <w:tc>
          <w:tcPr>
            <w:tcW w:w="9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6CDDCF0"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3</w:t>
            </w:r>
          </w:p>
        </w:tc>
        <w:tc>
          <w:tcPr>
            <w:tcW w:w="900" w:type="dxa"/>
            <w:tcBorders>
              <w:top w:val="double" w:sz="4" w:space="0" w:color="auto"/>
              <w:left w:val="single" w:sz="4" w:space="0" w:color="auto"/>
              <w:bottom w:val="single" w:sz="4" w:space="0" w:color="auto"/>
              <w:right w:val="single" w:sz="4" w:space="0" w:color="auto"/>
            </w:tcBorders>
            <w:vAlign w:val="center"/>
          </w:tcPr>
          <w:p w14:paraId="32A1D707"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3</w:t>
            </w:r>
          </w:p>
        </w:tc>
        <w:tc>
          <w:tcPr>
            <w:tcW w:w="1350" w:type="dxa"/>
            <w:tcBorders>
              <w:top w:val="double" w:sz="4" w:space="0" w:color="auto"/>
              <w:left w:val="single" w:sz="4" w:space="0" w:color="auto"/>
              <w:bottom w:val="single" w:sz="4" w:space="0" w:color="auto"/>
              <w:right w:val="single" w:sz="4" w:space="0" w:color="auto"/>
            </w:tcBorders>
            <w:vAlign w:val="center"/>
          </w:tcPr>
          <w:p w14:paraId="05C2FA58"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0</w:t>
            </w:r>
          </w:p>
        </w:tc>
        <w:tc>
          <w:tcPr>
            <w:tcW w:w="1260" w:type="dxa"/>
            <w:tcBorders>
              <w:top w:val="double" w:sz="4" w:space="0" w:color="auto"/>
              <w:left w:val="single" w:sz="4" w:space="0" w:color="auto"/>
              <w:bottom w:val="single" w:sz="4" w:space="0" w:color="auto"/>
              <w:right w:val="single" w:sz="4" w:space="0" w:color="auto"/>
            </w:tcBorders>
            <w:vAlign w:val="center"/>
          </w:tcPr>
          <w:p w14:paraId="240AAA6F"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92%</w:t>
            </w:r>
          </w:p>
        </w:tc>
      </w:tr>
      <w:tr w:rsidR="006E2362" w:rsidRPr="002E0BAE" w14:paraId="0676D0B2" w14:textId="77777777" w:rsidTr="00FB7923">
        <w:trPr>
          <w:trHeight w:val="312"/>
        </w:trPr>
        <w:tc>
          <w:tcPr>
            <w:tcW w:w="1100" w:type="dxa"/>
            <w:vMerge/>
            <w:tcBorders>
              <w:left w:val="single" w:sz="8" w:space="0" w:color="auto"/>
              <w:right w:val="single" w:sz="4" w:space="0" w:color="auto"/>
            </w:tcBorders>
            <w:vAlign w:val="center"/>
          </w:tcPr>
          <w:p w14:paraId="51D15F74" w14:textId="77777777" w:rsidR="006E2362" w:rsidRPr="002E0BAE" w:rsidRDefault="006E2362" w:rsidP="00CA31B6">
            <w:pPr>
              <w:spacing w:before="0" w:after="0"/>
              <w:jc w:val="center"/>
              <w:rPr>
                <w:rFonts w:ascii="Arial" w:eastAsia="Times New Roman" w:hAnsi="Arial" w:cs="Arial"/>
                <w:color w:val="000000"/>
                <w:sz w:val="22"/>
                <w:szCs w:val="22"/>
              </w:rPr>
            </w:pPr>
          </w:p>
        </w:tc>
        <w:tc>
          <w:tcPr>
            <w:tcW w:w="1510" w:type="dxa"/>
            <w:tcBorders>
              <w:top w:val="nil"/>
              <w:left w:val="single" w:sz="8" w:space="0" w:color="auto"/>
              <w:bottom w:val="single" w:sz="4" w:space="0" w:color="auto"/>
              <w:right w:val="single" w:sz="4" w:space="0" w:color="auto"/>
            </w:tcBorders>
            <w:shd w:val="clear" w:color="auto" w:fill="auto"/>
            <w:noWrap/>
            <w:vAlign w:val="center"/>
            <w:hideMark/>
          </w:tcPr>
          <w:p w14:paraId="6847C905"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Rating</w:t>
            </w:r>
          </w:p>
        </w:tc>
        <w:tc>
          <w:tcPr>
            <w:tcW w:w="1160" w:type="dxa"/>
            <w:tcBorders>
              <w:top w:val="nil"/>
              <w:left w:val="nil"/>
              <w:bottom w:val="single" w:sz="4" w:space="0" w:color="auto"/>
              <w:right w:val="single" w:sz="4" w:space="0" w:color="auto"/>
            </w:tcBorders>
            <w:shd w:val="clear" w:color="auto" w:fill="auto"/>
            <w:noWrap/>
            <w:vAlign w:val="center"/>
          </w:tcPr>
          <w:p w14:paraId="24F7A387"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22</w:t>
            </w:r>
          </w:p>
        </w:tc>
        <w:tc>
          <w:tcPr>
            <w:tcW w:w="1080" w:type="dxa"/>
            <w:tcBorders>
              <w:top w:val="single" w:sz="4" w:space="0" w:color="auto"/>
              <w:left w:val="single" w:sz="4" w:space="0" w:color="auto"/>
              <w:bottom w:val="single" w:sz="4" w:space="0" w:color="auto"/>
              <w:right w:val="single" w:sz="4" w:space="0" w:color="auto"/>
            </w:tcBorders>
            <w:vAlign w:val="center"/>
          </w:tcPr>
          <w:p w14:paraId="4B493C4C"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B09AC"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4</w:t>
            </w:r>
          </w:p>
        </w:tc>
        <w:tc>
          <w:tcPr>
            <w:tcW w:w="900" w:type="dxa"/>
            <w:tcBorders>
              <w:top w:val="single" w:sz="4" w:space="0" w:color="auto"/>
              <w:left w:val="single" w:sz="4" w:space="0" w:color="auto"/>
              <w:bottom w:val="single" w:sz="4" w:space="0" w:color="auto"/>
              <w:right w:val="single" w:sz="4" w:space="0" w:color="auto"/>
            </w:tcBorders>
            <w:vAlign w:val="center"/>
          </w:tcPr>
          <w:p w14:paraId="7DCEF20F"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1</w:t>
            </w:r>
          </w:p>
        </w:tc>
        <w:tc>
          <w:tcPr>
            <w:tcW w:w="1350" w:type="dxa"/>
            <w:tcBorders>
              <w:top w:val="nil"/>
              <w:left w:val="single" w:sz="4" w:space="0" w:color="auto"/>
              <w:bottom w:val="single" w:sz="4" w:space="0" w:color="auto"/>
              <w:right w:val="single" w:sz="4" w:space="0" w:color="auto"/>
            </w:tcBorders>
            <w:vAlign w:val="center"/>
          </w:tcPr>
          <w:p w14:paraId="07291CD8"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2</w:t>
            </w:r>
          </w:p>
        </w:tc>
        <w:tc>
          <w:tcPr>
            <w:tcW w:w="1260" w:type="dxa"/>
            <w:tcBorders>
              <w:top w:val="nil"/>
              <w:left w:val="single" w:sz="4" w:space="0" w:color="auto"/>
              <w:bottom w:val="single" w:sz="4" w:space="0" w:color="auto"/>
              <w:right w:val="single" w:sz="4" w:space="0" w:color="auto"/>
            </w:tcBorders>
            <w:vAlign w:val="center"/>
          </w:tcPr>
          <w:p w14:paraId="4F443374"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95.45%</w:t>
            </w:r>
          </w:p>
        </w:tc>
      </w:tr>
      <w:tr w:rsidR="006E2362" w:rsidRPr="002E0BAE" w14:paraId="7C08BC3B" w14:textId="77777777" w:rsidTr="00FB7923">
        <w:trPr>
          <w:trHeight w:val="324"/>
        </w:trPr>
        <w:tc>
          <w:tcPr>
            <w:tcW w:w="1100" w:type="dxa"/>
            <w:vMerge/>
            <w:tcBorders>
              <w:left w:val="single" w:sz="8" w:space="0" w:color="auto"/>
              <w:bottom w:val="triple" w:sz="4" w:space="0" w:color="auto"/>
              <w:right w:val="single" w:sz="4" w:space="0" w:color="auto"/>
            </w:tcBorders>
            <w:shd w:val="clear" w:color="auto" w:fill="A6A6A6" w:themeFill="background1" w:themeFillShade="A6"/>
            <w:vAlign w:val="center"/>
          </w:tcPr>
          <w:p w14:paraId="1730F131" w14:textId="77777777" w:rsidR="006E2362" w:rsidRPr="002E0BAE" w:rsidRDefault="006E2362" w:rsidP="00CA31B6">
            <w:pPr>
              <w:spacing w:before="0" w:after="0"/>
              <w:jc w:val="center"/>
              <w:rPr>
                <w:rFonts w:ascii="Arial" w:eastAsia="Times New Roman" w:hAnsi="Arial" w:cs="Arial"/>
                <w:color w:val="000000"/>
                <w:sz w:val="22"/>
                <w:szCs w:val="22"/>
              </w:rPr>
            </w:pPr>
          </w:p>
        </w:tc>
        <w:tc>
          <w:tcPr>
            <w:tcW w:w="1510" w:type="dxa"/>
            <w:tcBorders>
              <w:top w:val="single" w:sz="4" w:space="0" w:color="auto"/>
              <w:left w:val="single" w:sz="8" w:space="0" w:color="auto"/>
              <w:bottom w:val="triple" w:sz="4" w:space="0" w:color="auto"/>
              <w:right w:val="single" w:sz="4" w:space="0" w:color="auto"/>
            </w:tcBorders>
            <w:shd w:val="clear" w:color="auto" w:fill="BFBFBF" w:themeFill="background1" w:themeFillShade="BF"/>
            <w:vAlign w:val="center"/>
            <w:hideMark/>
          </w:tcPr>
          <w:p w14:paraId="4BA1A4F0"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Total</w:t>
            </w:r>
          </w:p>
        </w:tc>
        <w:tc>
          <w:tcPr>
            <w:tcW w:w="1160" w:type="dxa"/>
            <w:tcBorders>
              <w:top w:val="single" w:sz="4" w:space="0" w:color="auto"/>
              <w:left w:val="nil"/>
              <w:bottom w:val="triple" w:sz="4" w:space="0" w:color="auto"/>
              <w:right w:val="single" w:sz="4" w:space="0" w:color="auto"/>
            </w:tcBorders>
            <w:shd w:val="clear" w:color="auto" w:fill="BFBFBF" w:themeFill="background1" w:themeFillShade="BF"/>
            <w:noWrap/>
            <w:vAlign w:val="center"/>
          </w:tcPr>
          <w:p w14:paraId="1341779D"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hAnsi="Arial" w:cs="Arial"/>
                <w:b/>
                <w:bCs/>
                <w:color w:val="000000"/>
                <w:sz w:val="22"/>
                <w:szCs w:val="22"/>
              </w:rPr>
              <w:t>47</w:t>
            </w:r>
          </w:p>
        </w:tc>
        <w:tc>
          <w:tcPr>
            <w:tcW w:w="1080" w:type="dxa"/>
            <w:tcBorders>
              <w:top w:val="single" w:sz="4" w:space="0" w:color="auto"/>
              <w:left w:val="single" w:sz="4" w:space="0" w:color="auto"/>
              <w:bottom w:val="triple" w:sz="4" w:space="0" w:color="auto"/>
              <w:right w:val="single" w:sz="4" w:space="0" w:color="auto"/>
            </w:tcBorders>
            <w:shd w:val="clear" w:color="auto" w:fill="BFBFBF" w:themeFill="background1" w:themeFillShade="BF"/>
            <w:vAlign w:val="center"/>
          </w:tcPr>
          <w:p w14:paraId="51966F24"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eastAsia="Times New Roman" w:hAnsi="Arial" w:cs="Arial"/>
                <w:b/>
                <w:bCs/>
                <w:color w:val="000000"/>
                <w:sz w:val="22"/>
                <w:szCs w:val="22"/>
              </w:rPr>
              <w:t>13</w:t>
            </w:r>
          </w:p>
        </w:tc>
        <w:tc>
          <w:tcPr>
            <w:tcW w:w="990" w:type="dxa"/>
            <w:tcBorders>
              <w:top w:val="single" w:sz="4" w:space="0" w:color="auto"/>
              <w:left w:val="single" w:sz="4" w:space="0" w:color="auto"/>
              <w:bottom w:val="triple" w:sz="4" w:space="0" w:color="auto"/>
              <w:right w:val="single" w:sz="4" w:space="0" w:color="auto"/>
            </w:tcBorders>
            <w:shd w:val="clear" w:color="auto" w:fill="BFBFBF" w:themeFill="background1" w:themeFillShade="BF"/>
            <w:noWrap/>
            <w:vAlign w:val="center"/>
          </w:tcPr>
          <w:p w14:paraId="13329F42"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eastAsia="Times New Roman" w:hAnsi="Arial" w:cs="Arial"/>
                <w:b/>
                <w:bCs/>
                <w:color w:val="000000"/>
                <w:sz w:val="22"/>
                <w:szCs w:val="22"/>
              </w:rPr>
              <w:t>7</w:t>
            </w:r>
          </w:p>
        </w:tc>
        <w:tc>
          <w:tcPr>
            <w:tcW w:w="900" w:type="dxa"/>
            <w:tcBorders>
              <w:top w:val="single" w:sz="4" w:space="0" w:color="auto"/>
              <w:left w:val="single" w:sz="4" w:space="0" w:color="auto"/>
              <w:bottom w:val="triple" w:sz="4" w:space="0" w:color="auto"/>
              <w:right w:val="single" w:sz="4" w:space="0" w:color="auto"/>
            </w:tcBorders>
            <w:shd w:val="clear" w:color="auto" w:fill="BFBFBF" w:themeFill="background1" w:themeFillShade="BF"/>
            <w:vAlign w:val="center"/>
          </w:tcPr>
          <w:p w14:paraId="18145F07"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eastAsia="Times New Roman" w:hAnsi="Arial" w:cs="Arial"/>
                <w:b/>
                <w:bCs/>
                <w:color w:val="000000"/>
                <w:sz w:val="22"/>
                <w:szCs w:val="22"/>
              </w:rPr>
              <w:t>4</w:t>
            </w:r>
          </w:p>
        </w:tc>
        <w:tc>
          <w:tcPr>
            <w:tcW w:w="1350" w:type="dxa"/>
            <w:tcBorders>
              <w:top w:val="single" w:sz="4" w:space="0" w:color="auto"/>
              <w:left w:val="single" w:sz="4" w:space="0" w:color="auto"/>
              <w:bottom w:val="triple" w:sz="4" w:space="0" w:color="auto"/>
              <w:right w:val="single" w:sz="4" w:space="0" w:color="auto"/>
            </w:tcBorders>
            <w:shd w:val="clear" w:color="auto" w:fill="BFBFBF" w:themeFill="background1" w:themeFillShade="BF"/>
            <w:vAlign w:val="center"/>
          </w:tcPr>
          <w:p w14:paraId="608E3DEC"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eastAsia="Times New Roman" w:hAnsi="Arial" w:cs="Arial"/>
                <w:b/>
                <w:bCs/>
                <w:color w:val="000000"/>
                <w:sz w:val="22"/>
                <w:szCs w:val="22"/>
              </w:rPr>
              <w:t>2</w:t>
            </w:r>
          </w:p>
        </w:tc>
        <w:tc>
          <w:tcPr>
            <w:tcW w:w="1260" w:type="dxa"/>
            <w:tcBorders>
              <w:top w:val="single" w:sz="4" w:space="0" w:color="auto"/>
              <w:left w:val="single" w:sz="4" w:space="0" w:color="auto"/>
              <w:bottom w:val="triple" w:sz="4" w:space="0" w:color="auto"/>
              <w:right w:val="single" w:sz="4" w:space="0" w:color="auto"/>
            </w:tcBorders>
            <w:shd w:val="clear" w:color="auto" w:fill="BFBFBF" w:themeFill="background1" w:themeFillShade="BF"/>
            <w:vAlign w:val="center"/>
          </w:tcPr>
          <w:p w14:paraId="4BEA7148"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hAnsi="Arial" w:cs="Arial"/>
                <w:b/>
                <w:bCs/>
                <w:color w:val="000000"/>
                <w:sz w:val="22"/>
                <w:szCs w:val="22"/>
              </w:rPr>
              <w:t> </w:t>
            </w:r>
          </w:p>
        </w:tc>
      </w:tr>
      <w:tr w:rsidR="006E2362" w:rsidRPr="002E0BAE" w14:paraId="0687B8A8" w14:textId="77777777" w:rsidTr="00FB7923">
        <w:trPr>
          <w:trHeight w:val="324"/>
        </w:trPr>
        <w:tc>
          <w:tcPr>
            <w:tcW w:w="1100" w:type="dxa"/>
            <w:vMerge w:val="restart"/>
            <w:tcBorders>
              <w:top w:val="triple" w:sz="4" w:space="0" w:color="auto"/>
              <w:left w:val="single" w:sz="8" w:space="0" w:color="auto"/>
              <w:right w:val="single" w:sz="4" w:space="0" w:color="auto"/>
            </w:tcBorders>
            <w:shd w:val="clear" w:color="auto" w:fill="auto"/>
            <w:vAlign w:val="center"/>
          </w:tcPr>
          <w:p w14:paraId="762A24E8"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Aug</w:t>
            </w:r>
          </w:p>
        </w:tc>
        <w:tc>
          <w:tcPr>
            <w:tcW w:w="1510" w:type="dxa"/>
            <w:tcBorders>
              <w:top w:val="triple" w:sz="4" w:space="0" w:color="auto"/>
              <w:left w:val="single" w:sz="8" w:space="0" w:color="auto"/>
              <w:bottom w:val="single" w:sz="8" w:space="0" w:color="auto"/>
              <w:right w:val="single" w:sz="4" w:space="0" w:color="auto"/>
            </w:tcBorders>
            <w:shd w:val="clear" w:color="auto" w:fill="auto"/>
            <w:vAlign w:val="center"/>
            <w:hideMark/>
          </w:tcPr>
          <w:p w14:paraId="49D6D3B0"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Authorization</w:t>
            </w:r>
          </w:p>
        </w:tc>
        <w:tc>
          <w:tcPr>
            <w:tcW w:w="1160" w:type="dxa"/>
            <w:tcBorders>
              <w:top w:val="triple" w:sz="4" w:space="0" w:color="auto"/>
              <w:left w:val="nil"/>
              <w:bottom w:val="single" w:sz="8" w:space="0" w:color="auto"/>
              <w:right w:val="single" w:sz="4" w:space="0" w:color="auto"/>
            </w:tcBorders>
            <w:shd w:val="clear" w:color="auto" w:fill="auto"/>
            <w:noWrap/>
            <w:vAlign w:val="center"/>
          </w:tcPr>
          <w:p w14:paraId="5183E712"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25</w:t>
            </w:r>
          </w:p>
        </w:tc>
        <w:tc>
          <w:tcPr>
            <w:tcW w:w="1080" w:type="dxa"/>
            <w:tcBorders>
              <w:top w:val="triple" w:sz="4" w:space="0" w:color="auto"/>
              <w:left w:val="single" w:sz="4" w:space="0" w:color="auto"/>
              <w:bottom w:val="single" w:sz="4" w:space="0" w:color="auto"/>
              <w:right w:val="single" w:sz="4" w:space="0" w:color="auto"/>
            </w:tcBorders>
            <w:vAlign w:val="center"/>
          </w:tcPr>
          <w:p w14:paraId="4C44791A"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3</w:t>
            </w:r>
          </w:p>
        </w:tc>
        <w:tc>
          <w:tcPr>
            <w:tcW w:w="990" w:type="dxa"/>
            <w:tcBorders>
              <w:top w:val="triple" w:sz="4" w:space="0" w:color="auto"/>
              <w:left w:val="single" w:sz="4" w:space="0" w:color="auto"/>
              <w:bottom w:val="single" w:sz="4" w:space="0" w:color="auto"/>
              <w:right w:val="single" w:sz="4" w:space="0" w:color="auto"/>
            </w:tcBorders>
            <w:shd w:val="clear" w:color="auto" w:fill="auto"/>
            <w:noWrap/>
            <w:vAlign w:val="center"/>
          </w:tcPr>
          <w:p w14:paraId="79E6B2EF"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3</w:t>
            </w:r>
          </w:p>
        </w:tc>
        <w:tc>
          <w:tcPr>
            <w:tcW w:w="900" w:type="dxa"/>
            <w:tcBorders>
              <w:top w:val="triple" w:sz="4" w:space="0" w:color="auto"/>
              <w:left w:val="single" w:sz="4" w:space="0" w:color="auto"/>
              <w:bottom w:val="single" w:sz="4" w:space="0" w:color="auto"/>
              <w:right w:val="single" w:sz="4" w:space="0" w:color="auto"/>
            </w:tcBorders>
            <w:vAlign w:val="center"/>
          </w:tcPr>
          <w:p w14:paraId="226B6885"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0</w:t>
            </w:r>
          </w:p>
        </w:tc>
        <w:tc>
          <w:tcPr>
            <w:tcW w:w="1350" w:type="dxa"/>
            <w:tcBorders>
              <w:top w:val="triple" w:sz="4" w:space="0" w:color="auto"/>
              <w:left w:val="single" w:sz="4" w:space="0" w:color="auto"/>
              <w:bottom w:val="single" w:sz="8" w:space="0" w:color="auto"/>
              <w:right w:val="single" w:sz="4" w:space="0" w:color="auto"/>
            </w:tcBorders>
            <w:vAlign w:val="center"/>
          </w:tcPr>
          <w:p w14:paraId="0D958D29"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1</w:t>
            </w:r>
          </w:p>
        </w:tc>
        <w:tc>
          <w:tcPr>
            <w:tcW w:w="1260" w:type="dxa"/>
            <w:tcBorders>
              <w:top w:val="triple" w:sz="4" w:space="0" w:color="auto"/>
              <w:left w:val="single" w:sz="4" w:space="0" w:color="auto"/>
              <w:bottom w:val="single" w:sz="8" w:space="0" w:color="auto"/>
              <w:right w:val="single" w:sz="4" w:space="0" w:color="auto"/>
            </w:tcBorders>
            <w:vAlign w:val="center"/>
          </w:tcPr>
          <w:p w14:paraId="3D552560"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100%</w:t>
            </w:r>
          </w:p>
        </w:tc>
      </w:tr>
      <w:tr w:rsidR="006E2362" w:rsidRPr="002E0BAE" w14:paraId="5FFA6C71" w14:textId="77777777" w:rsidTr="00FB7923">
        <w:trPr>
          <w:trHeight w:val="324"/>
        </w:trPr>
        <w:tc>
          <w:tcPr>
            <w:tcW w:w="1100" w:type="dxa"/>
            <w:vMerge/>
            <w:tcBorders>
              <w:left w:val="single" w:sz="8" w:space="0" w:color="auto"/>
              <w:right w:val="single" w:sz="4" w:space="0" w:color="auto"/>
            </w:tcBorders>
            <w:shd w:val="clear" w:color="auto" w:fill="auto"/>
            <w:vAlign w:val="center"/>
          </w:tcPr>
          <w:p w14:paraId="1FC3C446" w14:textId="77777777" w:rsidR="006E2362" w:rsidRPr="002E0BAE" w:rsidRDefault="006E2362" w:rsidP="00CA31B6">
            <w:pPr>
              <w:spacing w:before="0" w:after="0"/>
              <w:jc w:val="center"/>
              <w:rPr>
                <w:rFonts w:ascii="Arial" w:eastAsia="Times New Roman" w:hAnsi="Arial" w:cs="Arial"/>
                <w:color w:val="000000"/>
                <w:sz w:val="22"/>
                <w:szCs w:val="22"/>
              </w:rPr>
            </w:pPr>
          </w:p>
        </w:tc>
        <w:tc>
          <w:tcPr>
            <w:tcW w:w="1510" w:type="dxa"/>
            <w:tcBorders>
              <w:top w:val="nil"/>
              <w:left w:val="single" w:sz="8" w:space="0" w:color="auto"/>
              <w:bottom w:val="single" w:sz="8" w:space="0" w:color="auto"/>
              <w:right w:val="single" w:sz="4" w:space="0" w:color="auto"/>
            </w:tcBorders>
            <w:shd w:val="clear" w:color="auto" w:fill="auto"/>
            <w:vAlign w:val="center"/>
            <w:hideMark/>
          </w:tcPr>
          <w:p w14:paraId="344D7098"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Rating</w:t>
            </w:r>
          </w:p>
        </w:tc>
        <w:tc>
          <w:tcPr>
            <w:tcW w:w="1160" w:type="dxa"/>
            <w:tcBorders>
              <w:top w:val="nil"/>
              <w:left w:val="nil"/>
              <w:bottom w:val="single" w:sz="8" w:space="0" w:color="auto"/>
              <w:right w:val="single" w:sz="4" w:space="0" w:color="auto"/>
            </w:tcBorders>
            <w:shd w:val="clear" w:color="auto" w:fill="auto"/>
            <w:noWrap/>
            <w:vAlign w:val="center"/>
          </w:tcPr>
          <w:p w14:paraId="19E555C8"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22</w:t>
            </w:r>
          </w:p>
        </w:tc>
        <w:tc>
          <w:tcPr>
            <w:tcW w:w="1080" w:type="dxa"/>
            <w:tcBorders>
              <w:top w:val="single" w:sz="4" w:space="0" w:color="auto"/>
              <w:left w:val="single" w:sz="4" w:space="0" w:color="auto"/>
              <w:bottom w:val="single" w:sz="4" w:space="0" w:color="auto"/>
              <w:right w:val="single" w:sz="4" w:space="0" w:color="auto"/>
            </w:tcBorders>
            <w:vAlign w:val="center"/>
          </w:tcPr>
          <w:p w14:paraId="0E1895FA"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E53C3"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8</w:t>
            </w:r>
          </w:p>
        </w:tc>
        <w:tc>
          <w:tcPr>
            <w:tcW w:w="900" w:type="dxa"/>
            <w:tcBorders>
              <w:top w:val="single" w:sz="4" w:space="0" w:color="auto"/>
              <w:left w:val="single" w:sz="4" w:space="0" w:color="auto"/>
              <w:bottom w:val="single" w:sz="4" w:space="0" w:color="auto"/>
              <w:right w:val="single" w:sz="4" w:space="0" w:color="auto"/>
            </w:tcBorders>
            <w:vAlign w:val="center"/>
          </w:tcPr>
          <w:p w14:paraId="522045AB"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2</w:t>
            </w:r>
          </w:p>
        </w:tc>
        <w:tc>
          <w:tcPr>
            <w:tcW w:w="1350" w:type="dxa"/>
            <w:tcBorders>
              <w:top w:val="nil"/>
              <w:left w:val="single" w:sz="4" w:space="0" w:color="auto"/>
              <w:bottom w:val="single" w:sz="8" w:space="0" w:color="auto"/>
              <w:right w:val="single" w:sz="4" w:space="0" w:color="auto"/>
            </w:tcBorders>
            <w:vAlign w:val="center"/>
          </w:tcPr>
          <w:p w14:paraId="3B1D8531"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0</w:t>
            </w:r>
          </w:p>
        </w:tc>
        <w:tc>
          <w:tcPr>
            <w:tcW w:w="1260" w:type="dxa"/>
            <w:tcBorders>
              <w:top w:val="nil"/>
              <w:left w:val="single" w:sz="4" w:space="0" w:color="auto"/>
              <w:bottom w:val="single" w:sz="8" w:space="0" w:color="auto"/>
              <w:right w:val="single" w:sz="4" w:space="0" w:color="auto"/>
            </w:tcBorders>
            <w:vAlign w:val="center"/>
          </w:tcPr>
          <w:p w14:paraId="768B7AFE"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eastAsia="Times New Roman" w:hAnsi="Arial" w:cs="Arial"/>
                <w:color w:val="000000"/>
                <w:sz w:val="22"/>
                <w:szCs w:val="22"/>
              </w:rPr>
              <w:t>90.91%</w:t>
            </w:r>
          </w:p>
        </w:tc>
      </w:tr>
      <w:tr w:rsidR="006E2362" w:rsidRPr="002E0BAE" w14:paraId="17C8157A" w14:textId="77777777" w:rsidTr="00FB7923">
        <w:trPr>
          <w:trHeight w:val="324"/>
        </w:trPr>
        <w:tc>
          <w:tcPr>
            <w:tcW w:w="1100" w:type="dxa"/>
            <w:vMerge/>
            <w:tcBorders>
              <w:left w:val="single" w:sz="8" w:space="0" w:color="auto"/>
              <w:bottom w:val="single" w:sz="8" w:space="0" w:color="auto"/>
              <w:right w:val="single" w:sz="4" w:space="0" w:color="auto"/>
            </w:tcBorders>
            <w:shd w:val="clear" w:color="auto" w:fill="A6A6A6" w:themeFill="background1" w:themeFillShade="A6"/>
            <w:vAlign w:val="center"/>
          </w:tcPr>
          <w:p w14:paraId="251F02CB" w14:textId="77777777" w:rsidR="006E2362" w:rsidRPr="002E0BAE" w:rsidRDefault="006E2362" w:rsidP="00CA31B6">
            <w:pPr>
              <w:spacing w:before="0" w:after="0"/>
              <w:jc w:val="center"/>
              <w:rPr>
                <w:rFonts w:ascii="Arial" w:eastAsia="Times New Roman" w:hAnsi="Arial" w:cs="Arial"/>
                <w:color w:val="000000"/>
                <w:sz w:val="22"/>
                <w:szCs w:val="22"/>
              </w:rPr>
            </w:pPr>
          </w:p>
        </w:tc>
        <w:tc>
          <w:tcPr>
            <w:tcW w:w="1510" w:type="dxa"/>
            <w:tcBorders>
              <w:top w:val="nil"/>
              <w:left w:val="single" w:sz="8" w:space="0" w:color="auto"/>
              <w:bottom w:val="single" w:sz="8" w:space="0" w:color="auto"/>
              <w:right w:val="single" w:sz="4" w:space="0" w:color="auto"/>
            </w:tcBorders>
            <w:shd w:val="clear" w:color="auto" w:fill="BFBFBF" w:themeFill="background1" w:themeFillShade="BF"/>
            <w:vAlign w:val="center"/>
            <w:hideMark/>
          </w:tcPr>
          <w:p w14:paraId="31BAF41F" w14:textId="77777777" w:rsidR="006E2362" w:rsidRPr="002E0BAE" w:rsidRDefault="006E2362" w:rsidP="00CA31B6">
            <w:pPr>
              <w:spacing w:before="0" w:after="0"/>
              <w:jc w:val="center"/>
              <w:rPr>
                <w:rFonts w:ascii="Arial" w:eastAsia="Times New Roman" w:hAnsi="Arial" w:cs="Arial"/>
                <w:color w:val="000000"/>
                <w:sz w:val="22"/>
                <w:szCs w:val="22"/>
              </w:rPr>
            </w:pPr>
            <w:r w:rsidRPr="002E0BAE">
              <w:rPr>
                <w:rFonts w:ascii="Arial" w:hAnsi="Arial" w:cs="Arial"/>
                <w:color w:val="000000"/>
                <w:sz w:val="22"/>
                <w:szCs w:val="22"/>
              </w:rPr>
              <w:t>Total</w:t>
            </w:r>
          </w:p>
        </w:tc>
        <w:tc>
          <w:tcPr>
            <w:tcW w:w="1160" w:type="dxa"/>
            <w:tcBorders>
              <w:top w:val="nil"/>
              <w:left w:val="nil"/>
              <w:bottom w:val="single" w:sz="8" w:space="0" w:color="auto"/>
              <w:right w:val="single" w:sz="4" w:space="0" w:color="auto"/>
            </w:tcBorders>
            <w:shd w:val="clear" w:color="auto" w:fill="BFBFBF" w:themeFill="background1" w:themeFillShade="BF"/>
            <w:noWrap/>
            <w:vAlign w:val="center"/>
          </w:tcPr>
          <w:p w14:paraId="6C3422F3"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hAnsi="Arial" w:cs="Arial"/>
                <w:b/>
                <w:bCs/>
                <w:color w:val="000000"/>
                <w:sz w:val="22"/>
                <w:szCs w:val="22"/>
              </w:rPr>
              <w:t>47</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2DAE61"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eastAsia="Times New Roman" w:hAnsi="Arial" w:cs="Arial"/>
                <w:b/>
                <w:bCs/>
                <w:color w:val="000000"/>
                <w:sz w:val="22"/>
                <w:szCs w:val="22"/>
              </w:rPr>
              <w:t>14</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877A82"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eastAsia="Times New Roman" w:hAnsi="Arial" w:cs="Arial"/>
                <w:b/>
                <w:bCs/>
                <w:color w:val="000000"/>
                <w:sz w:val="22"/>
                <w:szCs w:val="22"/>
              </w:rPr>
              <w:t>11</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739AB4"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eastAsia="Times New Roman" w:hAnsi="Arial" w:cs="Arial"/>
                <w:b/>
                <w:bCs/>
                <w:color w:val="000000"/>
                <w:sz w:val="22"/>
                <w:szCs w:val="22"/>
              </w:rPr>
              <w:t>2</w:t>
            </w:r>
          </w:p>
        </w:tc>
        <w:tc>
          <w:tcPr>
            <w:tcW w:w="1350"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4402BE30"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eastAsia="Times New Roman" w:hAnsi="Arial" w:cs="Arial"/>
                <w:b/>
                <w:bCs/>
                <w:color w:val="000000"/>
                <w:sz w:val="22"/>
                <w:szCs w:val="22"/>
              </w:rPr>
              <w:t>1</w:t>
            </w:r>
          </w:p>
        </w:tc>
        <w:tc>
          <w:tcPr>
            <w:tcW w:w="1260"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8470643" w14:textId="77777777" w:rsidR="006E2362" w:rsidRPr="002E0BAE" w:rsidRDefault="006E2362" w:rsidP="00CA31B6">
            <w:pPr>
              <w:spacing w:before="0" w:after="0"/>
              <w:jc w:val="center"/>
              <w:rPr>
                <w:rFonts w:ascii="Arial" w:eastAsia="Times New Roman" w:hAnsi="Arial" w:cs="Arial"/>
                <w:b/>
                <w:bCs/>
                <w:color w:val="000000"/>
                <w:sz w:val="22"/>
                <w:szCs w:val="22"/>
              </w:rPr>
            </w:pPr>
            <w:r w:rsidRPr="002E0BAE">
              <w:rPr>
                <w:rFonts w:ascii="Arial" w:hAnsi="Arial" w:cs="Arial"/>
                <w:b/>
                <w:bCs/>
                <w:color w:val="000000"/>
                <w:sz w:val="22"/>
                <w:szCs w:val="22"/>
              </w:rPr>
              <w:t> </w:t>
            </w:r>
          </w:p>
        </w:tc>
      </w:tr>
    </w:tbl>
    <w:p w14:paraId="71ECBAB1" w14:textId="77777777" w:rsidR="006E2362" w:rsidRPr="002E0BAE" w:rsidRDefault="006E2362" w:rsidP="00CA31B6">
      <w:pPr>
        <w:autoSpaceDE w:val="0"/>
        <w:autoSpaceDN w:val="0"/>
        <w:adjustRightInd w:val="0"/>
        <w:spacing w:before="0" w:after="0"/>
        <w:rPr>
          <w:rFonts w:ascii="Arial" w:hAnsi="Arial" w:cs="Arial"/>
          <w:sz w:val="24"/>
          <w:szCs w:val="24"/>
        </w:rPr>
      </w:pPr>
    </w:p>
    <w:p w14:paraId="21C2FC2F" w14:textId="77777777" w:rsidR="006E2362" w:rsidRPr="002E0BAE" w:rsidRDefault="006E2362" w:rsidP="00CA31B6">
      <w:pPr>
        <w:autoSpaceDE w:val="0"/>
        <w:autoSpaceDN w:val="0"/>
        <w:adjustRightInd w:val="0"/>
        <w:spacing w:before="0" w:after="0"/>
        <w:rPr>
          <w:rFonts w:ascii="Arial" w:hAnsi="Arial" w:cs="Arial"/>
          <w:sz w:val="24"/>
          <w:szCs w:val="24"/>
        </w:rPr>
      </w:pPr>
      <w:r w:rsidRPr="002E0BAE">
        <w:rPr>
          <w:rFonts w:ascii="Arial" w:hAnsi="Arial" w:cs="Arial"/>
          <w:sz w:val="24"/>
          <w:szCs w:val="24"/>
        </w:rPr>
        <w:t xml:space="preserve">Out of a total of </w:t>
      </w:r>
      <w:r w:rsidRPr="002E0BAE">
        <w:rPr>
          <w:rFonts w:ascii="Arial" w:hAnsi="Arial" w:cs="Arial"/>
          <w:b/>
          <w:bCs/>
          <w:sz w:val="24"/>
          <w:szCs w:val="24"/>
        </w:rPr>
        <w:t>94</w:t>
      </w:r>
      <w:r w:rsidRPr="002E0BAE">
        <w:rPr>
          <w:rFonts w:ascii="Arial" w:hAnsi="Arial" w:cs="Arial"/>
          <w:sz w:val="24"/>
          <w:szCs w:val="24"/>
        </w:rPr>
        <w:t xml:space="preserve"> claims reviewed for quality, </w:t>
      </w:r>
      <w:r w:rsidRPr="002E0BAE">
        <w:rPr>
          <w:rFonts w:ascii="Arial" w:hAnsi="Arial" w:cs="Arial"/>
          <w:b/>
          <w:bCs/>
          <w:sz w:val="24"/>
          <w:szCs w:val="24"/>
        </w:rPr>
        <w:t>18</w:t>
      </w:r>
      <w:r w:rsidRPr="002E0BAE">
        <w:rPr>
          <w:rFonts w:ascii="Arial" w:hAnsi="Arial" w:cs="Arial"/>
          <w:sz w:val="24"/>
          <w:szCs w:val="24"/>
        </w:rPr>
        <w:t xml:space="preserve"> claims had a total of </w:t>
      </w:r>
      <w:r w:rsidRPr="002E0BAE">
        <w:rPr>
          <w:rFonts w:ascii="Arial" w:hAnsi="Arial" w:cs="Arial"/>
          <w:b/>
          <w:bCs/>
          <w:sz w:val="24"/>
          <w:szCs w:val="24"/>
        </w:rPr>
        <w:t>27</w:t>
      </w:r>
      <w:r w:rsidRPr="002E0BAE">
        <w:rPr>
          <w:rFonts w:ascii="Arial" w:hAnsi="Arial" w:cs="Arial"/>
          <w:sz w:val="24"/>
          <w:szCs w:val="24"/>
        </w:rPr>
        <w:t xml:space="preserve"> errors cited; </w:t>
      </w:r>
      <w:r w:rsidRPr="002E0BAE">
        <w:rPr>
          <w:rFonts w:ascii="Arial" w:hAnsi="Arial" w:cs="Arial"/>
          <w:b/>
          <w:bCs/>
          <w:sz w:val="24"/>
          <w:szCs w:val="24"/>
        </w:rPr>
        <w:t>6</w:t>
      </w:r>
      <w:r w:rsidRPr="002E0BAE">
        <w:rPr>
          <w:rFonts w:ascii="Arial" w:hAnsi="Arial" w:cs="Arial"/>
          <w:sz w:val="24"/>
          <w:szCs w:val="24"/>
        </w:rPr>
        <w:t xml:space="preserve"> of those claims had BE errors. </w:t>
      </w:r>
    </w:p>
    <w:p w14:paraId="50514F7F" w14:textId="77777777" w:rsidR="006E2362" w:rsidRPr="002E0BAE" w:rsidRDefault="006E2362" w:rsidP="00CA31B6">
      <w:pPr>
        <w:autoSpaceDE w:val="0"/>
        <w:autoSpaceDN w:val="0"/>
        <w:adjustRightInd w:val="0"/>
        <w:spacing w:before="0" w:after="0"/>
        <w:rPr>
          <w:rFonts w:ascii="Arial" w:hAnsi="Arial" w:cs="Arial"/>
          <w:sz w:val="24"/>
          <w:szCs w:val="24"/>
        </w:rPr>
      </w:pPr>
    </w:p>
    <w:p w14:paraId="5A638C5C" w14:textId="77777777" w:rsidR="006E2362" w:rsidRPr="002E0BAE" w:rsidRDefault="006E2362" w:rsidP="00CA31B6">
      <w:pPr>
        <w:autoSpaceDE w:val="0"/>
        <w:autoSpaceDN w:val="0"/>
        <w:adjustRightInd w:val="0"/>
        <w:spacing w:before="0" w:after="0"/>
        <w:rPr>
          <w:rFonts w:ascii="Arial" w:hAnsi="Arial" w:cs="Arial"/>
          <w:sz w:val="24"/>
          <w:szCs w:val="24"/>
        </w:rPr>
      </w:pPr>
      <w:r w:rsidRPr="002E0BAE">
        <w:rPr>
          <w:rFonts w:ascii="Arial" w:hAnsi="Arial" w:cs="Arial"/>
          <w:b/>
          <w:bCs/>
          <w:sz w:val="24"/>
          <w:szCs w:val="24"/>
        </w:rPr>
        <w:t>3</w:t>
      </w:r>
      <w:r w:rsidRPr="002E0BAE">
        <w:rPr>
          <w:rFonts w:ascii="Arial" w:hAnsi="Arial" w:cs="Arial"/>
          <w:sz w:val="24"/>
          <w:szCs w:val="24"/>
        </w:rPr>
        <w:t xml:space="preserve"> reconsiderations (recons) were submitted. One non-BE recon was upheld, two are still pending.</w:t>
      </w:r>
    </w:p>
    <w:p w14:paraId="380C7B5E" w14:textId="77777777" w:rsidR="006E2362" w:rsidRPr="002E0BAE" w:rsidRDefault="006E2362" w:rsidP="00CA31B6">
      <w:pPr>
        <w:autoSpaceDE w:val="0"/>
        <w:autoSpaceDN w:val="0"/>
        <w:adjustRightInd w:val="0"/>
        <w:spacing w:before="0" w:after="0"/>
        <w:rPr>
          <w:rFonts w:ascii="Arial" w:hAnsi="Arial" w:cs="Arial"/>
          <w:sz w:val="24"/>
          <w:szCs w:val="24"/>
          <w:highlight w:val="yellow"/>
        </w:rPr>
      </w:pPr>
    </w:p>
    <w:p w14:paraId="51E585BC" w14:textId="77777777" w:rsidR="006E2362" w:rsidRPr="002E0BAE" w:rsidRDefault="006E2362" w:rsidP="00CA31B6">
      <w:pPr>
        <w:autoSpaceDE w:val="0"/>
        <w:autoSpaceDN w:val="0"/>
        <w:adjustRightInd w:val="0"/>
        <w:spacing w:before="0" w:after="0"/>
        <w:rPr>
          <w:rFonts w:ascii="Arial" w:hAnsi="Arial" w:cs="Arial"/>
          <w:sz w:val="24"/>
          <w:szCs w:val="24"/>
        </w:rPr>
      </w:pPr>
      <w:r w:rsidRPr="002E0BAE">
        <w:rPr>
          <w:rFonts w:ascii="Arial" w:hAnsi="Arial" w:cs="Arial"/>
          <w:sz w:val="24"/>
          <w:szCs w:val="24"/>
        </w:rPr>
        <w:t xml:space="preserve">The </w:t>
      </w:r>
      <w:r w:rsidRPr="002E0BAE">
        <w:rPr>
          <w:rFonts w:ascii="Arial" w:hAnsi="Arial" w:cs="Arial"/>
          <w:b/>
          <w:bCs/>
          <w:sz w:val="24"/>
          <w:szCs w:val="24"/>
        </w:rPr>
        <w:t>27</w:t>
      </w:r>
      <w:r w:rsidRPr="002E0BAE">
        <w:rPr>
          <w:rFonts w:ascii="Arial" w:hAnsi="Arial" w:cs="Arial"/>
          <w:sz w:val="24"/>
          <w:szCs w:val="24"/>
        </w:rPr>
        <w:t xml:space="preserve"> cited errors were within the following categories:</w:t>
      </w:r>
    </w:p>
    <w:tbl>
      <w:tblPr>
        <w:tblStyle w:val="TableGrid"/>
        <w:tblW w:w="0" w:type="auto"/>
        <w:tblCellMar>
          <w:top w:w="72" w:type="dxa"/>
        </w:tblCellMar>
        <w:tblLook w:val="04A0" w:firstRow="1" w:lastRow="0" w:firstColumn="1" w:lastColumn="0" w:noHBand="0" w:noVBand="1"/>
      </w:tblPr>
      <w:tblGrid>
        <w:gridCol w:w="2241"/>
        <w:gridCol w:w="2614"/>
        <w:gridCol w:w="2340"/>
        <w:gridCol w:w="2155"/>
      </w:tblGrid>
      <w:tr w:rsidR="006E2362" w:rsidRPr="002E0BAE" w14:paraId="62F06A35" w14:textId="77777777" w:rsidTr="00FB7923">
        <w:tc>
          <w:tcPr>
            <w:tcW w:w="4855" w:type="dxa"/>
            <w:gridSpan w:val="2"/>
            <w:shd w:val="clear" w:color="auto" w:fill="4F81BD" w:themeFill="accent1"/>
          </w:tcPr>
          <w:p w14:paraId="6D486D2A" w14:textId="77777777" w:rsidR="006E2362" w:rsidRPr="002E0BAE" w:rsidRDefault="006E2362" w:rsidP="00CA31B6">
            <w:pPr>
              <w:autoSpaceDE w:val="0"/>
              <w:autoSpaceDN w:val="0"/>
              <w:adjustRightInd w:val="0"/>
              <w:spacing w:before="0" w:after="0"/>
              <w:jc w:val="center"/>
              <w:rPr>
                <w:rFonts w:ascii="Arial" w:hAnsi="Arial" w:cs="Arial"/>
                <w:b/>
                <w:bCs/>
                <w:color w:val="FFFFFF" w:themeColor="background1"/>
                <w:sz w:val="22"/>
                <w:szCs w:val="22"/>
              </w:rPr>
            </w:pPr>
            <w:r w:rsidRPr="002E0BAE">
              <w:rPr>
                <w:rFonts w:ascii="Arial" w:hAnsi="Arial" w:cs="Arial"/>
                <w:b/>
                <w:bCs/>
                <w:color w:val="FFFFFF" w:themeColor="background1"/>
                <w:sz w:val="22"/>
                <w:szCs w:val="22"/>
              </w:rPr>
              <w:t>Jul Reviews</w:t>
            </w:r>
          </w:p>
        </w:tc>
        <w:tc>
          <w:tcPr>
            <w:tcW w:w="4495" w:type="dxa"/>
            <w:gridSpan w:val="2"/>
            <w:shd w:val="clear" w:color="auto" w:fill="4BACC6" w:themeFill="accent5"/>
          </w:tcPr>
          <w:p w14:paraId="0E90C55E" w14:textId="77777777" w:rsidR="006E2362" w:rsidRPr="002E0BAE" w:rsidRDefault="006E2362" w:rsidP="00CA31B6">
            <w:pPr>
              <w:autoSpaceDE w:val="0"/>
              <w:autoSpaceDN w:val="0"/>
              <w:adjustRightInd w:val="0"/>
              <w:spacing w:before="0" w:after="0"/>
              <w:jc w:val="center"/>
              <w:rPr>
                <w:rFonts w:ascii="Arial" w:hAnsi="Arial" w:cs="Arial"/>
                <w:b/>
                <w:bCs/>
                <w:color w:val="FFFFFF" w:themeColor="background1"/>
                <w:sz w:val="22"/>
                <w:szCs w:val="22"/>
              </w:rPr>
            </w:pPr>
            <w:r w:rsidRPr="002E0BAE">
              <w:rPr>
                <w:rFonts w:ascii="Arial" w:hAnsi="Arial" w:cs="Arial"/>
                <w:b/>
                <w:bCs/>
                <w:color w:val="FFFFFF" w:themeColor="background1"/>
                <w:sz w:val="22"/>
                <w:szCs w:val="22"/>
              </w:rPr>
              <w:t>Aug Reviews</w:t>
            </w:r>
          </w:p>
        </w:tc>
      </w:tr>
      <w:tr w:rsidR="006E2362" w:rsidRPr="002E0BAE" w14:paraId="0443B7C0" w14:textId="77777777" w:rsidTr="00FB7923">
        <w:tc>
          <w:tcPr>
            <w:tcW w:w="2241" w:type="dxa"/>
          </w:tcPr>
          <w:p w14:paraId="3C2762E6" w14:textId="77777777" w:rsidR="006E2362" w:rsidRPr="002E0BAE" w:rsidRDefault="006E2362" w:rsidP="00CA31B6">
            <w:pPr>
              <w:autoSpaceDE w:val="0"/>
              <w:autoSpaceDN w:val="0"/>
              <w:adjustRightInd w:val="0"/>
              <w:spacing w:before="0" w:after="0"/>
              <w:jc w:val="center"/>
              <w:rPr>
                <w:rFonts w:ascii="Arial" w:hAnsi="Arial" w:cs="Arial"/>
                <w:sz w:val="22"/>
                <w:szCs w:val="22"/>
              </w:rPr>
            </w:pPr>
            <w:r w:rsidRPr="002E0BAE">
              <w:rPr>
                <w:rFonts w:ascii="Arial" w:hAnsi="Arial" w:cs="Arial"/>
                <w:sz w:val="22"/>
                <w:szCs w:val="22"/>
              </w:rPr>
              <w:t>BE</w:t>
            </w:r>
          </w:p>
        </w:tc>
        <w:tc>
          <w:tcPr>
            <w:tcW w:w="2614" w:type="dxa"/>
          </w:tcPr>
          <w:p w14:paraId="4E09DDC2" w14:textId="77777777" w:rsidR="006E2362" w:rsidRPr="002E0BAE" w:rsidRDefault="006E2362" w:rsidP="00CA31B6">
            <w:pPr>
              <w:autoSpaceDE w:val="0"/>
              <w:autoSpaceDN w:val="0"/>
              <w:adjustRightInd w:val="0"/>
              <w:spacing w:before="0" w:after="0"/>
              <w:jc w:val="center"/>
              <w:rPr>
                <w:rFonts w:ascii="Arial" w:hAnsi="Arial" w:cs="Arial"/>
                <w:sz w:val="22"/>
                <w:szCs w:val="22"/>
              </w:rPr>
            </w:pPr>
            <w:r w:rsidRPr="002E0BAE">
              <w:rPr>
                <w:rFonts w:ascii="Arial" w:hAnsi="Arial" w:cs="Arial"/>
                <w:sz w:val="22"/>
                <w:szCs w:val="22"/>
              </w:rPr>
              <w:t>Non-BE</w:t>
            </w:r>
          </w:p>
        </w:tc>
        <w:tc>
          <w:tcPr>
            <w:tcW w:w="2340" w:type="dxa"/>
          </w:tcPr>
          <w:p w14:paraId="6B8D2AE6" w14:textId="77777777" w:rsidR="006E2362" w:rsidRPr="002E0BAE" w:rsidRDefault="006E2362" w:rsidP="00CA31B6">
            <w:pPr>
              <w:autoSpaceDE w:val="0"/>
              <w:autoSpaceDN w:val="0"/>
              <w:adjustRightInd w:val="0"/>
              <w:spacing w:before="0" w:after="0"/>
              <w:jc w:val="center"/>
              <w:rPr>
                <w:rFonts w:ascii="Arial" w:hAnsi="Arial" w:cs="Arial"/>
                <w:sz w:val="22"/>
                <w:szCs w:val="22"/>
              </w:rPr>
            </w:pPr>
            <w:r w:rsidRPr="002E0BAE">
              <w:rPr>
                <w:rFonts w:ascii="Arial" w:hAnsi="Arial" w:cs="Arial"/>
                <w:sz w:val="22"/>
                <w:szCs w:val="22"/>
              </w:rPr>
              <w:t>BE</w:t>
            </w:r>
          </w:p>
        </w:tc>
        <w:tc>
          <w:tcPr>
            <w:tcW w:w="2155" w:type="dxa"/>
          </w:tcPr>
          <w:p w14:paraId="21B3A813" w14:textId="77777777" w:rsidR="006E2362" w:rsidRPr="002E0BAE" w:rsidRDefault="006E2362" w:rsidP="00CA31B6">
            <w:pPr>
              <w:autoSpaceDE w:val="0"/>
              <w:autoSpaceDN w:val="0"/>
              <w:adjustRightInd w:val="0"/>
              <w:spacing w:before="0" w:after="0"/>
              <w:jc w:val="center"/>
              <w:rPr>
                <w:rFonts w:ascii="Arial" w:hAnsi="Arial" w:cs="Arial"/>
                <w:sz w:val="22"/>
                <w:szCs w:val="22"/>
              </w:rPr>
            </w:pPr>
            <w:r w:rsidRPr="002E0BAE">
              <w:rPr>
                <w:rFonts w:ascii="Arial" w:hAnsi="Arial" w:cs="Arial"/>
                <w:sz w:val="22"/>
                <w:szCs w:val="22"/>
              </w:rPr>
              <w:t>Non-BE</w:t>
            </w:r>
          </w:p>
        </w:tc>
      </w:tr>
      <w:tr w:rsidR="006E2362" w:rsidRPr="002E0BAE" w14:paraId="504CA863" w14:textId="77777777" w:rsidTr="00FB7923">
        <w:trPr>
          <w:trHeight w:val="1493"/>
        </w:trPr>
        <w:tc>
          <w:tcPr>
            <w:tcW w:w="2241" w:type="dxa"/>
          </w:tcPr>
          <w:tbl>
            <w:tblPr>
              <w:tblW w:w="1950" w:type="dxa"/>
              <w:tblLook w:val="04A0" w:firstRow="1" w:lastRow="0" w:firstColumn="1" w:lastColumn="0" w:noHBand="0" w:noVBand="1"/>
            </w:tblPr>
            <w:tblGrid>
              <w:gridCol w:w="1950"/>
            </w:tblGrid>
            <w:tr w:rsidR="006E2362" w:rsidRPr="002E0BAE" w14:paraId="7EA1E66C" w14:textId="77777777" w:rsidTr="00FB7923">
              <w:trPr>
                <w:trHeight w:val="300"/>
              </w:trPr>
              <w:tc>
                <w:tcPr>
                  <w:tcW w:w="1950" w:type="dxa"/>
                  <w:tcBorders>
                    <w:top w:val="nil"/>
                    <w:left w:val="nil"/>
                    <w:bottom w:val="nil"/>
                    <w:right w:val="nil"/>
                  </w:tcBorders>
                  <w:shd w:val="clear" w:color="auto" w:fill="auto"/>
                  <w:noWrap/>
                  <w:vAlign w:val="bottom"/>
                  <w:hideMark/>
                </w:tcPr>
                <w:p w14:paraId="34ECE1DF"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1 Burial</w:t>
                  </w:r>
                </w:p>
              </w:tc>
            </w:tr>
            <w:tr w:rsidR="006E2362" w:rsidRPr="002E0BAE" w14:paraId="59608F0E" w14:textId="77777777" w:rsidTr="00FB7923">
              <w:trPr>
                <w:trHeight w:val="300"/>
              </w:trPr>
              <w:tc>
                <w:tcPr>
                  <w:tcW w:w="1950" w:type="dxa"/>
                  <w:tcBorders>
                    <w:top w:val="nil"/>
                    <w:left w:val="nil"/>
                    <w:bottom w:val="nil"/>
                    <w:right w:val="nil"/>
                  </w:tcBorders>
                  <w:shd w:val="clear" w:color="auto" w:fill="auto"/>
                  <w:noWrap/>
                  <w:vAlign w:val="bottom"/>
                </w:tcPr>
                <w:p w14:paraId="2411C934"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2 Income</w:t>
                  </w:r>
                </w:p>
              </w:tc>
            </w:tr>
            <w:tr w:rsidR="006E2362" w:rsidRPr="002E0BAE" w14:paraId="4FA29E9F" w14:textId="77777777" w:rsidTr="00FB7923">
              <w:trPr>
                <w:trHeight w:val="300"/>
              </w:trPr>
              <w:tc>
                <w:tcPr>
                  <w:tcW w:w="1950" w:type="dxa"/>
                  <w:tcBorders>
                    <w:top w:val="nil"/>
                    <w:left w:val="nil"/>
                    <w:bottom w:val="nil"/>
                    <w:right w:val="nil"/>
                  </w:tcBorders>
                  <w:shd w:val="clear" w:color="auto" w:fill="auto"/>
                  <w:noWrap/>
                  <w:vAlign w:val="bottom"/>
                </w:tcPr>
                <w:p w14:paraId="685CEAA5"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1 MOD</w:t>
                  </w:r>
                </w:p>
              </w:tc>
            </w:tr>
            <w:tr w:rsidR="006E2362" w:rsidRPr="002E0BAE" w14:paraId="61BD9E00" w14:textId="77777777" w:rsidTr="00FB7923">
              <w:trPr>
                <w:trHeight w:val="300"/>
              </w:trPr>
              <w:tc>
                <w:tcPr>
                  <w:tcW w:w="1950" w:type="dxa"/>
                  <w:tcBorders>
                    <w:top w:val="nil"/>
                    <w:left w:val="nil"/>
                    <w:bottom w:val="nil"/>
                    <w:right w:val="nil"/>
                  </w:tcBorders>
                  <w:shd w:val="clear" w:color="auto" w:fill="auto"/>
                  <w:noWrap/>
                  <w:vAlign w:val="bottom"/>
                </w:tcPr>
                <w:p w14:paraId="2CAC1C12" w14:textId="77777777" w:rsidR="006E2362" w:rsidRPr="002E0BAE" w:rsidRDefault="006E2362" w:rsidP="00CA31B6">
                  <w:pPr>
                    <w:spacing w:before="0" w:after="0"/>
                    <w:rPr>
                      <w:rFonts w:ascii="Arial" w:eastAsia="Times New Roman" w:hAnsi="Arial" w:cs="Arial"/>
                      <w:color w:val="000000"/>
                      <w:sz w:val="22"/>
                      <w:szCs w:val="22"/>
                    </w:rPr>
                  </w:pPr>
                </w:p>
              </w:tc>
            </w:tr>
          </w:tbl>
          <w:p w14:paraId="4263606F" w14:textId="77777777" w:rsidR="006E2362" w:rsidRPr="002E0BAE" w:rsidRDefault="006E2362" w:rsidP="00CA31B6">
            <w:pPr>
              <w:pStyle w:val="ListParagraph"/>
              <w:autoSpaceDE w:val="0"/>
              <w:autoSpaceDN w:val="0"/>
              <w:adjustRightInd w:val="0"/>
              <w:spacing w:before="0" w:after="0"/>
              <w:ind w:left="420"/>
              <w:rPr>
                <w:rFonts w:ascii="Arial" w:hAnsi="Arial" w:cs="Arial"/>
              </w:rPr>
            </w:pPr>
          </w:p>
        </w:tc>
        <w:tc>
          <w:tcPr>
            <w:tcW w:w="2614" w:type="dxa"/>
          </w:tcPr>
          <w:tbl>
            <w:tblPr>
              <w:tblW w:w="1676" w:type="dxa"/>
              <w:tblLook w:val="04A0" w:firstRow="1" w:lastRow="0" w:firstColumn="1" w:lastColumn="0" w:noHBand="0" w:noVBand="1"/>
            </w:tblPr>
            <w:tblGrid>
              <w:gridCol w:w="1676"/>
            </w:tblGrid>
            <w:tr w:rsidR="006E2362" w:rsidRPr="002E0BAE" w14:paraId="71F2561E" w14:textId="77777777" w:rsidTr="00FB7923">
              <w:trPr>
                <w:trHeight w:val="300"/>
              </w:trPr>
              <w:tc>
                <w:tcPr>
                  <w:tcW w:w="1676" w:type="dxa"/>
                  <w:tcBorders>
                    <w:top w:val="nil"/>
                    <w:left w:val="nil"/>
                    <w:bottom w:val="nil"/>
                    <w:right w:val="nil"/>
                  </w:tcBorders>
                  <w:shd w:val="clear" w:color="auto" w:fill="auto"/>
                  <w:noWrap/>
                  <w:vAlign w:val="bottom"/>
                  <w:hideMark/>
                </w:tcPr>
                <w:p w14:paraId="79775484"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1 Accrued</w:t>
                  </w:r>
                </w:p>
              </w:tc>
            </w:tr>
            <w:tr w:rsidR="006E2362" w:rsidRPr="002E0BAE" w14:paraId="13B8E3D1" w14:textId="77777777" w:rsidTr="00FB7923">
              <w:trPr>
                <w:trHeight w:val="300"/>
              </w:trPr>
              <w:tc>
                <w:tcPr>
                  <w:tcW w:w="1676" w:type="dxa"/>
                  <w:tcBorders>
                    <w:top w:val="nil"/>
                    <w:left w:val="nil"/>
                    <w:bottom w:val="nil"/>
                    <w:right w:val="nil"/>
                  </w:tcBorders>
                  <w:shd w:val="clear" w:color="auto" w:fill="auto"/>
                  <w:noWrap/>
                  <w:vAlign w:val="bottom"/>
                  <w:hideMark/>
                </w:tcPr>
                <w:p w14:paraId="78DEBB00"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2 Income</w:t>
                  </w:r>
                </w:p>
              </w:tc>
            </w:tr>
            <w:tr w:rsidR="006E2362" w:rsidRPr="002E0BAE" w14:paraId="5CA1C131" w14:textId="77777777" w:rsidTr="00FB7923">
              <w:trPr>
                <w:trHeight w:val="300"/>
              </w:trPr>
              <w:tc>
                <w:tcPr>
                  <w:tcW w:w="1676" w:type="dxa"/>
                  <w:tcBorders>
                    <w:top w:val="nil"/>
                    <w:left w:val="nil"/>
                    <w:bottom w:val="nil"/>
                    <w:right w:val="nil"/>
                  </w:tcBorders>
                  <w:shd w:val="clear" w:color="auto" w:fill="auto"/>
                  <w:noWrap/>
                  <w:vAlign w:val="bottom"/>
                  <w:hideMark/>
                </w:tcPr>
                <w:p w14:paraId="3708834C"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1 Net Worth</w:t>
                  </w:r>
                </w:p>
              </w:tc>
            </w:tr>
            <w:tr w:rsidR="006E2362" w:rsidRPr="002E0BAE" w14:paraId="16D9F445" w14:textId="77777777" w:rsidTr="00FB7923">
              <w:trPr>
                <w:trHeight w:val="300"/>
              </w:trPr>
              <w:tc>
                <w:tcPr>
                  <w:tcW w:w="1676" w:type="dxa"/>
                  <w:tcBorders>
                    <w:top w:val="nil"/>
                    <w:left w:val="nil"/>
                    <w:bottom w:val="nil"/>
                    <w:right w:val="nil"/>
                  </w:tcBorders>
                  <w:shd w:val="clear" w:color="auto" w:fill="auto"/>
                  <w:noWrap/>
                  <w:vAlign w:val="bottom"/>
                  <w:hideMark/>
                </w:tcPr>
                <w:p w14:paraId="447D52B0"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5 Notification</w:t>
                  </w:r>
                </w:p>
              </w:tc>
            </w:tr>
          </w:tbl>
          <w:p w14:paraId="427CB5BC" w14:textId="77777777" w:rsidR="006E2362" w:rsidRPr="002E0BAE" w:rsidRDefault="006E2362" w:rsidP="00CA31B6">
            <w:pPr>
              <w:autoSpaceDE w:val="0"/>
              <w:autoSpaceDN w:val="0"/>
              <w:adjustRightInd w:val="0"/>
              <w:spacing w:before="0" w:after="0"/>
              <w:rPr>
                <w:rFonts w:ascii="Arial" w:hAnsi="Arial" w:cs="Arial"/>
              </w:rPr>
            </w:pPr>
          </w:p>
        </w:tc>
        <w:tc>
          <w:tcPr>
            <w:tcW w:w="2340" w:type="dxa"/>
          </w:tcPr>
          <w:tbl>
            <w:tblPr>
              <w:tblW w:w="1676" w:type="dxa"/>
              <w:tblLook w:val="04A0" w:firstRow="1" w:lastRow="0" w:firstColumn="1" w:lastColumn="0" w:noHBand="0" w:noVBand="1"/>
            </w:tblPr>
            <w:tblGrid>
              <w:gridCol w:w="1676"/>
            </w:tblGrid>
            <w:tr w:rsidR="006E2362" w:rsidRPr="002E0BAE" w14:paraId="61B2EC83" w14:textId="77777777" w:rsidTr="00FB7923">
              <w:trPr>
                <w:trHeight w:val="300"/>
              </w:trPr>
              <w:tc>
                <w:tcPr>
                  <w:tcW w:w="1676" w:type="dxa"/>
                  <w:tcBorders>
                    <w:top w:val="nil"/>
                    <w:left w:val="nil"/>
                    <w:bottom w:val="nil"/>
                    <w:right w:val="nil"/>
                  </w:tcBorders>
                  <w:shd w:val="clear" w:color="auto" w:fill="auto"/>
                  <w:noWrap/>
                  <w:vAlign w:val="bottom"/>
                  <w:hideMark/>
                </w:tcPr>
                <w:p w14:paraId="4554CFC1"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1 Income</w:t>
                  </w:r>
                </w:p>
              </w:tc>
            </w:tr>
            <w:tr w:rsidR="006E2362" w:rsidRPr="002E0BAE" w14:paraId="2D897E9A" w14:textId="77777777" w:rsidTr="00FB7923">
              <w:trPr>
                <w:trHeight w:val="300"/>
              </w:trPr>
              <w:tc>
                <w:tcPr>
                  <w:tcW w:w="1676" w:type="dxa"/>
                  <w:tcBorders>
                    <w:top w:val="nil"/>
                    <w:left w:val="nil"/>
                    <w:bottom w:val="nil"/>
                    <w:right w:val="nil"/>
                  </w:tcBorders>
                  <w:shd w:val="clear" w:color="auto" w:fill="auto"/>
                  <w:noWrap/>
                  <w:vAlign w:val="bottom"/>
                  <w:hideMark/>
                </w:tcPr>
                <w:p w14:paraId="28284FC8" w14:textId="77777777" w:rsidR="006E2362" w:rsidRPr="002E0BAE" w:rsidRDefault="006E2362" w:rsidP="00CA31B6">
                  <w:pPr>
                    <w:spacing w:before="0" w:after="0"/>
                    <w:rPr>
                      <w:rFonts w:ascii="Arial" w:eastAsia="Times New Roman" w:hAnsi="Arial" w:cs="Arial"/>
                      <w:color w:val="000000"/>
                      <w:sz w:val="22"/>
                      <w:szCs w:val="22"/>
                    </w:rPr>
                  </w:pPr>
                </w:p>
              </w:tc>
            </w:tr>
            <w:tr w:rsidR="006E2362" w:rsidRPr="002E0BAE" w14:paraId="11D012A7" w14:textId="77777777" w:rsidTr="00FB7923">
              <w:trPr>
                <w:trHeight w:val="300"/>
              </w:trPr>
              <w:tc>
                <w:tcPr>
                  <w:tcW w:w="1676" w:type="dxa"/>
                  <w:tcBorders>
                    <w:top w:val="nil"/>
                    <w:left w:val="nil"/>
                    <w:bottom w:val="nil"/>
                    <w:right w:val="nil"/>
                  </w:tcBorders>
                  <w:shd w:val="clear" w:color="auto" w:fill="auto"/>
                  <w:noWrap/>
                  <w:vAlign w:val="bottom"/>
                  <w:hideMark/>
                </w:tcPr>
                <w:p w14:paraId="0ECAB6B6" w14:textId="77777777" w:rsidR="006E2362" w:rsidRPr="002E0BAE" w:rsidRDefault="006E2362" w:rsidP="00CA31B6">
                  <w:pPr>
                    <w:spacing w:before="0" w:after="0"/>
                    <w:rPr>
                      <w:rFonts w:ascii="Arial" w:eastAsia="Times New Roman" w:hAnsi="Arial" w:cs="Arial"/>
                      <w:color w:val="000000"/>
                      <w:sz w:val="22"/>
                      <w:szCs w:val="22"/>
                    </w:rPr>
                  </w:pPr>
                </w:p>
              </w:tc>
            </w:tr>
          </w:tbl>
          <w:p w14:paraId="76683C6C" w14:textId="77777777" w:rsidR="006E2362" w:rsidRPr="002E0BAE" w:rsidRDefault="006E2362" w:rsidP="00CA31B6">
            <w:pPr>
              <w:autoSpaceDE w:val="0"/>
              <w:autoSpaceDN w:val="0"/>
              <w:adjustRightInd w:val="0"/>
              <w:spacing w:before="0" w:after="0"/>
              <w:rPr>
                <w:rFonts w:ascii="Arial" w:hAnsi="Arial" w:cs="Arial"/>
              </w:rPr>
            </w:pPr>
          </w:p>
        </w:tc>
        <w:tc>
          <w:tcPr>
            <w:tcW w:w="2155" w:type="dxa"/>
          </w:tcPr>
          <w:tbl>
            <w:tblPr>
              <w:tblW w:w="1875" w:type="dxa"/>
              <w:tblLook w:val="04A0" w:firstRow="1" w:lastRow="0" w:firstColumn="1" w:lastColumn="0" w:noHBand="0" w:noVBand="1"/>
            </w:tblPr>
            <w:tblGrid>
              <w:gridCol w:w="1875"/>
            </w:tblGrid>
            <w:tr w:rsidR="006E2362" w:rsidRPr="002E0BAE" w14:paraId="7A47C442" w14:textId="77777777" w:rsidTr="00FB7923">
              <w:trPr>
                <w:trHeight w:val="300"/>
              </w:trPr>
              <w:tc>
                <w:tcPr>
                  <w:tcW w:w="1875" w:type="dxa"/>
                  <w:tcBorders>
                    <w:top w:val="nil"/>
                    <w:left w:val="nil"/>
                    <w:bottom w:val="nil"/>
                    <w:right w:val="nil"/>
                  </w:tcBorders>
                  <w:shd w:val="clear" w:color="auto" w:fill="auto"/>
                  <w:noWrap/>
                  <w:vAlign w:val="bottom"/>
                  <w:hideMark/>
                </w:tcPr>
                <w:p w14:paraId="17E2FE70"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2 Accrued</w:t>
                  </w:r>
                </w:p>
              </w:tc>
            </w:tr>
            <w:tr w:rsidR="006E2362" w:rsidRPr="002E0BAE" w14:paraId="118E96F1" w14:textId="77777777" w:rsidTr="00FB7923">
              <w:trPr>
                <w:trHeight w:val="300"/>
              </w:trPr>
              <w:tc>
                <w:tcPr>
                  <w:tcW w:w="1875" w:type="dxa"/>
                  <w:tcBorders>
                    <w:top w:val="nil"/>
                    <w:left w:val="nil"/>
                    <w:bottom w:val="nil"/>
                    <w:right w:val="nil"/>
                  </w:tcBorders>
                  <w:shd w:val="clear" w:color="auto" w:fill="auto"/>
                  <w:noWrap/>
                  <w:vAlign w:val="bottom"/>
                  <w:hideMark/>
                </w:tcPr>
                <w:p w14:paraId="2E41134F"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1 Income</w:t>
                  </w:r>
                </w:p>
              </w:tc>
            </w:tr>
            <w:tr w:rsidR="006E2362" w:rsidRPr="002E0BAE" w14:paraId="346D1B1A" w14:textId="77777777" w:rsidTr="00FB7923">
              <w:trPr>
                <w:trHeight w:val="300"/>
              </w:trPr>
              <w:tc>
                <w:tcPr>
                  <w:tcW w:w="1875" w:type="dxa"/>
                  <w:tcBorders>
                    <w:top w:val="nil"/>
                    <w:left w:val="nil"/>
                    <w:bottom w:val="nil"/>
                    <w:right w:val="nil"/>
                  </w:tcBorders>
                  <w:shd w:val="clear" w:color="auto" w:fill="auto"/>
                  <w:noWrap/>
                  <w:vAlign w:val="bottom"/>
                </w:tcPr>
                <w:p w14:paraId="26415BD7"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3 Notification</w:t>
                  </w:r>
                </w:p>
              </w:tc>
            </w:tr>
            <w:tr w:rsidR="006E2362" w:rsidRPr="002E0BAE" w14:paraId="45EFD169" w14:textId="77777777" w:rsidTr="00FB7923">
              <w:trPr>
                <w:trHeight w:val="300"/>
              </w:trPr>
              <w:tc>
                <w:tcPr>
                  <w:tcW w:w="1875" w:type="dxa"/>
                  <w:tcBorders>
                    <w:top w:val="nil"/>
                    <w:left w:val="nil"/>
                    <w:bottom w:val="nil"/>
                    <w:right w:val="nil"/>
                  </w:tcBorders>
                  <w:shd w:val="clear" w:color="auto" w:fill="auto"/>
                  <w:noWrap/>
                  <w:vAlign w:val="bottom"/>
                </w:tcPr>
                <w:p w14:paraId="58B57FAC"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5 Procedural</w:t>
                  </w:r>
                </w:p>
              </w:tc>
            </w:tr>
            <w:tr w:rsidR="006E2362" w:rsidRPr="002E0BAE" w14:paraId="17EBF37D" w14:textId="77777777" w:rsidTr="00FB7923">
              <w:trPr>
                <w:trHeight w:val="300"/>
              </w:trPr>
              <w:tc>
                <w:tcPr>
                  <w:tcW w:w="1875" w:type="dxa"/>
                  <w:tcBorders>
                    <w:top w:val="nil"/>
                    <w:left w:val="nil"/>
                    <w:bottom w:val="nil"/>
                    <w:right w:val="nil"/>
                  </w:tcBorders>
                  <w:shd w:val="clear" w:color="auto" w:fill="auto"/>
                  <w:noWrap/>
                  <w:vAlign w:val="bottom"/>
                </w:tcPr>
                <w:p w14:paraId="1C418083" w14:textId="77777777" w:rsidR="006E2362" w:rsidRPr="002E0BAE" w:rsidRDefault="006E2362" w:rsidP="00CA31B6">
                  <w:pPr>
                    <w:spacing w:before="0" w:after="0"/>
                    <w:rPr>
                      <w:rFonts w:ascii="Arial" w:eastAsia="Times New Roman" w:hAnsi="Arial" w:cs="Arial"/>
                      <w:color w:val="000000"/>
                      <w:sz w:val="22"/>
                      <w:szCs w:val="22"/>
                    </w:rPr>
                  </w:pPr>
                  <w:r w:rsidRPr="002E0BAE">
                    <w:rPr>
                      <w:rFonts w:ascii="Arial" w:eastAsia="Times New Roman" w:hAnsi="Arial" w:cs="Arial"/>
                      <w:color w:val="000000"/>
                      <w:sz w:val="22"/>
                      <w:szCs w:val="22"/>
                    </w:rPr>
                    <w:t>1 Basic Eligibility</w:t>
                  </w:r>
                </w:p>
              </w:tc>
            </w:tr>
            <w:tr w:rsidR="006E2362" w:rsidRPr="002E0BAE" w14:paraId="6AA753D4" w14:textId="77777777" w:rsidTr="00FB7923">
              <w:trPr>
                <w:trHeight w:val="300"/>
              </w:trPr>
              <w:tc>
                <w:tcPr>
                  <w:tcW w:w="1875" w:type="dxa"/>
                  <w:tcBorders>
                    <w:top w:val="nil"/>
                    <w:left w:val="nil"/>
                    <w:bottom w:val="nil"/>
                    <w:right w:val="nil"/>
                  </w:tcBorders>
                  <w:shd w:val="clear" w:color="auto" w:fill="auto"/>
                  <w:noWrap/>
                  <w:vAlign w:val="bottom"/>
                </w:tcPr>
                <w:p w14:paraId="51E8CA57" w14:textId="77777777" w:rsidR="006E2362" w:rsidRPr="002E0BAE" w:rsidRDefault="006E2362" w:rsidP="00CA31B6">
                  <w:pPr>
                    <w:spacing w:before="0" w:after="0"/>
                    <w:rPr>
                      <w:rFonts w:ascii="Arial" w:eastAsia="Times New Roman" w:hAnsi="Arial" w:cs="Arial"/>
                      <w:color w:val="000000"/>
                      <w:sz w:val="22"/>
                      <w:szCs w:val="22"/>
                    </w:rPr>
                  </w:pPr>
                </w:p>
              </w:tc>
            </w:tr>
          </w:tbl>
          <w:p w14:paraId="3047DF42" w14:textId="77777777" w:rsidR="006E2362" w:rsidRPr="002E0BAE" w:rsidRDefault="006E2362" w:rsidP="00CA31B6">
            <w:pPr>
              <w:autoSpaceDE w:val="0"/>
              <w:autoSpaceDN w:val="0"/>
              <w:adjustRightInd w:val="0"/>
              <w:spacing w:before="0" w:after="0"/>
              <w:rPr>
                <w:rFonts w:ascii="Arial" w:hAnsi="Arial" w:cs="Arial"/>
              </w:rPr>
            </w:pPr>
          </w:p>
        </w:tc>
      </w:tr>
    </w:tbl>
    <w:p w14:paraId="27E4CDC2" w14:textId="77777777" w:rsidR="006E2362" w:rsidRPr="002E0BAE" w:rsidRDefault="006E2362" w:rsidP="00CA31B6">
      <w:pPr>
        <w:autoSpaceDE w:val="0"/>
        <w:autoSpaceDN w:val="0"/>
        <w:adjustRightInd w:val="0"/>
        <w:spacing w:before="0" w:after="0"/>
        <w:rPr>
          <w:rFonts w:ascii="Arial" w:hAnsi="Arial" w:cs="Arial"/>
          <w:sz w:val="24"/>
          <w:szCs w:val="24"/>
          <w:highlight w:val="yellow"/>
        </w:rPr>
      </w:pPr>
    </w:p>
    <w:p w14:paraId="3A5F8E09" w14:textId="205C2258" w:rsidR="006E2362" w:rsidRPr="002E0BAE" w:rsidRDefault="006E2362" w:rsidP="00CA31B6">
      <w:pPr>
        <w:autoSpaceDE w:val="0"/>
        <w:autoSpaceDN w:val="0"/>
        <w:adjustRightInd w:val="0"/>
        <w:spacing w:before="0" w:after="0"/>
        <w:rPr>
          <w:rFonts w:ascii="Arial" w:hAnsi="Arial" w:cs="Arial"/>
          <w:noProof/>
          <w:sz w:val="24"/>
          <w:szCs w:val="24"/>
        </w:rPr>
      </w:pPr>
      <w:r w:rsidRPr="002E0BAE">
        <w:rPr>
          <w:rFonts w:ascii="Arial" w:hAnsi="Arial" w:cs="Arial"/>
          <w:sz w:val="24"/>
          <w:szCs w:val="24"/>
        </w:rPr>
        <w:t xml:space="preserve">The </w:t>
      </w:r>
      <w:r w:rsidRPr="002E0BAE">
        <w:rPr>
          <w:rFonts w:ascii="Arial" w:hAnsi="Arial" w:cs="Arial"/>
          <w:i/>
          <w:iCs/>
          <w:sz w:val="24"/>
          <w:szCs w:val="24"/>
        </w:rPr>
        <w:t xml:space="preserve">Error Drill Down </w:t>
      </w:r>
      <w:r w:rsidRPr="002E0BAE">
        <w:rPr>
          <w:rFonts w:ascii="Arial" w:hAnsi="Arial" w:cs="Arial"/>
          <w:sz w:val="24"/>
          <w:szCs w:val="24"/>
        </w:rPr>
        <w:t>graph below shows a breakdown of the error categories:</w:t>
      </w:r>
    </w:p>
    <w:p w14:paraId="7ED8BEFD" w14:textId="77777777" w:rsidR="006E2362" w:rsidRPr="002E0BAE" w:rsidRDefault="006E2362" w:rsidP="00CA31B6">
      <w:pPr>
        <w:autoSpaceDE w:val="0"/>
        <w:autoSpaceDN w:val="0"/>
        <w:adjustRightInd w:val="0"/>
        <w:spacing w:before="0" w:after="0"/>
        <w:rPr>
          <w:rFonts w:ascii="Arial" w:hAnsi="Arial" w:cs="Arial"/>
          <w:sz w:val="24"/>
          <w:szCs w:val="24"/>
          <w:highlight w:val="yellow"/>
        </w:rPr>
      </w:pPr>
    </w:p>
    <w:p w14:paraId="5C23FA4D" w14:textId="77777777" w:rsidR="006E2362" w:rsidRPr="002E0BAE" w:rsidRDefault="006E2362" w:rsidP="00CA31B6">
      <w:pPr>
        <w:autoSpaceDE w:val="0"/>
        <w:autoSpaceDN w:val="0"/>
        <w:adjustRightInd w:val="0"/>
        <w:spacing w:before="0" w:after="0"/>
        <w:jc w:val="center"/>
        <w:rPr>
          <w:rFonts w:ascii="Arial" w:hAnsi="Arial" w:cs="Arial"/>
          <w:sz w:val="24"/>
          <w:szCs w:val="24"/>
          <w:highlight w:val="yellow"/>
        </w:rPr>
      </w:pPr>
      <w:r w:rsidRPr="002E0BAE">
        <w:rPr>
          <w:rFonts w:ascii="Arial" w:hAnsi="Arial" w:cs="Arial"/>
          <w:noProof/>
          <w:sz w:val="24"/>
          <w:szCs w:val="24"/>
        </w:rPr>
        <w:drawing>
          <wp:inline distT="0" distB="0" distL="0" distR="0" wp14:anchorId="3E09E0A1" wp14:editId="1BFB65DF">
            <wp:extent cx="4737100" cy="5117039"/>
            <wp:effectExtent l="0" t="0" r="6350" b="7620"/>
            <wp:docPr id="364213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3588" name=""/>
                    <pic:cNvPicPr/>
                  </pic:nvPicPr>
                  <pic:blipFill>
                    <a:blip r:embed="rId9"/>
                    <a:stretch>
                      <a:fillRect/>
                    </a:stretch>
                  </pic:blipFill>
                  <pic:spPr>
                    <a:xfrm>
                      <a:off x="0" y="0"/>
                      <a:ext cx="4748084" cy="5128904"/>
                    </a:xfrm>
                    <a:prstGeom prst="rect">
                      <a:avLst/>
                    </a:prstGeom>
                  </pic:spPr>
                </pic:pic>
              </a:graphicData>
            </a:graphic>
          </wp:inline>
        </w:drawing>
      </w:r>
    </w:p>
    <w:p w14:paraId="6B4648B1" w14:textId="05F94951" w:rsidR="006E2362" w:rsidRPr="002E0BAE" w:rsidRDefault="006E2362" w:rsidP="00CA31B6">
      <w:pPr>
        <w:autoSpaceDE w:val="0"/>
        <w:autoSpaceDN w:val="0"/>
        <w:adjustRightInd w:val="0"/>
        <w:spacing w:before="0" w:after="0"/>
        <w:rPr>
          <w:rFonts w:ascii="Arial" w:hAnsi="Arial" w:cs="Arial"/>
          <w:sz w:val="24"/>
          <w:szCs w:val="24"/>
        </w:rPr>
      </w:pPr>
      <w:r w:rsidRPr="002E0BAE">
        <w:rPr>
          <w:rFonts w:ascii="Arial" w:hAnsi="Arial" w:cs="Arial"/>
          <w:sz w:val="24"/>
          <w:szCs w:val="24"/>
        </w:rPr>
        <w:t>Notification errors were the highest cited category in July. However, procedural errors were the highest cited category in August.</w:t>
      </w:r>
    </w:p>
    <w:p w14:paraId="025F9DA6" w14:textId="77777777" w:rsidR="006E2362" w:rsidRPr="002E0BAE" w:rsidRDefault="006E2362" w:rsidP="00CA31B6">
      <w:pPr>
        <w:autoSpaceDE w:val="0"/>
        <w:autoSpaceDN w:val="0"/>
        <w:adjustRightInd w:val="0"/>
        <w:spacing w:before="0" w:after="0"/>
        <w:rPr>
          <w:rFonts w:ascii="Arial" w:hAnsi="Arial" w:cs="Arial"/>
          <w:sz w:val="24"/>
          <w:szCs w:val="24"/>
          <w:highlight w:val="yellow"/>
        </w:rPr>
      </w:pPr>
    </w:p>
    <w:p w14:paraId="292F99C9" w14:textId="51EA6B4F" w:rsidR="006E2362" w:rsidRPr="002E0BAE" w:rsidRDefault="006E2362" w:rsidP="00CA31B6">
      <w:pPr>
        <w:autoSpaceDE w:val="0"/>
        <w:autoSpaceDN w:val="0"/>
        <w:adjustRightInd w:val="0"/>
        <w:spacing w:before="0" w:after="0"/>
        <w:rPr>
          <w:rFonts w:ascii="Arial" w:hAnsi="Arial" w:cs="Arial"/>
          <w:sz w:val="24"/>
          <w:szCs w:val="24"/>
        </w:rPr>
      </w:pPr>
      <w:r w:rsidRPr="002E0BAE">
        <w:rPr>
          <w:rFonts w:ascii="Arial" w:hAnsi="Arial" w:cs="Arial"/>
          <w:noProof/>
          <w:sz w:val="24"/>
          <w:szCs w:val="24"/>
        </w:rPr>
        <w:lastRenderedPageBreak/>
        <w:t xml:space="preserve">Inaccurate notification letters continue to be the highest area of notification errors. </w:t>
      </w:r>
      <w:r w:rsidRPr="002E0BAE">
        <w:rPr>
          <w:rFonts w:ascii="Arial" w:hAnsi="Arial" w:cs="Arial"/>
          <w:sz w:val="24"/>
          <w:szCs w:val="24"/>
        </w:rPr>
        <w:t xml:space="preserve">Please be sure </w:t>
      </w:r>
      <w:r w:rsidR="004E2E19">
        <w:rPr>
          <w:rFonts w:ascii="Arial" w:hAnsi="Arial" w:cs="Arial"/>
          <w:sz w:val="24"/>
          <w:szCs w:val="24"/>
        </w:rPr>
        <w:t xml:space="preserve">to include </w:t>
      </w:r>
      <w:r w:rsidRPr="002E0BAE">
        <w:rPr>
          <w:rFonts w:ascii="Arial" w:hAnsi="Arial" w:cs="Arial"/>
          <w:sz w:val="24"/>
          <w:szCs w:val="24"/>
        </w:rPr>
        <w:t xml:space="preserve">all appropriate attachments and proofread </w:t>
      </w:r>
      <w:r w:rsidR="007E28B3">
        <w:rPr>
          <w:rFonts w:ascii="Arial" w:hAnsi="Arial" w:cs="Arial"/>
          <w:sz w:val="24"/>
          <w:szCs w:val="24"/>
        </w:rPr>
        <w:t xml:space="preserve">your letter </w:t>
      </w:r>
      <w:r w:rsidRPr="002E0BAE">
        <w:rPr>
          <w:rFonts w:ascii="Arial" w:hAnsi="Arial" w:cs="Arial"/>
          <w:sz w:val="24"/>
          <w:szCs w:val="24"/>
        </w:rPr>
        <w:t xml:space="preserve">for accuracy before releasing. Additionally, there has been a rise in errors </w:t>
      </w:r>
      <w:r w:rsidR="007E28B3">
        <w:rPr>
          <w:rFonts w:ascii="Arial" w:hAnsi="Arial" w:cs="Arial"/>
          <w:sz w:val="24"/>
          <w:szCs w:val="24"/>
        </w:rPr>
        <w:t xml:space="preserve">for </w:t>
      </w:r>
      <w:r w:rsidRPr="002E0BAE">
        <w:rPr>
          <w:rFonts w:ascii="Arial" w:hAnsi="Arial" w:cs="Arial"/>
          <w:sz w:val="24"/>
          <w:szCs w:val="24"/>
        </w:rPr>
        <w:t>failing to address substitution when there was a claim pending at the time of death; please be sure accrued and substitution is properly addressed in notification letters.</w:t>
      </w:r>
    </w:p>
    <w:p w14:paraId="222B7B81" w14:textId="77777777" w:rsidR="006E2362" w:rsidRPr="002E0BAE" w:rsidRDefault="006E2362" w:rsidP="00CA31B6">
      <w:pPr>
        <w:autoSpaceDE w:val="0"/>
        <w:autoSpaceDN w:val="0"/>
        <w:adjustRightInd w:val="0"/>
        <w:spacing w:before="0" w:after="0"/>
        <w:rPr>
          <w:rFonts w:ascii="Arial" w:hAnsi="Arial" w:cs="Arial"/>
          <w:sz w:val="24"/>
          <w:szCs w:val="24"/>
          <w:highlight w:val="yellow"/>
        </w:rPr>
      </w:pPr>
    </w:p>
    <w:p w14:paraId="792DD947" w14:textId="71EBFE5B" w:rsidR="006E2362" w:rsidRPr="002E0BAE" w:rsidRDefault="006E2362" w:rsidP="00CA31B6">
      <w:pPr>
        <w:autoSpaceDE w:val="0"/>
        <w:autoSpaceDN w:val="0"/>
        <w:adjustRightInd w:val="0"/>
        <w:spacing w:before="0" w:after="0"/>
        <w:rPr>
          <w:rFonts w:ascii="Arial" w:hAnsi="Arial" w:cs="Arial"/>
          <w:sz w:val="24"/>
          <w:szCs w:val="24"/>
        </w:rPr>
      </w:pPr>
      <w:r w:rsidRPr="002E0BAE">
        <w:rPr>
          <w:rFonts w:ascii="Arial" w:hAnsi="Arial" w:cs="Arial"/>
          <w:sz w:val="24"/>
          <w:szCs w:val="24"/>
        </w:rPr>
        <w:t xml:space="preserve">Procedural and income counting/medical expense errors </w:t>
      </w:r>
      <w:r w:rsidR="00316545">
        <w:rPr>
          <w:rFonts w:ascii="Arial" w:hAnsi="Arial" w:cs="Arial"/>
          <w:sz w:val="24"/>
          <w:szCs w:val="24"/>
        </w:rPr>
        <w:t>are</w:t>
      </w:r>
      <w:r w:rsidRPr="002E0BAE">
        <w:rPr>
          <w:rFonts w:ascii="Arial" w:hAnsi="Arial" w:cs="Arial"/>
          <w:sz w:val="24"/>
          <w:szCs w:val="24"/>
        </w:rPr>
        <w:t xml:space="preserve"> the next highest categories</w:t>
      </w:r>
      <w:r w:rsidR="00316545">
        <w:rPr>
          <w:rFonts w:ascii="Arial" w:hAnsi="Arial" w:cs="Arial"/>
          <w:sz w:val="24"/>
          <w:szCs w:val="24"/>
        </w:rPr>
        <w:t xml:space="preserve"> of cited errors</w:t>
      </w:r>
      <w:r w:rsidRPr="002E0BAE">
        <w:rPr>
          <w:rFonts w:ascii="Arial" w:hAnsi="Arial" w:cs="Arial"/>
          <w:sz w:val="24"/>
          <w:szCs w:val="24"/>
        </w:rPr>
        <w:t xml:space="preserve">. The majority (67%) of the BE errors cited during this time were associated with </w:t>
      </w:r>
      <w:r w:rsidR="00273AE7">
        <w:rPr>
          <w:rFonts w:ascii="Arial" w:hAnsi="Arial" w:cs="Arial"/>
          <w:sz w:val="24"/>
          <w:szCs w:val="24"/>
        </w:rPr>
        <w:t xml:space="preserve">the inaccurate counting of </w:t>
      </w:r>
      <w:r w:rsidRPr="002E0BAE">
        <w:rPr>
          <w:rFonts w:ascii="Arial" w:hAnsi="Arial" w:cs="Arial"/>
          <w:sz w:val="24"/>
          <w:szCs w:val="24"/>
        </w:rPr>
        <w:t>income or medical expenses. Procedural issues included</w:t>
      </w:r>
      <w:r>
        <w:rPr>
          <w:rFonts w:ascii="Arial" w:hAnsi="Arial" w:cs="Arial"/>
          <w:sz w:val="24"/>
          <w:szCs w:val="24"/>
        </w:rPr>
        <w:t>:</w:t>
      </w:r>
      <w:r w:rsidRPr="002E0BAE">
        <w:rPr>
          <w:rFonts w:ascii="Arial" w:hAnsi="Arial" w:cs="Arial"/>
          <w:sz w:val="24"/>
          <w:szCs w:val="24"/>
        </w:rPr>
        <w:t xml:space="preserve"> clearing incorrect EPs, development on a claim when the most recent SSA inquiry shows the Veteran had passed away and failing to upload</w:t>
      </w:r>
      <w:r>
        <w:rPr>
          <w:rFonts w:ascii="Arial" w:hAnsi="Arial" w:cs="Arial"/>
          <w:sz w:val="24"/>
          <w:szCs w:val="24"/>
        </w:rPr>
        <w:t xml:space="preserve"> the</w:t>
      </w:r>
      <w:r w:rsidRPr="002E0BAE">
        <w:rPr>
          <w:rFonts w:ascii="Arial" w:hAnsi="Arial" w:cs="Arial"/>
          <w:sz w:val="24"/>
          <w:szCs w:val="24"/>
        </w:rPr>
        <w:t xml:space="preserve"> SSA match memo and calculator </w:t>
      </w:r>
      <w:r>
        <w:rPr>
          <w:rFonts w:ascii="Arial" w:hAnsi="Arial" w:cs="Arial"/>
          <w:sz w:val="24"/>
          <w:szCs w:val="24"/>
        </w:rPr>
        <w:t xml:space="preserve">to </w:t>
      </w:r>
      <w:r w:rsidRPr="002E0BAE">
        <w:rPr>
          <w:rFonts w:ascii="Arial" w:hAnsi="Arial" w:cs="Arial"/>
          <w:sz w:val="24"/>
          <w:szCs w:val="24"/>
        </w:rPr>
        <w:t xml:space="preserve">the eFolder. </w:t>
      </w:r>
    </w:p>
    <w:p w14:paraId="6EF57BB1" w14:textId="77777777" w:rsidR="006E2362" w:rsidRPr="002E0BAE" w:rsidRDefault="006E2362" w:rsidP="00CA31B6">
      <w:pPr>
        <w:autoSpaceDE w:val="0"/>
        <w:autoSpaceDN w:val="0"/>
        <w:adjustRightInd w:val="0"/>
        <w:spacing w:before="0" w:after="0"/>
        <w:rPr>
          <w:rFonts w:ascii="Arial" w:hAnsi="Arial" w:cs="Arial"/>
          <w:sz w:val="24"/>
          <w:szCs w:val="24"/>
        </w:rPr>
      </w:pPr>
    </w:p>
    <w:p w14:paraId="5A971BBA" w14:textId="1C001DBE" w:rsidR="006E2362" w:rsidRDefault="006E2362" w:rsidP="00CA31B6">
      <w:pPr>
        <w:autoSpaceDE w:val="0"/>
        <w:autoSpaceDN w:val="0"/>
        <w:adjustRightInd w:val="0"/>
        <w:spacing w:before="0" w:after="0"/>
        <w:rPr>
          <w:rFonts w:ascii="Arial" w:hAnsi="Arial" w:cs="Arial"/>
          <w:sz w:val="24"/>
          <w:szCs w:val="24"/>
        </w:rPr>
      </w:pPr>
      <w:r w:rsidRPr="002E0BAE">
        <w:rPr>
          <w:rFonts w:ascii="Arial" w:hAnsi="Arial" w:cs="Arial"/>
          <w:sz w:val="24"/>
          <w:szCs w:val="24"/>
        </w:rPr>
        <w:t xml:space="preserve">Please remind VSRs to review claims for ALL issues, perform complete development actions simultaneously to avoid avoidable claim delays, check </w:t>
      </w:r>
      <w:r w:rsidR="005F0F19">
        <w:rPr>
          <w:rFonts w:ascii="Arial" w:hAnsi="Arial" w:cs="Arial"/>
          <w:sz w:val="24"/>
          <w:szCs w:val="24"/>
        </w:rPr>
        <w:t xml:space="preserve">that </w:t>
      </w:r>
      <w:r w:rsidRPr="002E0BAE">
        <w:rPr>
          <w:rFonts w:ascii="Arial" w:hAnsi="Arial" w:cs="Arial"/>
          <w:sz w:val="24"/>
          <w:szCs w:val="24"/>
        </w:rPr>
        <w:t>the claim is being processed under the correct EP(s) and that all evidence used to determine the claim (including admin</w:t>
      </w:r>
      <w:r w:rsidR="005F0F19">
        <w:rPr>
          <w:rFonts w:ascii="Arial" w:hAnsi="Arial" w:cs="Arial"/>
          <w:sz w:val="24"/>
          <w:szCs w:val="24"/>
        </w:rPr>
        <w:t>istrative</w:t>
      </w:r>
      <w:r w:rsidRPr="002E0BAE">
        <w:rPr>
          <w:rFonts w:ascii="Arial" w:hAnsi="Arial" w:cs="Arial"/>
          <w:sz w:val="24"/>
          <w:szCs w:val="24"/>
        </w:rPr>
        <w:t xml:space="preserve"> decisions, signature pages and calculations) are of record when needed. </w:t>
      </w:r>
    </w:p>
    <w:p w14:paraId="3E388B98" w14:textId="77777777" w:rsidR="00E91F74" w:rsidRPr="002E0BAE" w:rsidRDefault="00E91F74" w:rsidP="00CA31B6">
      <w:pPr>
        <w:autoSpaceDE w:val="0"/>
        <w:autoSpaceDN w:val="0"/>
        <w:adjustRightInd w:val="0"/>
        <w:spacing w:before="0" w:after="0"/>
        <w:rPr>
          <w:rFonts w:ascii="Arial" w:hAnsi="Arial" w:cs="Arial"/>
          <w:sz w:val="24"/>
          <w:szCs w:val="24"/>
        </w:rPr>
      </w:pPr>
    </w:p>
    <w:p w14:paraId="720F9418" w14:textId="1A501EC9" w:rsidR="006E2362" w:rsidRPr="002E0BAE" w:rsidRDefault="006E2362" w:rsidP="00CA31B6">
      <w:pPr>
        <w:autoSpaceDE w:val="0"/>
        <w:autoSpaceDN w:val="0"/>
        <w:adjustRightInd w:val="0"/>
        <w:spacing w:before="0" w:after="0"/>
        <w:rPr>
          <w:rFonts w:ascii="Arial" w:hAnsi="Arial" w:cs="Arial"/>
          <w:sz w:val="24"/>
          <w:szCs w:val="24"/>
        </w:rPr>
      </w:pPr>
      <w:r w:rsidRPr="002E0BAE">
        <w:rPr>
          <w:rFonts w:ascii="Arial" w:hAnsi="Arial" w:cs="Arial"/>
          <w:sz w:val="24"/>
          <w:szCs w:val="24"/>
        </w:rPr>
        <w:t>It is important to communicate to claims processors they are reviewing their claims for issues that would cause BE errors, such as basic eligibility issues, income and medical calculations, income counting rules, effective dates, service eligibility and all claimed issues (like reviewing for A&amp;A and incompetency). BE errors are rising</w:t>
      </w:r>
      <w:r>
        <w:rPr>
          <w:rFonts w:ascii="Arial" w:hAnsi="Arial" w:cs="Arial"/>
          <w:sz w:val="24"/>
          <w:szCs w:val="24"/>
        </w:rPr>
        <w:t>, particularly on rating EPs,</w:t>
      </w:r>
      <w:r w:rsidRPr="002E0BAE">
        <w:rPr>
          <w:rFonts w:ascii="Arial" w:hAnsi="Arial" w:cs="Arial"/>
          <w:sz w:val="24"/>
          <w:szCs w:val="24"/>
        </w:rPr>
        <w:t xml:space="preserve"> and increased BE errors in following months </w:t>
      </w:r>
      <w:r>
        <w:rPr>
          <w:rFonts w:ascii="Arial" w:hAnsi="Arial" w:cs="Arial"/>
          <w:sz w:val="24"/>
          <w:szCs w:val="24"/>
        </w:rPr>
        <w:t>will</w:t>
      </w:r>
      <w:r w:rsidRPr="002E0BAE">
        <w:rPr>
          <w:rFonts w:ascii="Arial" w:hAnsi="Arial" w:cs="Arial"/>
          <w:sz w:val="24"/>
          <w:szCs w:val="24"/>
        </w:rPr>
        <w:t xml:space="preserve"> cause accuracy to fall below national goals.</w:t>
      </w:r>
    </w:p>
    <w:tbl>
      <w:tblPr>
        <w:tblStyle w:val="GridTable1Light"/>
        <w:tblW w:w="52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Description w:val="Content table"/>
      </w:tblPr>
      <w:tblGrid>
        <w:gridCol w:w="2609"/>
        <w:gridCol w:w="81"/>
        <w:gridCol w:w="7813"/>
        <w:gridCol w:w="157"/>
      </w:tblGrid>
      <w:tr w:rsidR="006E2362" w:rsidRPr="002E0BAE" w14:paraId="06A07156" w14:textId="77777777" w:rsidTr="00CA31B6">
        <w:trPr>
          <w:trHeight w:val="478"/>
          <w:tblHeader/>
        </w:trPr>
        <w:tc>
          <w:tcPr>
            <w:tcW w:w="2609" w:type="dxa"/>
            <w:vAlign w:val="bottom"/>
          </w:tcPr>
          <w:p w14:paraId="61FBB368" w14:textId="77777777" w:rsidR="006E2362" w:rsidRPr="002E0BAE" w:rsidRDefault="006E2362" w:rsidP="00CA31B6">
            <w:pPr>
              <w:pStyle w:val="Heading2"/>
              <w:spacing w:before="0"/>
              <w:rPr>
                <w:rFonts w:ascii="Arial" w:hAnsi="Arial"/>
                <w:sz w:val="24"/>
                <w:szCs w:val="24"/>
              </w:rPr>
            </w:pPr>
            <w:r w:rsidRPr="002E0BAE">
              <w:rPr>
                <w:rFonts w:ascii="Arial" w:hAnsi="Arial"/>
                <w:sz w:val="24"/>
                <w:szCs w:val="24"/>
              </w:rPr>
              <w:t>References/Contacts</w:t>
            </w:r>
          </w:p>
        </w:tc>
        <w:tc>
          <w:tcPr>
            <w:tcW w:w="81" w:type="dxa"/>
          </w:tcPr>
          <w:p w14:paraId="101E8D07" w14:textId="77777777" w:rsidR="006E2362" w:rsidRPr="002E0BAE" w:rsidRDefault="006E2362" w:rsidP="00CA31B6">
            <w:pPr>
              <w:pStyle w:val="Heading2"/>
              <w:spacing w:before="0"/>
              <w:rPr>
                <w:rFonts w:ascii="Arial" w:hAnsi="Arial"/>
                <w:sz w:val="24"/>
                <w:szCs w:val="24"/>
              </w:rPr>
            </w:pPr>
          </w:p>
        </w:tc>
        <w:tc>
          <w:tcPr>
            <w:tcW w:w="7813" w:type="dxa"/>
            <w:vAlign w:val="bottom"/>
          </w:tcPr>
          <w:p w14:paraId="7F14FCC3" w14:textId="77777777" w:rsidR="006E2362" w:rsidRPr="002E0BAE" w:rsidRDefault="006E2362" w:rsidP="00CA31B6">
            <w:pPr>
              <w:pStyle w:val="Heading2"/>
              <w:spacing w:before="0"/>
              <w:rPr>
                <w:rFonts w:ascii="Arial" w:hAnsi="Arial"/>
                <w:sz w:val="24"/>
                <w:szCs w:val="24"/>
              </w:rPr>
            </w:pPr>
          </w:p>
        </w:tc>
        <w:tc>
          <w:tcPr>
            <w:tcW w:w="157" w:type="dxa"/>
            <w:vAlign w:val="bottom"/>
          </w:tcPr>
          <w:p w14:paraId="6331C005" w14:textId="77777777" w:rsidR="006E2362" w:rsidRPr="002E0BAE" w:rsidRDefault="006E2362" w:rsidP="00CA31B6">
            <w:pPr>
              <w:pStyle w:val="Heading2"/>
              <w:spacing w:before="0"/>
              <w:rPr>
                <w:rFonts w:ascii="Arial" w:hAnsi="Arial"/>
                <w:sz w:val="24"/>
                <w:szCs w:val="24"/>
              </w:rPr>
            </w:pPr>
          </w:p>
        </w:tc>
      </w:tr>
      <w:tr w:rsidR="006E2362" w:rsidRPr="002E0BAE" w14:paraId="3810EBF9" w14:textId="77777777" w:rsidTr="00CA31B6">
        <w:trPr>
          <w:trHeight w:val="261"/>
        </w:trPr>
        <w:tc>
          <w:tcPr>
            <w:tcW w:w="2609" w:type="dxa"/>
          </w:tcPr>
          <w:p w14:paraId="5428AAD6" w14:textId="77777777" w:rsidR="006E2362" w:rsidRPr="002E0BAE" w:rsidRDefault="006E2362" w:rsidP="00CA31B6">
            <w:pPr>
              <w:pStyle w:val="ListBullet"/>
              <w:spacing w:before="0"/>
              <w:rPr>
                <w:rFonts w:ascii="Arial" w:hAnsi="Arial" w:cs="Arial"/>
                <w:sz w:val="24"/>
                <w:szCs w:val="24"/>
              </w:rPr>
            </w:pPr>
            <w:r w:rsidRPr="002E0BAE">
              <w:rPr>
                <w:rFonts w:ascii="Arial" w:hAnsi="Arial" w:cs="Arial"/>
                <w:sz w:val="24"/>
                <w:szCs w:val="24"/>
              </w:rPr>
              <w:t>STAR Reports</w:t>
            </w:r>
          </w:p>
        </w:tc>
        <w:tc>
          <w:tcPr>
            <w:tcW w:w="81" w:type="dxa"/>
          </w:tcPr>
          <w:p w14:paraId="372EAF3B" w14:textId="77777777" w:rsidR="006E2362" w:rsidRPr="002E0BAE" w:rsidRDefault="006E2362" w:rsidP="00CA31B6">
            <w:pPr>
              <w:spacing w:before="0"/>
              <w:rPr>
                <w:rFonts w:ascii="Arial" w:hAnsi="Arial" w:cs="Arial"/>
              </w:rPr>
            </w:pPr>
          </w:p>
        </w:tc>
        <w:tc>
          <w:tcPr>
            <w:tcW w:w="7813" w:type="dxa"/>
          </w:tcPr>
          <w:p w14:paraId="15053BF5" w14:textId="77777777" w:rsidR="006E2362" w:rsidRPr="002E0BAE" w:rsidRDefault="006E2362" w:rsidP="00CA31B6">
            <w:pPr>
              <w:spacing w:before="0"/>
              <w:rPr>
                <w:rFonts w:ascii="Arial" w:hAnsi="Arial" w:cs="Arial"/>
                <w:sz w:val="24"/>
                <w:szCs w:val="24"/>
              </w:rPr>
            </w:pPr>
            <w:hyperlink r:id="rId10" w:history="1">
              <w:r w:rsidRPr="002E0BAE">
                <w:rPr>
                  <w:rStyle w:val="Hyperlink"/>
                  <w:rFonts w:ascii="Arial" w:hAnsi="Arial" w:cs="Arial"/>
                  <w:sz w:val="24"/>
                  <w:szCs w:val="24"/>
                </w:rPr>
                <w:t>https://vbaw.vba.va.gov/bl/21/star/reports/star_rptscurrent.htm</w:t>
              </w:r>
            </w:hyperlink>
          </w:p>
        </w:tc>
        <w:tc>
          <w:tcPr>
            <w:tcW w:w="157" w:type="dxa"/>
          </w:tcPr>
          <w:p w14:paraId="04D9F176" w14:textId="77777777" w:rsidR="006E2362" w:rsidRPr="002E0BAE" w:rsidRDefault="006E2362" w:rsidP="00CA31B6">
            <w:pPr>
              <w:spacing w:before="0"/>
              <w:rPr>
                <w:rFonts w:ascii="Arial" w:hAnsi="Arial" w:cs="Arial"/>
                <w:sz w:val="24"/>
                <w:szCs w:val="24"/>
              </w:rPr>
            </w:pPr>
          </w:p>
        </w:tc>
      </w:tr>
      <w:tr w:rsidR="006E2362" w:rsidRPr="002E0BAE" w14:paraId="00A466D6" w14:textId="77777777" w:rsidTr="00CA31B6">
        <w:trPr>
          <w:trHeight w:val="334"/>
        </w:trPr>
        <w:tc>
          <w:tcPr>
            <w:tcW w:w="2609" w:type="dxa"/>
          </w:tcPr>
          <w:p w14:paraId="7C397A75" w14:textId="77777777" w:rsidR="006E2362" w:rsidRPr="002E0BAE" w:rsidRDefault="006E2362" w:rsidP="00CA31B6">
            <w:pPr>
              <w:pStyle w:val="ListBullet"/>
              <w:spacing w:before="0"/>
              <w:rPr>
                <w:rFonts w:ascii="Arial" w:hAnsi="Arial" w:cs="Arial"/>
                <w:sz w:val="24"/>
                <w:szCs w:val="24"/>
              </w:rPr>
            </w:pPr>
            <w:r w:rsidRPr="002E0BAE">
              <w:rPr>
                <w:rFonts w:ascii="Arial" w:hAnsi="Arial" w:cs="Arial"/>
                <w:sz w:val="24"/>
                <w:szCs w:val="24"/>
              </w:rPr>
              <w:t>Pension STAR Dashboard</w:t>
            </w:r>
          </w:p>
        </w:tc>
        <w:tc>
          <w:tcPr>
            <w:tcW w:w="81" w:type="dxa"/>
          </w:tcPr>
          <w:p w14:paraId="441BD3E3" w14:textId="77777777" w:rsidR="006E2362" w:rsidRPr="002E0BAE" w:rsidRDefault="006E2362" w:rsidP="00CA31B6">
            <w:pPr>
              <w:spacing w:before="0"/>
              <w:rPr>
                <w:rFonts w:ascii="Arial" w:hAnsi="Arial" w:cs="Arial"/>
              </w:rPr>
            </w:pPr>
          </w:p>
        </w:tc>
        <w:tc>
          <w:tcPr>
            <w:tcW w:w="7813" w:type="dxa"/>
          </w:tcPr>
          <w:p w14:paraId="7A9C8F31" w14:textId="77777777" w:rsidR="006E2362" w:rsidRPr="002E0BAE" w:rsidRDefault="006E2362" w:rsidP="00CA31B6">
            <w:pPr>
              <w:spacing w:before="0"/>
              <w:rPr>
                <w:rFonts w:ascii="Arial" w:hAnsi="Arial" w:cs="Arial"/>
                <w:sz w:val="24"/>
                <w:szCs w:val="24"/>
              </w:rPr>
            </w:pPr>
            <w:hyperlink r:id="rId11" w:history="1">
              <w:r w:rsidRPr="002E0BAE">
                <w:rPr>
                  <w:rStyle w:val="Hyperlink"/>
                  <w:rFonts w:ascii="Arial" w:hAnsi="Arial" w:cs="Arial"/>
                  <w:sz w:val="24"/>
                  <w:szCs w:val="24"/>
                </w:rPr>
                <w:t>Pension STAR Dashboard | Salesforce</w:t>
              </w:r>
            </w:hyperlink>
          </w:p>
        </w:tc>
        <w:tc>
          <w:tcPr>
            <w:tcW w:w="157" w:type="dxa"/>
          </w:tcPr>
          <w:p w14:paraId="632E41EF" w14:textId="77777777" w:rsidR="006E2362" w:rsidRPr="002E0BAE" w:rsidRDefault="006E2362" w:rsidP="00CA31B6">
            <w:pPr>
              <w:spacing w:before="0"/>
              <w:rPr>
                <w:rFonts w:ascii="Arial" w:hAnsi="Arial" w:cs="Arial"/>
                <w:sz w:val="24"/>
                <w:szCs w:val="24"/>
              </w:rPr>
            </w:pPr>
          </w:p>
        </w:tc>
      </w:tr>
    </w:tbl>
    <w:p w14:paraId="7C6CF682" w14:textId="77777777" w:rsidR="00622896" w:rsidRDefault="00622896" w:rsidP="00CA31B6">
      <w:pPr>
        <w:spacing w:before="0" w:after="0"/>
      </w:pPr>
      <w:bookmarkStart w:id="2" w:name="_Hlk96601626"/>
    </w:p>
    <w:tbl>
      <w:tblPr>
        <w:tblW w:w="6305"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620"/>
        <w:gridCol w:w="4970"/>
        <w:gridCol w:w="700"/>
        <w:gridCol w:w="3272"/>
        <w:gridCol w:w="20"/>
        <w:gridCol w:w="2310"/>
      </w:tblGrid>
      <w:tr w:rsidR="006D246A" w:rsidRPr="00D60069" w14:paraId="4ED19404" w14:textId="77777777" w:rsidTr="005D6D7C">
        <w:tc>
          <w:tcPr>
            <w:tcW w:w="1620" w:type="dxa"/>
          </w:tcPr>
          <w:p w14:paraId="2AE34BA9" w14:textId="081686E8" w:rsidR="006D246A" w:rsidRPr="00D60069" w:rsidRDefault="00000000" w:rsidP="00CA31B6">
            <w:pPr>
              <w:pStyle w:val="Heading2"/>
              <w:spacing w:before="0" w:after="0"/>
            </w:pPr>
            <w:sdt>
              <w:sdtPr>
                <w:id w:val="885458630"/>
                <w:placeholder>
                  <w:docPart w:val="2714517145D347F695C94755D08493EF"/>
                </w:placeholder>
                <w:temporary/>
                <w:showingPlcHdr/>
                <w15:appearance w15:val="hidden"/>
              </w:sdtPr>
              <w:sdtContent>
                <w:r w:rsidR="006D246A" w:rsidRPr="005537F7">
                  <w:rPr>
                    <w:color w:val="8064A2" w:themeColor="accent4"/>
                    <w:sz w:val="24"/>
                    <w:szCs w:val="24"/>
                  </w:rPr>
                  <w:t>Agenda item:</w:t>
                </w:r>
              </w:sdtContent>
            </w:sdt>
          </w:p>
        </w:tc>
        <w:tc>
          <w:tcPr>
            <w:tcW w:w="4970" w:type="dxa"/>
          </w:tcPr>
          <w:p w14:paraId="6CDA5EBE" w14:textId="2D78200A" w:rsidR="006D246A" w:rsidRPr="00F15EBC" w:rsidRDefault="006D246A" w:rsidP="00CA31B6">
            <w:pPr>
              <w:spacing w:before="0" w:after="0"/>
            </w:pPr>
            <w:bookmarkStart w:id="3" w:name="THREE_"/>
            <w:bookmarkEnd w:id="3"/>
            <w:r>
              <w:rPr>
                <w:rFonts w:asciiTheme="majorHAnsi" w:eastAsiaTheme="majorEastAsia" w:hAnsiTheme="majorHAnsi" w:cs="Arial"/>
                <w:bCs/>
                <w:iCs/>
                <w:color w:val="8064A2" w:themeColor="accent4"/>
                <w:sz w:val="24"/>
                <w:szCs w:val="24"/>
              </w:rPr>
              <w:t>PACT Act Updates</w:t>
            </w:r>
          </w:p>
        </w:tc>
        <w:tc>
          <w:tcPr>
            <w:tcW w:w="700" w:type="dxa"/>
          </w:tcPr>
          <w:p w14:paraId="0CC42C0A" w14:textId="25632A4F" w:rsidR="006D246A" w:rsidRDefault="006D246A" w:rsidP="00CA31B6">
            <w:pPr>
              <w:pStyle w:val="Heading2"/>
              <w:spacing w:before="0" w:after="0"/>
            </w:pPr>
          </w:p>
        </w:tc>
        <w:tc>
          <w:tcPr>
            <w:tcW w:w="3272" w:type="dxa"/>
          </w:tcPr>
          <w:p w14:paraId="5CDA39AC" w14:textId="02D451C8" w:rsidR="006D246A" w:rsidRPr="006D246A" w:rsidRDefault="006D246A" w:rsidP="00CA31B6">
            <w:pPr>
              <w:spacing w:before="0" w:after="0"/>
              <w:rPr>
                <w:rFonts w:asciiTheme="majorHAnsi" w:eastAsiaTheme="majorEastAsia" w:hAnsiTheme="majorHAnsi" w:cs="Arial"/>
                <w:bCs/>
                <w:iCs/>
                <w:color w:val="8064A2" w:themeColor="accent4"/>
                <w:sz w:val="24"/>
                <w:szCs w:val="24"/>
              </w:rPr>
            </w:pPr>
            <w:r w:rsidRPr="006D246A">
              <w:rPr>
                <w:rFonts w:asciiTheme="majorHAnsi" w:eastAsiaTheme="majorEastAsia" w:hAnsiTheme="majorHAnsi" w:cs="Arial"/>
                <w:b/>
                <w:iCs/>
                <w:color w:val="8064A2" w:themeColor="accent4"/>
                <w:sz w:val="24"/>
                <w:szCs w:val="24"/>
              </w:rPr>
              <w:t>Presenter</w:t>
            </w:r>
            <w:r w:rsidRPr="006D246A">
              <w:rPr>
                <w:rFonts w:asciiTheme="majorHAnsi" w:eastAsiaTheme="majorEastAsia" w:hAnsiTheme="majorHAnsi" w:cs="Arial"/>
                <w:bCs/>
                <w:iCs/>
                <w:color w:val="8064A2" w:themeColor="accent4"/>
                <w:sz w:val="24"/>
                <w:szCs w:val="24"/>
              </w:rPr>
              <w:t xml:space="preserve">: </w:t>
            </w:r>
            <w:r w:rsidR="004A6701">
              <w:rPr>
                <w:rFonts w:asciiTheme="majorHAnsi" w:eastAsiaTheme="majorEastAsia" w:hAnsiTheme="majorHAnsi" w:cs="Arial"/>
                <w:bCs/>
                <w:iCs/>
                <w:color w:val="8064A2" w:themeColor="accent4"/>
                <w:sz w:val="24"/>
                <w:szCs w:val="24"/>
              </w:rPr>
              <w:t>Jennifer Kunkel</w:t>
            </w:r>
            <w:r w:rsidRPr="006D246A">
              <w:rPr>
                <w:rFonts w:asciiTheme="majorHAnsi" w:eastAsiaTheme="majorEastAsia" w:hAnsiTheme="majorHAnsi" w:cs="Arial"/>
                <w:bCs/>
                <w:iCs/>
                <w:color w:val="8064A2" w:themeColor="accent4"/>
                <w:sz w:val="24"/>
                <w:szCs w:val="24"/>
              </w:rPr>
              <w:t>, Analyst</w:t>
            </w:r>
          </w:p>
        </w:tc>
        <w:tc>
          <w:tcPr>
            <w:tcW w:w="20" w:type="dxa"/>
          </w:tcPr>
          <w:p w14:paraId="1071A2C0" w14:textId="60816B14" w:rsidR="006D246A" w:rsidRPr="00D60069" w:rsidRDefault="006D246A" w:rsidP="00CA31B6">
            <w:pPr>
              <w:pStyle w:val="Heading2"/>
              <w:spacing w:before="0" w:after="0"/>
            </w:pPr>
          </w:p>
        </w:tc>
        <w:tc>
          <w:tcPr>
            <w:tcW w:w="2310" w:type="dxa"/>
          </w:tcPr>
          <w:p w14:paraId="727D5FD0" w14:textId="414AEA81" w:rsidR="006D246A" w:rsidRPr="006D246A" w:rsidRDefault="006D246A" w:rsidP="00CA31B6">
            <w:pPr>
              <w:spacing w:before="0" w:after="0"/>
              <w:rPr>
                <w:b/>
                <w:bCs/>
              </w:rPr>
            </w:pPr>
          </w:p>
        </w:tc>
      </w:tr>
    </w:tbl>
    <w:p w14:paraId="6A47B6C2" w14:textId="7CFB7745" w:rsidR="006E2362" w:rsidRDefault="006E2362" w:rsidP="00CA31B6">
      <w:pPr>
        <w:pStyle w:val="Heading4"/>
        <w:spacing w:before="0" w:after="0"/>
        <w:rPr>
          <w:rFonts w:ascii="Arial" w:hAnsi="Arial" w:cs="Arial"/>
          <w:sz w:val="24"/>
          <w:szCs w:val="24"/>
        </w:rPr>
      </w:pPr>
      <w:bookmarkStart w:id="4" w:name="_Target_Audience:"/>
      <w:bookmarkStart w:id="5" w:name="_Target_Audience:_1"/>
      <w:bookmarkStart w:id="6" w:name="_Discussion:_PMC_PACT"/>
      <w:bookmarkEnd w:id="4"/>
      <w:bookmarkEnd w:id="5"/>
      <w:bookmarkEnd w:id="6"/>
      <w:r w:rsidRPr="002E0BAE">
        <w:rPr>
          <w:rFonts w:ascii="Arial" w:hAnsi="Arial" w:cs="Arial"/>
          <w:sz w:val="24"/>
          <w:szCs w:val="24"/>
        </w:rPr>
        <w:t xml:space="preserve">Discussion: </w:t>
      </w:r>
    </w:p>
    <w:p w14:paraId="0EA3B21E" w14:textId="77777777" w:rsidR="00CA31B6" w:rsidRPr="002E0BAE" w:rsidRDefault="00CA31B6" w:rsidP="00CA31B6">
      <w:pPr>
        <w:pStyle w:val="Heading4"/>
        <w:spacing w:before="0" w:after="0"/>
        <w:rPr>
          <w:rFonts w:ascii="Arial" w:hAnsi="Arial" w:cs="Arial"/>
          <w:b w:val="0"/>
          <w:bCs/>
          <w:i/>
          <w:iCs/>
          <w:sz w:val="24"/>
          <w:szCs w:val="24"/>
        </w:rPr>
      </w:pPr>
    </w:p>
    <w:p w14:paraId="5C3B2417" w14:textId="77777777" w:rsidR="006E2362" w:rsidRDefault="006E2362" w:rsidP="00CA31B6">
      <w:pPr>
        <w:spacing w:before="0" w:after="0"/>
        <w:rPr>
          <w:rFonts w:ascii="Arial" w:eastAsia="Times New Roman" w:hAnsi="Arial" w:cs="Arial"/>
          <w:b/>
          <w:bCs/>
          <w:i/>
          <w:iCs/>
          <w:sz w:val="24"/>
          <w:szCs w:val="24"/>
        </w:rPr>
      </w:pPr>
      <w:r w:rsidRPr="002E0BAE">
        <w:rPr>
          <w:rFonts w:ascii="Arial" w:eastAsia="Times New Roman" w:hAnsi="Arial" w:cs="Arial"/>
          <w:b/>
          <w:bCs/>
          <w:i/>
          <w:iCs/>
          <w:sz w:val="24"/>
          <w:szCs w:val="24"/>
        </w:rPr>
        <w:t>Recent Key-Releases and Events:</w:t>
      </w:r>
    </w:p>
    <w:p w14:paraId="273823B6" w14:textId="77777777" w:rsidR="00CA31B6" w:rsidRPr="002E0BAE" w:rsidRDefault="00CA31B6" w:rsidP="00CA31B6">
      <w:pPr>
        <w:spacing w:before="0" w:after="0"/>
        <w:rPr>
          <w:rFonts w:ascii="Arial" w:eastAsia="Times New Roman" w:hAnsi="Arial" w:cs="Arial"/>
          <w:sz w:val="24"/>
          <w:szCs w:val="24"/>
        </w:rPr>
      </w:pPr>
    </w:p>
    <w:p w14:paraId="63E46A9C" w14:textId="77777777" w:rsidR="006E2362" w:rsidRPr="00CA31B6" w:rsidRDefault="006E2362" w:rsidP="00CA31B6">
      <w:pPr>
        <w:numPr>
          <w:ilvl w:val="0"/>
          <w:numId w:val="19"/>
        </w:numPr>
        <w:spacing w:before="0" w:after="0"/>
        <w:textAlignment w:val="center"/>
        <w:rPr>
          <w:rFonts w:ascii="Arial" w:eastAsia="Times New Roman" w:hAnsi="Arial" w:cs="Arial"/>
          <w:sz w:val="24"/>
          <w:szCs w:val="24"/>
        </w:rPr>
      </w:pPr>
      <w:bookmarkStart w:id="7" w:name="_Hlk177125377"/>
      <w:r w:rsidRPr="00CA31B6">
        <w:rPr>
          <w:rFonts w:ascii="Arial" w:eastAsia="Times New Roman" w:hAnsi="Arial" w:cs="Arial"/>
          <w:sz w:val="24"/>
          <w:szCs w:val="24"/>
        </w:rPr>
        <w:t>July 15, 2024 – DOD released new features in ILER:</w:t>
      </w:r>
    </w:p>
    <w:p w14:paraId="4CDABDDC" w14:textId="77777777" w:rsidR="006E2362" w:rsidRPr="00CA31B6" w:rsidRDefault="006E2362" w:rsidP="00CA31B6">
      <w:pPr>
        <w:numPr>
          <w:ilvl w:val="1"/>
          <w:numId w:val="19"/>
        </w:numPr>
        <w:tabs>
          <w:tab w:val="clear" w:pos="1440"/>
        </w:tabs>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New Data: 50 million new Navy deployment records from Defense Manpower Data Center (DMDC) were added. </w:t>
      </w:r>
    </w:p>
    <w:p w14:paraId="7EB27CEE" w14:textId="77777777" w:rsidR="006E2362" w:rsidRPr="00CA31B6" w:rsidRDefault="006E2362" w:rsidP="00CA31B6">
      <w:pPr>
        <w:numPr>
          <w:ilvl w:val="1"/>
          <w:numId w:val="19"/>
        </w:numPr>
        <w:tabs>
          <w:tab w:val="clear" w:pos="1440"/>
        </w:tabs>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Consolidated Deployment Reporting </w:t>
      </w:r>
    </w:p>
    <w:p w14:paraId="206FB8C3" w14:textId="77777777" w:rsidR="006E2362" w:rsidRPr="00CA31B6" w:rsidRDefault="006E2362" w:rsidP="00CA31B6">
      <w:pPr>
        <w:numPr>
          <w:ilvl w:val="1"/>
          <w:numId w:val="19"/>
        </w:numPr>
        <w:tabs>
          <w:tab w:val="clear" w:pos="1440"/>
        </w:tabs>
        <w:spacing w:before="0" w:after="0"/>
        <w:textAlignment w:val="center"/>
        <w:rPr>
          <w:rFonts w:ascii="Arial" w:eastAsia="Times New Roman" w:hAnsi="Arial" w:cs="Arial"/>
          <w:sz w:val="24"/>
          <w:szCs w:val="24"/>
        </w:rPr>
      </w:pPr>
      <w:bookmarkStart w:id="8" w:name="_Hlk177468291"/>
      <w:r w:rsidRPr="00CA31B6">
        <w:rPr>
          <w:rFonts w:ascii="Arial" w:eastAsia="Times New Roman" w:hAnsi="Arial" w:cs="Arial"/>
          <w:sz w:val="24"/>
          <w:szCs w:val="24"/>
        </w:rPr>
        <w:t>Deployments for PACT Act covered countries or operations are now displayed in purple text to easily identify deployments which qualify for presumptive coverage.</w:t>
      </w:r>
    </w:p>
    <w:bookmarkEnd w:id="8"/>
    <w:p w14:paraId="790FE5E1" w14:textId="77777777" w:rsidR="006E2362" w:rsidRPr="00CA31B6" w:rsidRDefault="006E2362" w:rsidP="00CA31B6">
      <w:pPr>
        <w:numPr>
          <w:ilvl w:val="1"/>
          <w:numId w:val="19"/>
        </w:numPr>
        <w:tabs>
          <w:tab w:val="clear" w:pos="1440"/>
        </w:tabs>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Improved Location Searching </w:t>
      </w:r>
    </w:p>
    <w:p w14:paraId="71F2EF28" w14:textId="77777777" w:rsidR="006E2362" w:rsidRPr="00CA31B6" w:rsidRDefault="006E2362" w:rsidP="00CA31B6">
      <w:pPr>
        <w:numPr>
          <w:ilvl w:val="1"/>
          <w:numId w:val="19"/>
        </w:numPr>
        <w:tabs>
          <w:tab w:val="clear" w:pos="1440"/>
        </w:tabs>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Easier Account Management: HIPPA/Cyber training course numbers have been added to the My Profile and Account Request pages. The requirement for annual training certificate dates has been removed, and there will be no more emails or account locks due to expired training. </w:t>
      </w:r>
    </w:p>
    <w:p w14:paraId="0FCDCCA4" w14:textId="77777777" w:rsidR="006E2362" w:rsidRPr="00CA31B6" w:rsidRDefault="006E2362" w:rsidP="00CA31B6">
      <w:pPr>
        <w:numPr>
          <w:ilvl w:val="0"/>
          <w:numId w:val="19"/>
        </w:numPr>
        <w:spacing w:before="0" w:after="0"/>
        <w:textAlignment w:val="center"/>
        <w:rPr>
          <w:rFonts w:ascii="Arial" w:eastAsia="Times New Roman" w:hAnsi="Arial" w:cs="Arial"/>
          <w:sz w:val="24"/>
          <w:szCs w:val="24"/>
        </w:rPr>
      </w:pPr>
      <w:bookmarkStart w:id="9" w:name="_Hlk177125649"/>
      <w:bookmarkEnd w:id="7"/>
      <w:r w:rsidRPr="00CA31B6">
        <w:rPr>
          <w:rFonts w:ascii="Arial" w:eastAsia="Times New Roman" w:hAnsi="Arial" w:cs="Arial"/>
          <w:sz w:val="24"/>
          <w:szCs w:val="24"/>
        </w:rPr>
        <w:t xml:space="preserve">July 17, 2024 – Updates to the </w:t>
      </w:r>
      <w:r w:rsidRPr="00CA31B6">
        <w:rPr>
          <w:rFonts w:ascii="Arial" w:eastAsia="Times New Roman" w:hAnsi="Arial" w:cs="Arial"/>
          <w:b/>
          <w:bCs/>
          <w:i/>
          <w:iCs/>
          <w:sz w:val="24"/>
          <w:szCs w:val="24"/>
        </w:rPr>
        <w:t>ILER Guidance</w:t>
      </w:r>
      <w:r w:rsidRPr="00CA31B6">
        <w:rPr>
          <w:rFonts w:ascii="Arial" w:eastAsia="Times New Roman" w:hAnsi="Arial" w:cs="Arial"/>
          <w:sz w:val="24"/>
          <w:szCs w:val="24"/>
        </w:rPr>
        <w:t xml:space="preserve"> (v4) document. Available on the </w:t>
      </w:r>
      <w:hyperlink r:id="rId12" w:history="1">
        <w:r w:rsidRPr="00CA31B6">
          <w:rPr>
            <w:rStyle w:val="Hyperlink"/>
            <w:rFonts w:ascii="Arial" w:eastAsia="Times New Roman" w:hAnsi="Arial" w:cs="Arial"/>
            <w:sz w:val="24"/>
            <w:szCs w:val="24"/>
          </w:rPr>
          <w:t>CS PACT Act Intranet Page</w:t>
        </w:r>
      </w:hyperlink>
      <w:r w:rsidRPr="00CA31B6">
        <w:rPr>
          <w:rFonts w:ascii="Arial" w:eastAsia="Times New Roman" w:hAnsi="Arial" w:cs="Arial"/>
          <w:sz w:val="24"/>
          <w:szCs w:val="24"/>
        </w:rPr>
        <w:t>.</w:t>
      </w:r>
    </w:p>
    <w:p w14:paraId="653073D6" w14:textId="77777777" w:rsidR="006E2362" w:rsidRPr="00CA31B6" w:rsidRDefault="006E2362" w:rsidP="00CA31B6">
      <w:pPr>
        <w:numPr>
          <w:ilvl w:val="1"/>
          <w:numId w:val="19"/>
        </w:numPr>
        <w:tabs>
          <w:tab w:val="clear" w:pos="1440"/>
        </w:tabs>
        <w:spacing w:before="0" w:after="0"/>
        <w:textAlignment w:val="center"/>
        <w:rPr>
          <w:rFonts w:ascii="Arial" w:eastAsia="Times New Roman" w:hAnsi="Arial" w:cs="Arial"/>
          <w:sz w:val="24"/>
          <w:szCs w:val="24"/>
        </w:rPr>
      </w:pPr>
      <w:bookmarkStart w:id="10" w:name="_Hlk177125639"/>
      <w:r w:rsidRPr="00CA31B6">
        <w:rPr>
          <w:rFonts w:ascii="Arial" w:eastAsia="Times New Roman" w:hAnsi="Arial" w:cs="Arial"/>
          <w:sz w:val="24"/>
          <w:szCs w:val="24"/>
        </w:rPr>
        <w:t xml:space="preserve">Changes and additions to the </w:t>
      </w:r>
      <w:r w:rsidRPr="00CA31B6">
        <w:rPr>
          <w:rFonts w:ascii="Arial" w:eastAsia="Times New Roman" w:hAnsi="Arial" w:cs="Arial"/>
          <w:i/>
          <w:iCs/>
          <w:sz w:val="24"/>
          <w:szCs w:val="24"/>
        </w:rPr>
        <w:t>ILER Guidance</w:t>
      </w:r>
      <w:r w:rsidRPr="00CA31B6">
        <w:rPr>
          <w:rFonts w:ascii="Arial" w:eastAsia="Times New Roman" w:hAnsi="Arial" w:cs="Arial"/>
          <w:sz w:val="24"/>
          <w:szCs w:val="24"/>
        </w:rPr>
        <w:t xml:space="preserve"> are highlighted within the document. </w:t>
      </w:r>
      <w:bookmarkStart w:id="11" w:name="_Hlk177125942"/>
      <w:bookmarkEnd w:id="9"/>
      <w:bookmarkEnd w:id="10"/>
    </w:p>
    <w:p w14:paraId="0ED8C4CB" w14:textId="77777777" w:rsidR="006E2362" w:rsidRPr="00CA31B6" w:rsidRDefault="006E2362" w:rsidP="00CA31B6">
      <w:pPr>
        <w:numPr>
          <w:ilvl w:val="0"/>
          <w:numId w:val="19"/>
        </w:numPr>
        <w:spacing w:before="0" w:after="0"/>
        <w:textAlignment w:val="center"/>
        <w:rPr>
          <w:rFonts w:ascii="Arial" w:eastAsia="Times New Roman" w:hAnsi="Arial" w:cs="Arial"/>
          <w:sz w:val="24"/>
          <w:szCs w:val="24"/>
        </w:rPr>
      </w:pPr>
      <w:bookmarkStart w:id="12" w:name="_Hlk177469392"/>
      <w:r w:rsidRPr="00CA31B6">
        <w:rPr>
          <w:rFonts w:ascii="Arial" w:eastAsia="Times New Roman" w:hAnsi="Arial" w:cs="Arial"/>
          <w:sz w:val="24"/>
          <w:szCs w:val="24"/>
        </w:rPr>
        <w:t>July 17, 2024 – SOP v5. (</w:t>
      </w:r>
      <w:r w:rsidRPr="00CA31B6">
        <w:rPr>
          <w:rFonts w:ascii="Arial" w:eastAsia="Times New Roman" w:hAnsi="Arial" w:cs="Arial"/>
          <w:i/>
          <w:iCs/>
          <w:sz w:val="24"/>
          <w:szCs w:val="24"/>
        </w:rPr>
        <w:t>Reminder</w:t>
      </w:r>
      <w:r w:rsidRPr="00CA31B6">
        <w:rPr>
          <w:rFonts w:ascii="Arial" w:eastAsia="Times New Roman" w:hAnsi="Arial" w:cs="Arial"/>
          <w:sz w:val="24"/>
          <w:szCs w:val="24"/>
        </w:rPr>
        <w:t>) This is the most current version.</w:t>
      </w:r>
    </w:p>
    <w:bookmarkEnd w:id="12"/>
    <w:p w14:paraId="2D025060" w14:textId="77777777" w:rsidR="006E2362" w:rsidRPr="00CA31B6" w:rsidRDefault="006E2362" w:rsidP="00CA31B6">
      <w:pPr>
        <w:numPr>
          <w:ilvl w:val="0"/>
          <w:numId w:val="19"/>
        </w:numPr>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July 17, 2024 – </w:t>
      </w:r>
      <w:r w:rsidRPr="00CA31B6">
        <w:rPr>
          <w:rFonts w:ascii="Arial" w:eastAsia="Times New Roman" w:hAnsi="Arial" w:cs="Arial"/>
          <w:b/>
          <w:bCs/>
          <w:i/>
          <w:iCs/>
          <w:sz w:val="24"/>
          <w:szCs w:val="24"/>
        </w:rPr>
        <w:t>TERA Exception Job Aid</w:t>
      </w:r>
      <w:r w:rsidRPr="00CA31B6">
        <w:rPr>
          <w:rFonts w:ascii="Arial" w:eastAsia="Times New Roman" w:hAnsi="Arial" w:cs="Arial"/>
          <w:sz w:val="24"/>
          <w:szCs w:val="24"/>
        </w:rPr>
        <w:t xml:space="preserve"> (v4)</w:t>
      </w:r>
    </w:p>
    <w:p w14:paraId="4CD2484B" w14:textId="77777777" w:rsidR="006E2362" w:rsidRPr="00CA31B6" w:rsidRDefault="006E2362" w:rsidP="00CA31B6">
      <w:pPr>
        <w:numPr>
          <w:ilvl w:val="1"/>
          <w:numId w:val="19"/>
        </w:numPr>
        <w:tabs>
          <w:tab w:val="clear" w:pos="1440"/>
        </w:tabs>
        <w:spacing w:before="0" w:after="0"/>
        <w:textAlignment w:val="center"/>
        <w:rPr>
          <w:rFonts w:ascii="Arial" w:eastAsia="Times New Roman" w:hAnsi="Arial" w:cs="Arial"/>
          <w:sz w:val="24"/>
          <w:szCs w:val="24"/>
        </w:rPr>
      </w:pPr>
      <w:r w:rsidRPr="00CA31B6">
        <w:rPr>
          <w:rFonts w:ascii="Arial" w:eastAsia="Times New Roman" w:hAnsi="Arial" w:cs="Arial"/>
          <w:sz w:val="24"/>
          <w:szCs w:val="24"/>
        </w:rPr>
        <w:lastRenderedPageBreak/>
        <w:t xml:space="preserve">Changes and additions to the </w:t>
      </w:r>
      <w:r w:rsidRPr="00CA31B6">
        <w:rPr>
          <w:rFonts w:ascii="Arial" w:eastAsia="Times New Roman" w:hAnsi="Arial" w:cs="Arial"/>
          <w:i/>
          <w:iCs/>
          <w:sz w:val="24"/>
          <w:szCs w:val="24"/>
        </w:rPr>
        <w:t>TERA Exception Job Aid</w:t>
      </w:r>
      <w:r w:rsidRPr="00CA31B6">
        <w:rPr>
          <w:rFonts w:ascii="Arial" w:eastAsia="Times New Roman" w:hAnsi="Arial" w:cs="Arial"/>
          <w:sz w:val="24"/>
          <w:szCs w:val="24"/>
        </w:rPr>
        <w:t xml:space="preserve"> are highlighted within the document. </w:t>
      </w:r>
      <w:bookmarkStart w:id="13" w:name="_Hlk177126010"/>
      <w:bookmarkEnd w:id="11"/>
    </w:p>
    <w:p w14:paraId="3A2C41C9" w14:textId="77777777" w:rsidR="006E2362" w:rsidRPr="00CA31B6" w:rsidRDefault="006E2362" w:rsidP="00CA31B6">
      <w:pPr>
        <w:numPr>
          <w:ilvl w:val="0"/>
          <w:numId w:val="19"/>
        </w:numPr>
        <w:spacing w:before="0" w:after="0"/>
        <w:textAlignment w:val="center"/>
        <w:rPr>
          <w:rFonts w:ascii="Arial" w:eastAsia="Times New Roman" w:hAnsi="Arial" w:cs="Arial"/>
          <w:sz w:val="24"/>
          <w:szCs w:val="24"/>
        </w:rPr>
      </w:pPr>
      <w:bookmarkStart w:id="14" w:name="_Hlk177126342"/>
      <w:bookmarkEnd w:id="13"/>
      <w:r w:rsidRPr="00CA31B6">
        <w:rPr>
          <w:rFonts w:ascii="Arial" w:eastAsia="Times New Roman" w:hAnsi="Arial" w:cs="Arial"/>
          <w:sz w:val="24"/>
          <w:szCs w:val="24"/>
        </w:rPr>
        <w:t xml:space="preserve">July 19, 2024 – </w:t>
      </w:r>
      <w:r w:rsidRPr="00CA31B6">
        <w:rPr>
          <w:rFonts w:ascii="Arial" w:eastAsia="Times New Roman" w:hAnsi="Arial" w:cs="Arial"/>
          <w:b/>
          <w:bCs/>
          <w:sz w:val="24"/>
          <w:szCs w:val="24"/>
        </w:rPr>
        <w:t>Comp. Service’s</w:t>
      </w:r>
      <w:r w:rsidRPr="00CA31B6">
        <w:rPr>
          <w:rFonts w:ascii="Arial" w:eastAsia="Times New Roman" w:hAnsi="Arial" w:cs="Arial"/>
          <w:sz w:val="24"/>
          <w:szCs w:val="24"/>
        </w:rPr>
        <w:t xml:space="preserve"> </w:t>
      </w:r>
      <w:r w:rsidRPr="00CA31B6">
        <w:rPr>
          <w:rFonts w:ascii="Arial" w:eastAsia="Times New Roman" w:hAnsi="Arial" w:cs="Arial"/>
          <w:b/>
          <w:bCs/>
          <w:i/>
          <w:iCs/>
          <w:sz w:val="24"/>
          <w:szCs w:val="24"/>
        </w:rPr>
        <w:t>FAQ</w:t>
      </w:r>
      <w:r w:rsidRPr="00CA31B6">
        <w:rPr>
          <w:rFonts w:ascii="Arial" w:eastAsia="Times New Roman" w:hAnsi="Arial" w:cs="Arial"/>
          <w:sz w:val="24"/>
          <w:szCs w:val="24"/>
        </w:rPr>
        <w:t xml:space="preserve"> document updated. </w:t>
      </w:r>
    </w:p>
    <w:p w14:paraId="4EE47C02" w14:textId="77777777" w:rsidR="006E2362" w:rsidRPr="00CA31B6" w:rsidRDefault="006E2362" w:rsidP="00CA31B6">
      <w:pPr>
        <w:numPr>
          <w:ilvl w:val="1"/>
          <w:numId w:val="19"/>
        </w:numPr>
        <w:tabs>
          <w:tab w:val="clear" w:pos="1440"/>
        </w:tabs>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Removed the Survivor Claims category within their FAQ in lieu of P&amp;F’s updated FAQ document on the </w:t>
      </w:r>
      <w:hyperlink r:id="rId13" w:history="1">
        <w:r w:rsidRPr="00CA31B6">
          <w:rPr>
            <w:rStyle w:val="Hyperlink"/>
            <w:rFonts w:ascii="Arial" w:eastAsia="Times New Roman" w:hAnsi="Arial" w:cs="Arial"/>
            <w:sz w:val="24"/>
            <w:szCs w:val="24"/>
          </w:rPr>
          <w:t>P&amp;F PACT Intranet page</w:t>
        </w:r>
      </w:hyperlink>
      <w:r w:rsidRPr="00CA31B6">
        <w:rPr>
          <w:rFonts w:ascii="Arial" w:eastAsia="Times New Roman" w:hAnsi="Arial" w:cs="Arial"/>
          <w:sz w:val="24"/>
          <w:szCs w:val="24"/>
        </w:rPr>
        <w:t>.</w:t>
      </w:r>
    </w:p>
    <w:p w14:paraId="2E763736" w14:textId="77777777" w:rsidR="006E2362" w:rsidRPr="00CA31B6" w:rsidRDefault="006E2362" w:rsidP="00CA31B6">
      <w:pPr>
        <w:pStyle w:val="ListParagraph"/>
        <w:numPr>
          <w:ilvl w:val="1"/>
          <w:numId w:val="19"/>
        </w:numPr>
        <w:tabs>
          <w:tab w:val="clear" w:pos="1440"/>
        </w:tabs>
        <w:spacing w:before="0" w:after="0"/>
        <w:rPr>
          <w:rFonts w:ascii="Arial" w:eastAsia="Times New Roman" w:hAnsi="Arial" w:cs="Arial"/>
          <w:sz w:val="24"/>
          <w:szCs w:val="24"/>
        </w:rPr>
      </w:pPr>
      <w:r w:rsidRPr="00CA31B6">
        <w:rPr>
          <w:rFonts w:ascii="Arial" w:eastAsia="Times New Roman" w:hAnsi="Arial" w:cs="Arial"/>
          <w:sz w:val="24"/>
          <w:szCs w:val="24"/>
        </w:rPr>
        <w:t>Guidance related to TERA/MOS and TERA/noise exposure are currently under policy review. Questions in the FAQ related to TERA/MOS and TERA/noise exposure have been temporarily removed from the PACT Act FAQs and will be re-added once policy can be further clarified.</w:t>
      </w:r>
    </w:p>
    <w:p w14:paraId="0830EE55" w14:textId="77777777" w:rsidR="006E2362" w:rsidRPr="00CA31B6" w:rsidRDefault="006E2362" w:rsidP="00CA31B6">
      <w:pPr>
        <w:numPr>
          <w:ilvl w:val="0"/>
          <w:numId w:val="19"/>
        </w:numPr>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July 24, 2024 -- Comp. Service updated the </w:t>
      </w:r>
      <w:r w:rsidRPr="00CA31B6">
        <w:rPr>
          <w:rFonts w:ascii="Arial" w:eastAsia="Times New Roman" w:hAnsi="Arial" w:cs="Arial"/>
          <w:b/>
          <w:bCs/>
          <w:i/>
          <w:iCs/>
          <w:sz w:val="24"/>
          <w:szCs w:val="24"/>
        </w:rPr>
        <w:t>TERA Memorandum</w:t>
      </w:r>
      <w:r w:rsidRPr="00CA31B6">
        <w:rPr>
          <w:rFonts w:ascii="Arial" w:eastAsia="Times New Roman" w:hAnsi="Arial" w:cs="Arial"/>
          <w:sz w:val="24"/>
          <w:szCs w:val="24"/>
        </w:rPr>
        <w:t xml:space="preserve"> (v2). </w:t>
      </w:r>
    </w:p>
    <w:p w14:paraId="5833F2F1" w14:textId="77777777" w:rsidR="006E2362" w:rsidRPr="00CA31B6" w:rsidRDefault="006E2362" w:rsidP="00CA31B6">
      <w:pPr>
        <w:numPr>
          <w:ilvl w:val="1"/>
          <w:numId w:val="19"/>
        </w:numPr>
        <w:tabs>
          <w:tab w:val="clear" w:pos="1440"/>
        </w:tabs>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Newest version is available on the </w:t>
      </w:r>
      <w:hyperlink r:id="rId14" w:history="1">
        <w:r w:rsidRPr="00CA31B6">
          <w:rPr>
            <w:rStyle w:val="Hyperlink"/>
            <w:rFonts w:ascii="Arial" w:eastAsia="Times New Roman" w:hAnsi="Arial" w:cs="Arial"/>
            <w:sz w:val="24"/>
            <w:szCs w:val="24"/>
          </w:rPr>
          <w:t>CS PACT intranet page</w:t>
        </w:r>
      </w:hyperlink>
      <w:r w:rsidRPr="00CA31B6">
        <w:rPr>
          <w:rFonts w:ascii="Arial" w:eastAsia="Times New Roman" w:hAnsi="Arial" w:cs="Arial"/>
          <w:sz w:val="24"/>
          <w:szCs w:val="24"/>
        </w:rPr>
        <w:t xml:space="preserve"> and attached with this bulletin. Please be sure claim processors are using the most updated version of the memo.</w:t>
      </w:r>
      <w:bookmarkEnd w:id="14"/>
    </w:p>
    <w:p w14:paraId="5BFBED01" w14:textId="77777777" w:rsidR="006E2362" w:rsidRPr="00CA31B6" w:rsidRDefault="006E2362" w:rsidP="00CA31B6">
      <w:pPr>
        <w:spacing w:before="0" w:after="0"/>
        <w:rPr>
          <w:rFonts w:ascii="Arial" w:hAnsi="Arial" w:cs="Arial"/>
          <w:sz w:val="24"/>
          <w:szCs w:val="24"/>
          <w:highlight w:val="yellow"/>
        </w:rPr>
      </w:pPr>
    </w:p>
    <w:p w14:paraId="6AC016F4" w14:textId="77777777" w:rsidR="006E2362" w:rsidRPr="002E0BAE" w:rsidRDefault="006E2362" w:rsidP="00CA31B6">
      <w:pPr>
        <w:pStyle w:val="NormalWeb"/>
        <w:spacing w:before="0" w:beforeAutospacing="0" w:after="0" w:afterAutospacing="0"/>
        <w:rPr>
          <w:rFonts w:ascii="Arial" w:hAnsi="Arial" w:cs="Arial"/>
        </w:rPr>
      </w:pPr>
      <w:bookmarkStart w:id="15" w:name="_Hlk177126932"/>
      <w:r w:rsidRPr="002E0BAE">
        <w:rPr>
          <w:rFonts w:ascii="Arial" w:hAnsi="Arial" w:cs="Arial"/>
          <w:b/>
          <w:bCs/>
          <w:i/>
          <w:iCs/>
        </w:rPr>
        <w:t>M21-1 Updates Related to PACT</w:t>
      </w:r>
    </w:p>
    <w:bookmarkEnd w:id="15"/>
    <w:p w14:paraId="663D7571" w14:textId="77777777" w:rsidR="006E2362" w:rsidRPr="002E0BAE" w:rsidRDefault="006E2362" w:rsidP="00CA31B6">
      <w:pPr>
        <w:spacing w:before="0" w:after="0"/>
        <w:textAlignment w:val="center"/>
        <w:rPr>
          <w:rFonts w:ascii="Arial" w:eastAsia="Times New Roman" w:hAnsi="Arial" w:cs="Arial"/>
          <w:sz w:val="22"/>
          <w:szCs w:val="22"/>
        </w:rPr>
      </w:pPr>
    </w:p>
    <w:p w14:paraId="5ECF51FB" w14:textId="77777777" w:rsidR="006E2362" w:rsidRPr="00CA31B6" w:rsidRDefault="006E2362" w:rsidP="00CA31B6">
      <w:pPr>
        <w:numPr>
          <w:ilvl w:val="0"/>
          <w:numId w:val="24"/>
        </w:numPr>
        <w:spacing w:before="0" w:after="0"/>
        <w:textAlignment w:val="center"/>
        <w:rPr>
          <w:rFonts w:ascii="Arial" w:eastAsia="Times New Roman" w:hAnsi="Arial" w:cs="Arial"/>
          <w:sz w:val="24"/>
          <w:szCs w:val="24"/>
        </w:rPr>
      </w:pPr>
      <w:hyperlink r:id="rId15" w:history="1">
        <w:r w:rsidRPr="00CA31B6">
          <w:rPr>
            <w:rStyle w:val="Hyperlink"/>
            <w:rFonts w:ascii="Arial" w:eastAsia="Times New Roman" w:hAnsi="Arial" w:cs="Arial"/>
            <w:sz w:val="24"/>
            <w:szCs w:val="24"/>
          </w:rPr>
          <w:t xml:space="preserve">VIII.i.1.B.1.i.  Conditions Determined to Have No Positive Association </w:t>
        </w:r>
        <w:proofErr w:type="gramStart"/>
        <w:r w:rsidRPr="00CA31B6">
          <w:rPr>
            <w:rStyle w:val="Hyperlink"/>
            <w:rFonts w:ascii="Arial" w:eastAsia="Times New Roman" w:hAnsi="Arial" w:cs="Arial"/>
            <w:sz w:val="24"/>
            <w:szCs w:val="24"/>
          </w:rPr>
          <w:t>With</w:t>
        </w:r>
        <w:proofErr w:type="gramEnd"/>
        <w:r w:rsidRPr="00CA31B6">
          <w:rPr>
            <w:rStyle w:val="Hyperlink"/>
            <w:rFonts w:ascii="Arial" w:eastAsia="Times New Roman" w:hAnsi="Arial" w:cs="Arial"/>
            <w:sz w:val="24"/>
            <w:szCs w:val="24"/>
          </w:rPr>
          <w:t xml:space="preserve"> Herbicide Exposure</w:t>
        </w:r>
      </w:hyperlink>
      <w:r w:rsidRPr="00CA31B6">
        <w:rPr>
          <w:rFonts w:ascii="Arial" w:eastAsia="Times New Roman" w:hAnsi="Arial" w:cs="Arial"/>
          <w:color w:val="000000"/>
          <w:sz w:val="24"/>
          <w:szCs w:val="24"/>
        </w:rPr>
        <w:t xml:space="preserve"> </w:t>
      </w:r>
    </w:p>
    <w:bookmarkStart w:id="16" w:name="_Hlk177127873"/>
    <w:p w14:paraId="6AF39114" w14:textId="77777777" w:rsidR="006E2362" w:rsidRPr="00CA31B6" w:rsidRDefault="006E2362" w:rsidP="00CA31B6">
      <w:pPr>
        <w:numPr>
          <w:ilvl w:val="0"/>
          <w:numId w:val="25"/>
        </w:numPr>
        <w:spacing w:before="0" w:after="0"/>
        <w:textAlignment w:val="center"/>
        <w:rPr>
          <w:rFonts w:ascii="Arial" w:eastAsia="Times New Roman" w:hAnsi="Arial" w:cs="Arial"/>
          <w:sz w:val="24"/>
          <w:szCs w:val="24"/>
        </w:rPr>
      </w:pPr>
      <w:r w:rsidRPr="00CA31B6">
        <w:rPr>
          <w:rFonts w:ascii="Arial" w:eastAsia="Times New Roman" w:hAnsi="Arial" w:cs="Arial"/>
          <w:sz w:val="24"/>
          <w:szCs w:val="24"/>
        </w:rPr>
        <w:fldChar w:fldCharType="begin"/>
      </w:r>
      <w:r w:rsidRPr="00CA31B6">
        <w:rPr>
          <w:rFonts w:ascii="Arial" w:eastAsia="Times New Roman" w:hAnsi="Arial" w:cs="Arial"/>
          <w:sz w:val="24"/>
          <w:szCs w:val="24"/>
        </w:rPr>
        <w:instrText>HYPERLINK "https://vaww.vrm.km.va.gov/system/templates/selfservice/va_kanew/help/agent/locale/en-US/portal/554400000001034/content/554400000174189/M21-1-Part-XI-Subpart-ii-Chapter-1-Referral-for-Consideration-of-Survivors-Benefits"</w:instrText>
      </w:r>
      <w:r w:rsidRPr="00CA31B6">
        <w:rPr>
          <w:rFonts w:ascii="Arial" w:eastAsia="Times New Roman" w:hAnsi="Arial" w:cs="Arial"/>
          <w:sz w:val="24"/>
          <w:szCs w:val="24"/>
        </w:rPr>
      </w:r>
      <w:r w:rsidRPr="00CA31B6">
        <w:rPr>
          <w:rFonts w:ascii="Arial" w:eastAsia="Times New Roman" w:hAnsi="Arial" w:cs="Arial"/>
          <w:sz w:val="24"/>
          <w:szCs w:val="24"/>
        </w:rPr>
        <w:fldChar w:fldCharType="separate"/>
      </w:r>
      <w:proofErr w:type="gramStart"/>
      <w:r w:rsidRPr="00CA31B6">
        <w:rPr>
          <w:rStyle w:val="Hyperlink"/>
          <w:rFonts w:ascii="Arial" w:eastAsia="Times New Roman" w:hAnsi="Arial" w:cs="Arial"/>
          <w:sz w:val="24"/>
          <w:szCs w:val="24"/>
        </w:rPr>
        <w:t>XI.ii.1.1  Referring</w:t>
      </w:r>
      <w:proofErr w:type="gramEnd"/>
      <w:r w:rsidRPr="00CA31B6">
        <w:rPr>
          <w:rStyle w:val="Hyperlink"/>
          <w:rFonts w:ascii="Arial" w:eastAsia="Times New Roman" w:hAnsi="Arial" w:cs="Arial"/>
          <w:sz w:val="24"/>
          <w:szCs w:val="24"/>
        </w:rPr>
        <w:t xml:space="preserve"> Claims Involving Death After Service</w:t>
      </w:r>
      <w:r w:rsidRPr="00CA31B6">
        <w:rPr>
          <w:rFonts w:ascii="Arial" w:eastAsia="Times New Roman" w:hAnsi="Arial" w:cs="Arial"/>
          <w:sz w:val="24"/>
          <w:szCs w:val="24"/>
        </w:rPr>
        <w:fldChar w:fldCharType="end"/>
      </w:r>
    </w:p>
    <w:p w14:paraId="1D11A2F4" w14:textId="77777777" w:rsidR="006E2362" w:rsidRPr="00CA31B6" w:rsidRDefault="006E2362" w:rsidP="00CA31B6">
      <w:pPr>
        <w:numPr>
          <w:ilvl w:val="1"/>
          <w:numId w:val="25"/>
        </w:numPr>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Updated for implicit reviews of SC death: </w:t>
      </w:r>
    </w:p>
    <w:p w14:paraId="48A539B1" w14:textId="77777777" w:rsidR="006E2362" w:rsidRPr="00CA31B6" w:rsidRDefault="006E2362" w:rsidP="00CA31B6">
      <w:pPr>
        <w:numPr>
          <w:ilvl w:val="2"/>
          <w:numId w:val="26"/>
        </w:numPr>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XI.ii.1.1.c.  Award of Survivors Pension Prior to Rating Decision Regarding SC Death</w:t>
      </w:r>
    </w:p>
    <w:p w14:paraId="05A306FB" w14:textId="77777777" w:rsidR="006E2362" w:rsidRPr="00CA31B6" w:rsidRDefault="006E2362" w:rsidP="00CA31B6">
      <w:pPr>
        <w:numPr>
          <w:ilvl w:val="2"/>
          <w:numId w:val="26"/>
        </w:numPr>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XI.ii.1.1.d.  Specific Situations in Which Survivors Benefits Claims Must Be Referred to the Rating Activity</w:t>
      </w:r>
    </w:p>
    <w:p w14:paraId="395B8CCE" w14:textId="77777777" w:rsidR="006E2362" w:rsidRPr="00CA31B6" w:rsidRDefault="006E2362" w:rsidP="00CA31B6">
      <w:pPr>
        <w:numPr>
          <w:ilvl w:val="1"/>
          <w:numId w:val="26"/>
        </w:numPr>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New sections added for implicit reviews of SC death: </w:t>
      </w:r>
    </w:p>
    <w:p w14:paraId="08358EFC" w14:textId="77777777" w:rsidR="006E2362" w:rsidRPr="00CA31B6" w:rsidRDefault="006E2362" w:rsidP="00CA31B6">
      <w:pPr>
        <w:numPr>
          <w:ilvl w:val="2"/>
          <w:numId w:val="26"/>
        </w:numPr>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 xml:space="preserve">XI.ii.1.1.e.  Determining When a Review for Implicit SC for the Cause of Death Is Needed and Referring the Claim to the Rating Activity </w:t>
      </w:r>
    </w:p>
    <w:p w14:paraId="09BB0C5A" w14:textId="77777777" w:rsidR="006E2362" w:rsidRPr="00CA31B6" w:rsidRDefault="006E2362" w:rsidP="00CA31B6">
      <w:pPr>
        <w:numPr>
          <w:ilvl w:val="2"/>
          <w:numId w:val="26"/>
        </w:numPr>
        <w:spacing w:before="0" w:after="0"/>
        <w:textAlignment w:val="center"/>
        <w:rPr>
          <w:rFonts w:ascii="Arial" w:eastAsia="Times New Roman" w:hAnsi="Arial" w:cs="Arial"/>
          <w:sz w:val="24"/>
          <w:szCs w:val="24"/>
        </w:rPr>
      </w:pPr>
      <w:r w:rsidRPr="00CA31B6">
        <w:rPr>
          <w:rFonts w:ascii="Arial" w:eastAsia="Times New Roman" w:hAnsi="Arial" w:cs="Arial"/>
          <w:sz w:val="24"/>
          <w:szCs w:val="24"/>
        </w:rPr>
        <w:t>XI.ii.1.1.f.  Rating Activity’s Responsibilities Upon Review of an Implicit Claim for SC Death</w:t>
      </w:r>
    </w:p>
    <w:bookmarkStart w:id="17" w:name="_Hlk177128435"/>
    <w:p w14:paraId="074F7B93" w14:textId="77777777" w:rsidR="006E2362" w:rsidRPr="00CA31B6" w:rsidRDefault="006E2362" w:rsidP="00CA31B6">
      <w:pPr>
        <w:numPr>
          <w:ilvl w:val="0"/>
          <w:numId w:val="26"/>
        </w:numPr>
        <w:spacing w:before="0" w:after="0"/>
        <w:textAlignment w:val="center"/>
        <w:rPr>
          <w:rFonts w:ascii="Arial" w:eastAsia="Times New Roman" w:hAnsi="Arial" w:cs="Arial"/>
          <w:sz w:val="24"/>
          <w:szCs w:val="24"/>
        </w:rPr>
      </w:pPr>
      <w:r w:rsidRPr="00CA31B6">
        <w:rPr>
          <w:rFonts w:ascii="Arial" w:hAnsi="Arial" w:cs="Arial"/>
          <w:sz w:val="24"/>
          <w:szCs w:val="24"/>
        </w:rPr>
        <w:fldChar w:fldCharType="begin"/>
      </w:r>
      <w:r w:rsidRPr="00CA31B6">
        <w:rPr>
          <w:rFonts w:ascii="Arial" w:hAnsi="Arial" w:cs="Arial"/>
          <w:sz w:val="24"/>
          <w:szCs w:val="24"/>
        </w:rPr>
        <w:instrText>HYPERLINK "https://vaww.vrm.km.va.gov/system/templates/selfservice/va_kanew/help/agent/locale/en-US/portal/554400000001034/content/554400000174201/M21-1-Part-XI-Subpart-iii-Chapter-1-Section-B-Burial-Benefits"</w:instrText>
      </w:r>
      <w:r w:rsidRPr="00CA31B6">
        <w:rPr>
          <w:rFonts w:ascii="Arial" w:hAnsi="Arial" w:cs="Arial"/>
          <w:sz w:val="24"/>
          <w:szCs w:val="24"/>
        </w:rPr>
      </w:r>
      <w:r w:rsidRPr="00CA31B6">
        <w:rPr>
          <w:rFonts w:ascii="Arial" w:hAnsi="Arial" w:cs="Arial"/>
          <w:sz w:val="24"/>
          <w:szCs w:val="24"/>
        </w:rPr>
        <w:fldChar w:fldCharType="separate"/>
      </w:r>
      <w:r w:rsidRPr="00CA31B6">
        <w:rPr>
          <w:rStyle w:val="Hyperlink"/>
          <w:rFonts w:ascii="Arial" w:hAnsi="Arial" w:cs="Arial"/>
          <w:sz w:val="24"/>
          <w:szCs w:val="24"/>
        </w:rPr>
        <w:t>XI.iii.</w:t>
      </w:r>
      <w:proofErr w:type="gramStart"/>
      <w:r w:rsidRPr="00CA31B6">
        <w:rPr>
          <w:rStyle w:val="Hyperlink"/>
          <w:rFonts w:ascii="Arial" w:hAnsi="Arial" w:cs="Arial"/>
          <w:sz w:val="24"/>
          <w:szCs w:val="24"/>
        </w:rPr>
        <w:t>1.B.</w:t>
      </w:r>
      <w:proofErr w:type="gramEnd"/>
      <w:r w:rsidRPr="00CA31B6">
        <w:rPr>
          <w:rStyle w:val="Hyperlink"/>
          <w:rFonts w:ascii="Arial" w:hAnsi="Arial" w:cs="Arial"/>
          <w:sz w:val="24"/>
          <w:szCs w:val="24"/>
        </w:rPr>
        <w:t>3.c</w:t>
      </w:r>
      <w:bookmarkStart w:id="18" w:name="3c"/>
      <w:r w:rsidRPr="00CA31B6">
        <w:rPr>
          <w:rStyle w:val="Hyperlink"/>
          <w:rFonts w:ascii="Arial" w:hAnsi="Arial" w:cs="Arial"/>
          <w:sz w:val="24"/>
          <w:szCs w:val="24"/>
        </w:rPr>
        <w:t>.</w:t>
      </w:r>
      <w:bookmarkEnd w:id="18"/>
      <w:r w:rsidRPr="00CA31B6">
        <w:rPr>
          <w:rStyle w:val="Hyperlink"/>
          <w:rFonts w:ascii="Arial" w:hAnsi="Arial" w:cs="Arial"/>
          <w:sz w:val="24"/>
          <w:szCs w:val="24"/>
        </w:rPr>
        <w:t>  Referring a Claim for NSC Burial Allowance to the Rating Activity</w:t>
      </w:r>
      <w:r w:rsidRPr="00CA31B6">
        <w:rPr>
          <w:rFonts w:ascii="Arial" w:hAnsi="Arial" w:cs="Arial"/>
          <w:sz w:val="24"/>
          <w:szCs w:val="24"/>
        </w:rPr>
        <w:fldChar w:fldCharType="end"/>
      </w:r>
    </w:p>
    <w:bookmarkEnd w:id="16"/>
    <w:bookmarkEnd w:id="17"/>
    <w:p w14:paraId="0F445AE5" w14:textId="77777777" w:rsidR="006E2362" w:rsidRPr="002E0BAE" w:rsidRDefault="006E2362" w:rsidP="00CA31B6">
      <w:pPr>
        <w:spacing w:before="0" w:after="0"/>
        <w:textAlignment w:val="center"/>
        <w:rPr>
          <w:rFonts w:ascii="Arial" w:eastAsia="Times New Roman" w:hAnsi="Arial" w:cs="Arial"/>
          <w:sz w:val="22"/>
          <w:szCs w:val="22"/>
        </w:rPr>
      </w:pPr>
    </w:p>
    <w:p w14:paraId="4C5FC846" w14:textId="77777777" w:rsidR="006E2362" w:rsidRPr="002E0BAE" w:rsidRDefault="006E2362" w:rsidP="00CA31B6">
      <w:pPr>
        <w:shd w:val="clear" w:color="auto" w:fill="FFFFFF"/>
        <w:spacing w:before="0" w:after="0"/>
        <w:rPr>
          <w:rFonts w:ascii="Arial" w:eastAsiaTheme="minorHAnsi" w:hAnsi="Arial" w:cs="Arial"/>
          <w:sz w:val="24"/>
          <w:szCs w:val="24"/>
        </w:rPr>
      </w:pPr>
      <w:r w:rsidRPr="002E0BAE">
        <w:rPr>
          <w:rFonts w:ascii="Arial" w:eastAsiaTheme="minorHAnsi" w:hAnsi="Arial" w:cs="Arial"/>
          <w:sz w:val="24"/>
          <w:szCs w:val="24"/>
        </w:rPr>
        <w:t xml:space="preserve">Please direct all PACT related questions to the FIT tool and select the PACT category. </w:t>
      </w:r>
    </w:p>
    <w:tbl>
      <w:tblPr>
        <w:tblStyle w:val="GridTable1Light"/>
        <w:tblW w:w="53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Description w:val="Content table"/>
      </w:tblPr>
      <w:tblGrid>
        <w:gridCol w:w="2608"/>
        <w:gridCol w:w="79"/>
        <w:gridCol w:w="7784"/>
        <w:gridCol w:w="540"/>
      </w:tblGrid>
      <w:tr w:rsidR="006E2362" w:rsidRPr="002E0BAE" w14:paraId="65371053" w14:textId="77777777" w:rsidTr="00FB7923">
        <w:trPr>
          <w:trHeight w:val="606"/>
          <w:tblHeader/>
        </w:trPr>
        <w:tc>
          <w:tcPr>
            <w:tcW w:w="2388" w:type="dxa"/>
            <w:vAlign w:val="bottom"/>
          </w:tcPr>
          <w:p w14:paraId="11931168" w14:textId="77777777" w:rsidR="006E2362" w:rsidRPr="002E0BAE" w:rsidRDefault="006E2362" w:rsidP="00CA31B6">
            <w:pPr>
              <w:pStyle w:val="Heading2"/>
              <w:spacing w:before="0"/>
              <w:rPr>
                <w:rFonts w:ascii="Arial" w:hAnsi="Arial"/>
                <w:sz w:val="24"/>
                <w:szCs w:val="24"/>
              </w:rPr>
            </w:pPr>
            <w:r w:rsidRPr="002E0BAE">
              <w:rPr>
                <w:rFonts w:ascii="Arial" w:hAnsi="Arial"/>
                <w:sz w:val="24"/>
                <w:szCs w:val="24"/>
              </w:rPr>
              <w:t>References/Contacts</w:t>
            </w:r>
          </w:p>
        </w:tc>
        <w:tc>
          <w:tcPr>
            <w:tcW w:w="72" w:type="dxa"/>
          </w:tcPr>
          <w:p w14:paraId="520F6C71" w14:textId="77777777" w:rsidR="006E2362" w:rsidRPr="002E0BAE" w:rsidRDefault="006E2362" w:rsidP="00CA31B6">
            <w:pPr>
              <w:pStyle w:val="Heading2"/>
              <w:spacing w:before="0"/>
              <w:rPr>
                <w:rFonts w:ascii="Arial" w:hAnsi="Arial"/>
                <w:sz w:val="24"/>
                <w:szCs w:val="24"/>
              </w:rPr>
            </w:pPr>
          </w:p>
        </w:tc>
        <w:tc>
          <w:tcPr>
            <w:tcW w:w="7127" w:type="dxa"/>
            <w:vAlign w:val="bottom"/>
          </w:tcPr>
          <w:p w14:paraId="34C00497" w14:textId="77777777" w:rsidR="006E2362" w:rsidRPr="002E0BAE" w:rsidRDefault="006E2362" w:rsidP="00CA31B6">
            <w:pPr>
              <w:pStyle w:val="Heading2"/>
              <w:spacing w:before="0"/>
              <w:rPr>
                <w:rFonts w:ascii="Arial" w:hAnsi="Arial"/>
                <w:sz w:val="24"/>
                <w:szCs w:val="24"/>
              </w:rPr>
            </w:pPr>
          </w:p>
        </w:tc>
        <w:tc>
          <w:tcPr>
            <w:tcW w:w="494" w:type="dxa"/>
            <w:vAlign w:val="bottom"/>
          </w:tcPr>
          <w:p w14:paraId="457CF104" w14:textId="77777777" w:rsidR="006E2362" w:rsidRPr="002E0BAE" w:rsidRDefault="006E2362" w:rsidP="00CA31B6">
            <w:pPr>
              <w:pStyle w:val="Heading2"/>
              <w:spacing w:before="0"/>
              <w:rPr>
                <w:rFonts w:ascii="Arial" w:hAnsi="Arial"/>
                <w:sz w:val="24"/>
                <w:szCs w:val="24"/>
              </w:rPr>
            </w:pPr>
          </w:p>
        </w:tc>
      </w:tr>
      <w:tr w:rsidR="006E2362" w:rsidRPr="002E0BAE" w14:paraId="38F43C6B" w14:textId="77777777" w:rsidTr="00FB7923">
        <w:trPr>
          <w:trHeight w:val="331"/>
        </w:trPr>
        <w:tc>
          <w:tcPr>
            <w:tcW w:w="2388" w:type="dxa"/>
          </w:tcPr>
          <w:p w14:paraId="0C7A333F" w14:textId="77777777" w:rsidR="006E2362" w:rsidRPr="002E0BAE" w:rsidRDefault="006E2362" w:rsidP="00CA31B6">
            <w:pPr>
              <w:pStyle w:val="ListBullet"/>
              <w:spacing w:before="0"/>
              <w:rPr>
                <w:rFonts w:ascii="Arial" w:hAnsi="Arial" w:cs="Arial"/>
                <w:sz w:val="24"/>
                <w:szCs w:val="24"/>
              </w:rPr>
            </w:pPr>
            <w:r w:rsidRPr="002E0BAE">
              <w:rPr>
                <w:rFonts w:ascii="Arial" w:hAnsi="Arial" w:cs="Arial"/>
                <w:sz w:val="24"/>
                <w:szCs w:val="24"/>
              </w:rPr>
              <w:t>PMC Intranet Site</w:t>
            </w:r>
          </w:p>
        </w:tc>
        <w:tc>
          <w:tcPr>
            <w:tcW w:w="72" w:type="dxa"/>
          </w:tcPr>
          <w:p w14:paraId="470CAB5D" w14:textId="77777777" w:rsidR="006E2362" w:rsidRPr="002E0BAE" w:rsidRDefault="006E2362" w:rsidP="00CA31B6">
            <w:pPr>
              <w:spacing w:before="0"/>
              <w:rPr>
                <w:rFonts w:ascii="Arial" w:hAnsi="Arial" w:cs="Arial"/>
              </w:rPr>
            </w:pPr>
          </w:p>
        </w:tc>
        <w:tc>
          <w:tcPr>
            <w:tcW w:w="7127" w:type="dxa"/>
          </w:tcPr>
          <w:p w14:paraId="4C16E075" w14:textId="77777777" w:rsidR="006E2362" w:rsidRPr="002E0BAE" w:rsidRDefault="006E2362" w:rsidP="00CA31B6">
            <w:pPr>
              <w:spacing w:before="0"/>
              <w:rPr>
                <w:rFonts w:ascii="Arial" w:hAnsi="Arial" w:cs="Arial"/>
                <w:sz w:val="24"/>
                <w:szCs w:val="24"/>
              </w:rPr>
            </w:pPr>
            <w:hyperlink r:id="rId16" w:history="1">
              <w:r w:rsidRPr="002E0BAE">
                <w:rPr>
                  <w:rStyle w:val="Hyperlink"/>
                  <w:rFonts w:ascii="Arial" w:hAnsi="Arial" w:cs="Arial"/>
                  <w:sz w:val="24"/>
                  <w:szCs w:val="24"/>
                </w:rPr>
                <w:t>PACT Act - Pension and Fiduciary Service (va.gov)</w:t>
              </w:r>
            </w:hyperlink>
          </w:p>
        </w:tc>
        <w:tc>
          <w:tcPr>
            <w:tcW w:w="494" w:type="dxa"/>
          </w:tcPr>
          <w:p w14:paraId="24ADC1E5" w14:textId="77777777" w:rsidR="006E2362" w:rsidRPr="002E0BAE" w:rsidRDefault="006E2362" w:rsidP="00CA31B6">
            <w:pPr>
              <w:spacing w:before="0"/>
              <w:rPr>
                <w:rFonts w:ascii="Arial" w:hAnsi="Arial" w:cs="Arial"/>
                <w:sz w:val="24"/>
                <w:szCs w:val="24"/>
              </w:rPr>
            </w:pPr>
          </w:p>
        </w:tc>
      </w:tr>
      <w:tr w:rsidR="006E2362" w:rsidRPr="000E3555" w14:paraId="23EE01EA" w14:textId="77777777" w:rsidTr="00FB7923">
        <w:trPr>
          <w:trHeight w:val="331"/>
        </w:trPr>
        <w:tc>
          <w:tcPr>
            <w:tcW w:w="2388" w:type="dxa"/>
          </w:tcPr>
          <w:p w14:paraId="0CBEA0A1" w14:textId="77777777" w:rsidR="006E2362" w:rsidRPr="000E3555" w:rsidRDefault="006E2362" w:rsidP="00CA31B6">
            <w:pPr>
              <w:pStyle w:val="ListBullet"/>
              <w:spacing w:before="0"/>
              <w:rPr>
                <w:rFonts w:ascii="Arial" w:hAnsi="Arial" w:cs="Arial"/>
                <w:sz w:val="24"/>
                <w:szCs w:val="24"/>
              </w:rPr>
            </w:pPr>
            <w:r w:rsidRPr="000E3555">
              <w:rPr>
                <w:rFonts w:ascii="Arial" w:hAnsi="Arial" w:cs="Arial"/>
                <w:sz w:val="24"/>
                <w:szCs w:val="24"/>
              </w:rPr>
              <w:t>CS Intranet Site</w:t>
            </w:r>
          </w:p>
        </w:tc>
        <w:tc>
          <w:tcPr>
            <w:tcW w:w="72" w:type="dxa"/>
          </w:tcPr>
          <w:p w14:paraId="0824E61B" w14:textId="77777777" w:rsidR="006E2362" w:rsidRPr="000E3555" w:rsidRDefault="006E2362" w:rsidP="00CA31B6">
            <w:pPr>
              <w:spacing w:before="0"/>
              <w:rPr>
                <w:rFonts w:ascii="Arial" w:hAnsi="Arial" w:cs="Arial"/>
                <w:sz w:val="24"/>
                <w:szCs w:val="24"/>
              </w:rPr>
            </w:pPr>
          </w:p>
        </w:tc>
        <w:tc>
          <w:tcPr>
            <w:tcW w:w="7127" w:type="dxa"/>
          </w:tcPr>
          <w:p w14:paraId="0A9C5455" w14:textId="77777777" w:rsidR="006E2362" w:rsidRPr="000E3555" w:rsidRDefault="006E2362" w:rsidP="00CA31B6">
            <w:pPr>
              <w:spacing w:before="0"/>
              <w:rPr>
                <w:rFonts w:ascii="Arial" w:hAnsi="Arial" w:cs="Arial"/>
                <w:sz w:val="24"/>
                <w:szCs w:val="24"/>
              </w:rPr>
            </w:pPr>
            <w:hyperlink r:id="rId17" w:history="1">
              <w:r w:rsidRPr="000E3555">
                <w:rPr>
                  <w:rStyle w:val="Hyperlink"/>
                  <w:rFonts w:ascii="Arial" w:hAnsi="Arial" w:cs="Arial"/>
                  <w:sz w:val="24"/>
                  <w:szCs w:val="24"/>
                </w:rPr>
                <w:t>PACT Act Information Page (va.gov)</w:t>
              </w:r>
            </w:hyperlink>
          </w:p>
        </w:tc>
        <w:tc>
          <w:tcPr>
            <w:tcW w:w="494" w:type="dxa"/>
          </w:tcPr>
          <w:p w14:paraId="2A5BEF09" w14:textId="77777777" w:rsidR="006E2362" w:rsidRPr="000E3555" w:rsidRDefault="006E2362" w:rsidP="00CA31B6">
            <w:pPr>
              <w:spacing w:before="0"/>
              <w:rPr>
                <w:rFonts w:ascii="Arial" w:hAnsi="Arial" w:cs="Arial"/>
                <w:sz w:val="24"/>
                <w:szCs w:val="24"/>
              </w:rPr>
            </w:pPr>
          </w:p>
        </w:tc>
      </w:tr>
      <w:tr w:rsidR="006E2362" w:rsidRPr="002E0BAE" w14:paraId="4823F40E" w14:textId="77777777" w:rsidTr="00FB7923">
        <w:trPr>
          <w:trHeight w:val="423"/>
        </w:trPr>
        <w:tc>
          <w:tcPr>
            <w:tcW w:w="2388" w:type="dxa"/>
          </w:tcPr>
          <w:p w14:paraId="7CCC3915" w14:textId="77777777" w:rsidR="006E2362" w:rsidRPr="002E0BAE" w:rsidRDefault="006E2362" w:rsidP="00CA31B6">
            <w:pPr>
              <w:pStyle w:val="ListBullet"/>
              <w:numPr>
                <w:ilvl w:val="0"/>
                <w:numId w:val="3"/>
              </w:numPr>
              <w:spacing w:before="0"/>
              <w:rPr>
                <w:rFonts w:ascii="Arial" w:hAnsi="Arial" w:cs="Arial"/>
                <w:sz w:val="24"/>
                <w:szCs w:val="24"/>
              </w:rPr>
            </w:pPr>
            <w:r w:rsidRPr="002E0BAE">
              <w:rPr>
                <w:rFonts w:ascii="Arial" w:hAnsi="Arial" w:cs="Arial"/>
                <w:sz w:val="24"/>
                <w:szCs w:val="24"/>
              </w:rPr>
              <w:t>Questions</w:t>
            </w:r>
          </w:p>
        </w:tc>
        <w:tc>
          <w:tcPr>
            <w:tcW w:w="72" w:type="dxa"/>
          </w:tcPr>
          <w:p w14:paraId="41B6DAFB" w14:textId="77777777" w:rsidR="006E2362" w:rsidRPr="002E0BAE" w:rsidRDefault="006E2362" w:rsidP="00CA31B6">
            <w:pPr>
              <w:spacing w:before="0"/>
              <w:rPr>
                <w:rFonts w:ascii="Arial" w:hAnsi="Arial" w:cs="Arial"/>
              </w:rPr>
            </w:pPr>
          </w:p>
        </w:tc>
        <w:tc>
          <w:tcPr>
            <w:tcW w:w="7127" w:type="dxa"/>
          </w:tcPr>
          <w:p w14:paraId="1EFBAEDF" w14:textId="77777777" w:rsidR="006E2362" w:rsidRPr="002E0BAE" w:rsidRDefault="006E2362" w:rsidP="00CA31B6">
            <w:pPr>
              <w:spacing w:before="0"/>
              <w:rPr>
                <w:rFonts w:ascii="Arial" w:hAnsi="Arial" w:cs="Arial"/>
                <w:sz w:val="24"/>
                <w:szCs w:val="24"/>
              </w:rPr>
            </w:pPr>
            <w:hyperlink r:id="rId18" w:history="1">
              <w:r w:rsidRPr="002E0BAE">
                <w:rPr>
                  <w:rStyle w:val="Hyperlink"/>
                  <w:rFonts w:ascii="Arial" w:hAnsi="Arial" w:cs="Arial"/>
                  <w:sz w:val="24"/>
                  <w:szCs w:val="24"/>
                </w:rPr>
                <w:t>Field Inquiry Tool </w:t>
              </w:r>
            </w:hyperlink>
            <w:r w:rsidRPr="002E0BAE">
              <w:rPr>
                <w:rFonts w:ascii="Arial" w:hAnsi="Arial" w:cs="Arial"/>
                <w:color w:val="000000"/>
                <w:sz w:val="24"/>
                <w:szCs w:val="24"/>
              </w:rPr>
              <w:t>(FIT). </w:t>
            </w:r>
          </w:p>
        </w:tc>
        <w:tc>
          <w:tcPr>
            <w:tcW w:w="494" w:type="dxa"/>
          </w:tcPr>
          <w:p w14:paraId="387052C4" w14:textId="77777777" w:rsidR="006E2362" w:rsidRPr="002E0BAE" w:rsidRDefault="006E2362" w:rsidP="00CA31B6">
            <w:pPr>
              <w:spacing w:before="0"/>
              <w:rPr>
                <w:rFonts w:ascii="Arial" w:hAnsi="Arial" w:cs="Arial"/>
                <w:sz w:val="24"/>
                <w:szCs w:val="24"/>
              </w:rPr>
            </w:pPr>
          </w:p>
        </w:tc>
      </w:tr>
    </w:tbl>
    <w:p w14:paraId="3C0865D3" w14:textId="77777777" w:rsidR="006E2362" w:rsidRDefault="006E2362" w:rsidP="00CA31B6">
      <w:pPr>
        <w:spacing w:before="0" w:after="0"/>
      </w:pPr>
    </w:p>
    <w:p w14:paraId="1A1BF707" w14:textId="77777777" w:rsidR="006E2362" w:rsidRDefault="006E2362" w:rsidP="00CA31B6">
      <w:pPr>
        <w:spacing w:before="0" w:after="0"/>
      </w:pPr>
    </w:p>
    <w:p w14:paraId="18C580AC" w14:textId="77B52429" w:rsidR="00AD4FAB" w:rsidRDefault="0054333D" w:rsidP="00CA31B6">
      <w:pPr>
        <w:spacing w:before="0" w:after="0"/>
      </w:pPr>
      <w:r>
        <w:object w:dxaOrig="1508" w:dyaOrig="983" w14:anchorId="3AFDB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9" o:title=""/>
          </v:shape>
          <o:OLEObject Type="Embed" ProgID="Acrobat.Document.DC" ShapeID="_x0000_i1025" DrawAspect="Icon" ObjectID="_1790754302" r:id="rId20"/>
        </w:object>
      </w:r>
    </w:p>
    <w:p w14:paraId="5260B786" w14:textId="77777777" w:rsidR="00AD4FAB" w:rsidRDefault="00AD4FAB" w:rsidP="00CA31B6">
      <w:pPr>
        <w:spacing w:before="0" w:after="0"/>
      </w:pPr>
      <w:r>
        <w:br w:type="page"/>
      </w:r>
    </w:p>
    <w:p w14:paraId="526C3A1A" w14:textId="77777777" w:rsidR="00C50C3F" w:rsidRPr="00857E69" w:rsidRDefault="00C50C3F" w:rsidP="00CA31B6">
      <w:pPr>
        <w:spacing w:before="0" w:after="0"/>
      </w:pPr>
    </w:p>
    <w:tbl>
      <w:tblPr>
        <w:tblW w:w="515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621"/>
        <w:gridCol w:w="4970"/>
        <w:gridCol w:w="699"/>
        <w:gridCol w:w="3241"/>
      </w:tblGrid>
      <w:tr w:rsidR="004364EA" w:rsidRPr="003A435A" w14:paraId="0249966E" w14:textId="77777777" w:rsidTr="005D6D7C">
        <w:tc>
          <w:tcPr>
            <w:tcW w:w="1621" w:type="dxa"/>
          </w:tcPr>
          <w:bookmarkEnd w:id="2"/>
          <w:p w14:paraId="3F2B1389" w14:textId="77777777" w:rsidR="004364EA" w:rsidRPr="003A435A" w:rsidRDefault="00000000" w:rsidP="00CA31B6">
            <w:pPr>
              <w:pStyle w:val="Heading2"/>
              <w:spacing w:before="0" w:after="0"/>
              <w:rPr>
                <w:color w:val="8064A2" w:themeColor="accent4"/>
              </w:rPr>
            </w:pPr>
            <w:sdt>
              <w:sdtPr>
                <w:rPr>
                  <w:color w:val="8064A2" w:themeColor="accent4"/>
                </w:rPr>
                <w:id w:val="-417024925"/>
                <w:placeholder>
                  <w:docPart w:val="5402C8556EC4435AA295548041816E7D"/>
                </w:placeholder>
                <w:temporary/>
                <w:showingPlcHdr/>
                <w15:appearance w15:val="hidden"/>
              </w:sdtPr>
              <w:sdtContent>
                <w:r w:rsidR="004364EA" w:rsidRPr="003A435A">
                  <w:rPr>
                    <w:color w:val="8064A2" w:themeColor="accent4"/>
                    <w:sz w:val="24"/>
                    <w:szCs w:val="24"/>
                  </w:rPr>
                  <w:t>Agenda item:</w:t>
                </w:r>
              </w:sdtContent>
            </w:sdt>
          </w:p>
        </w:tc>
        <w:tc>
          <w:tcPr>
            <w:tcW w:w="4970" w:type="dxa"/>
          </w:tcPr>
          <w:p w14:paraId="7299545F" w14:textId="48A2F5DC" w:rsidR="004364EA" w:rsidRPr="003A435A" w:rsidRDefault="004A6701" w:rsidP="00CA31B6">
            <w:pPr>
              <w:spacing w:before="0" w:after="0"/>
              <w:rPr>
                <w:color w:val="8064A2" w:themeColor="accent4"/>
                <w:sz w:val="24"/>
                <w:szCs w:val="24"/>
              </w:rPr>
            </w:pPr>
            <w:r>
              <w:rPr>
                <w:color w:val="8064A2" w:themeColor="accent4"/>
                <w:sz w:val="24"/>
                <w:szCs w:val="24"/>
              </w:rPr>
              <w:t>Accrued Notification Reminder</w:t>
            </w:r>
            <w:r w:rsidR="0021170B">
              <w:rPr>
                <w:color w:val="8064A2" w:themeColor="accent4"/>
                <w:sz w:val="24"/>
                <w:szCs w:val="24"/>
              </w:rPr>
              <w:t xml:space="preserve">s </w:t>
            </w:r>
          </w:p>
        </w:tc>
        <w:tc>
          <w:tcPr>
            <w:tcW w:w="699" w:type="dxa"/>
          </w:tcPr>
          <w:p w14:paraId="7F46A609" w14:textId="56356FCB" w:rsidR="004364EA" w:rsidRPr="00280C3E" w:rsidRDefault="004364EA" w:rsidP="00CA31B6">
            <w:pPr>
              <w:pStyle w:val="Heading2"/>
              <w:spacing w:before="0" w:after="0"/>
              <w:rPr>
                <w:color w:val="8064A2" w:themeColor="accent4"/>
              </w:rPr>
            </w:pPr>
          </w:p>
        </w:tc>
        <w:tc>
          <w:tcPr>
            <w:tcW w:w="3241" w:type="dxa"/>
          </w:tcPr>
          <w:p w14:paraId="545CAC44" w14:textId="1C034E9C" w:rsidR="004364EA" w:rsidRPr="006D246A" w:rsidRDefault="006D246A" w:rsidP="00CA31B6">
            <w:pPr>
              <w:spacing w:before="0" w:after="0"/>
              <w:rPr>
                <w:color w:val="8064A2" w:themeColor="accent4"/>
                <w:sz w:val="24"/>
                <w:szCs w:val="24"/>
              </w:rPr>
            </w:pPr>
            <w:r>
              <w:rPr>
                <w:b/>
                <w:bCs/>
                <w:color w:val="8064A2" w:themeColor="accent4"/>
                <w:sz w:val="24"/>
                <w:szCs w:val="24"/>
              </w:rPr>
              <w:t xml:space="preserve">Presenter: </w:t>
            </w:r>
            <w:r w:rsidR="004A6701">
              <w:rPr>
                <w:color w:val="8064A2" w:themeColor="accent4"/>
                <w:sz w:val="24"/>
                <w:szCs w:val="24"/>
              </w:rPr>
              <w:t>Chelsey Carlin</w:t>
            </w:r>
            <w:r w:rsidR="00557AE6">
              <w:rPr>
                <w:color w:val="8064A2" w:themeColor="accent4"/>
                <w:sz w:val="24"/>
                <w:szCs w:val="24"/>
              </w:rPr>
              <w:t>, Analyst</w:t>
            </w:r>
          </w:p>
        </w:tc>
      </w:tr>
    </w:tbl>
    <w:p w14:paraId="2546E9CF" w14:textId="218FCF9E" w:rsidR="00AD4FAB" w:rsidRPr="00CA31B6" w:rsidRDefault="00AD4FAB" w:rsidP="00CA31B6">
      <w:pPr>
        <w:pStyle w:val="Heading4"/>
        <w:spacing w:before="0" w:after="0"/>
        <w:rPr>
          <w:rFonts w:cstheme="minorHAnsi"/>
          <w:sz w:val="24"/>
          <w:szCs w:val="24"/>
        </w:rPr>
      </w:pPr>
      <w:bookmarkStart w:id="19" w:name="_Target_Audience:_3"/>
      <w:bookmarkStart w:id="20" w:name="_Discussion:"/>
      <w:bookmarkEnd w:id="19"/>
      <w:bookmarkEnd w:id="20"/>
      <w:r w:rsidRPr="00CA31B6">
        <w:rPr>
          <w:rFonts w:cstheme="minorHAnsi"/>
          <w:sz w:val="24"/>
          <w:szCs w:val="24"/>
        </w:rPr>
        <w:t>Discussion:</w:t>
      </w:r>
    </w:p>
    <w:p w14:paraId="523C0CB0" w14:textId="77777777" w:rsidR="00CA31B6" w:rsidRPr="00CA31B6" w:rsidRDefault="00CA31B6" w:rsidP="00CA31B6">
      <w:pPr>
        <w:pStyle w:val="Heading4"/>
        <w:spacing w:before="0" w:after="0"/>
        <w:rPr>
          <w:rFonts w:cstheme="minorHAnsi"/>
          <w:sz w:val="24"/>
          <w:szCs w:val="24"/>
        </w:rPr>
      </w:pPr>
    </w:p>
    <w:p w14:paraId="70696009" w14:textId="75398466" w:rsidR="00AD4FAB" w:rsidRPr="00CA31B6" w:rsidRDefault="00AD4FAB" w:rsidP="00CA31B6">
      <w:pPr>
        <w:pStyle w:val="NoSpacing"/>
        <w:rPr>
          <w:rFonts w:cstheme="minorHAnsi"/>
          <w:sz w:val="24"/>
          <w:szCs w:val="24"/>
        </w:rPr>
      </w:pPr>
      <w:r w:rsidRPr="00CA31B6">
        <w:rPr>
          <w:rFonts w:cstheme="minorHAnsi"/>
          <w:sz w:val="24"/>
          <w:szCs w:val="24"/>
        </w:rPr>
        <w:t xml:space="preserve">As part of the trend analysis noted in the STAR errors, inaccurate notification letters continue to provide the highest error rate amongst the PMCs. Inaccurate or premature decisions regarding the issue of accrued benefits was one of the trends identified while conducting monthly STAR reviews on </w:t>
      </w:r>
      <w:r w:rsidR="00207D56">
        <w:rPr>
          <w:rFonts w:cstheme="minorHAnsi"/>
          <w:sz w:val="24"/>
          <w:szCs w:val="24"/>
        </w:rPr>
        <w:t>initial</w:t>
      </w:r>
      <w:r w:rsidRPr="00CA31B6">
        <w:rPr>
          <w:rFonts w:cstheme="minorHAnsi"/>
          <w:sz w:val="24"/>
          <w:szCs w:val="24"/>
        </w:rPr>
        <w:t xml:space="preserve"> survivor claims. VA Form 21P-534EZ is considered a non-discretionary application, and VA is obligated to address the claimant’s entitlement to all benefits per </w:t>
      </w:r>
      <w:hyperlink r:id="rId21" w:history="1">
        <w:r w:rsidRPr="00CA31B6">
          <w:rPr>
            <w:rStyle w:val="Hyperlink"/>
            <w:rFonts w:cstheme="minorHAnsi"/>
            <w:sz w:val="24"/>
            <w:szCs w:val="24"/>
          </w:rPr>
          <w:t>M21-1 II.iii.1.A.3.e</w:t>
        </w:r>
      </w:hyperlink>
      <w:r w:rsidRPr="00CA31B6">
        <w:rPr>
          <w:rFonts w:cstheme="minorHAnsi"/>
          <w:sz w:val="24"/>
          <w:szCs w:val="24"/>
        </w:rPr>
        <w:t xml:space="preserve"> and substitution per </w:t>
      </w:r>
      <w:hyperlink r:id="rId22" w:anchor="p-3.1010(c)(2)" w:history="1">
        <w:r w:rsidRPr="00CA31B6">
          <w:rPr>
            <w:rStyle w:val="Hyperlink"/>
            <w:rFonts w:cstheme="minorHAnsi"/>
            <w:sz w:val="24"/>
            <w:szCs w:val="24"/>
          </w:rPr>
          <w:t>38 CFR 3.1010(c)(2)</w:t>
        </w:r>
      </w:hyperlink>
      <w:r w:rsidRPr="00CA31B6">
        <w:rPr>
          <w:rFonts w:cstheme="minorHAnsi"/>
          <w:sz w:val="24"/>
          <w:szCs w:val="24"/>
        </w:rPr>
        <w:t xml:space="preserve">. Recurring non-BE errors are being cited for incorrectly addressing accrued and substitution benefits when a claim was pending at the time of death. </w:t>
      </w:r>
    </w:p>
    <w:p w14:paraId="15963FC5" w14:textId="77777777" w:rsidR="00AD4FAB" w:rsidRPr="00CA31B6" w:rsidRDefault="00AD4FAB" w:rsidP="00CA31B6">
      <w:pPr>
        <w:pStyle w:val="NoSpacing"/>
        <w:rPr>
          <w:rFonts w:cstheme="minorHAnsi"/>
          <w:sz w:val="24"/>
          <w:szCs w:val="24"/>
        </w:rPr>
      </w:pPr>
    </w:p>
    <w:p w14:paraId="40191DD7" w14:textId="77777777" w:rsidR="00AD4FAB" w:rsidRPr="00CA31B6" w:rsidRDefault="00AD4FAB" w:rsidP="00CA31B6">
      <w:pPr>
        <w:pStyle w:val="NoSpacing"/>
        <w:rPr>
          <w:rFonts w:cstheme="minorHAnsi"/>
          <w:sz w:val="24"/>
          <w:szCs w:val="24"/>
        </w:rPr>
      </w:pPr>
      <w:hyperlink r:id="rId23" w:history="1">
        <w:r w:rsidRPr="00CA31B6">
          <w:rPr>
            <w:rStyle w:val="Hyperlink"/>
            <w:rFonts w:cstheme="minorHAnsi"/>
            <w:sz w:val="24"/>
            <w:szCs w:val="24"/>
          </w:rPr>
          <w:t>M21-1 XI.ii.3.A.2.a</w:t>
        </w:r>
      </w:hyperlink>
      <w:r w:rsidRPr="00CA31B6">
        <w:rPr>
          <w:rStyle w:val="Hyperlink"/>
          <w:rFonts w:cstheme="minorHAnsi"/>
          <w:sz w:val="24"/>
          <w:szCs w:val="24"/>
        </w:rPr>
        <w:t xml:space="preserve"> </w:t>
      </w:r>
      <w:r w:rsidRPr="00CA31B6">
        <w:rPr>
          <w:rFonts w:cstheme="minorHAnsi"/>
          <w:sz w:val="24"/>
          <w:szCs w:val="24"/>
        </w:rPr>
        <w:t xml:space="preserve">(and </w:t>
      </w:r>
      <w:hyperlink r:id="rId24" w:anchor="p-3.1000(d)(5)" w:history="1">
        <w:r w:rsidRPr="00CA31B6">
          <w:rPr>
            <w:rStyle w:val="Hyperlink"/>
            <w:rFonts w:cstheme="minorHAnsi"/>
            <w:sz w:val="24"/>
            <w:szCs w:val="24"/>
          </w:rPr>
          <w:t>38 CFR 3.1000(d)(5)</w:t>
        </w:r>
      </w:hyperlink>
      <w:r w:rsidRPr="00CA31B6">
        <w:rPr>
          <w:rFonts w:cstheme="minorHAnsi"/>
          <w:sz w:val="24"/>
          <w:szCs w:val="24"/>
        </w:rPr>
        <w:t xml:space="preserve">), defines a claim that had not been finally adjudicated on or before the date of death. This includes a deceased claimant’s: </w:t>
      </w:r>
    </w:p>
    <w:p w14:paraId="1E9AA091" w14:textId="77777777" w:rsidR="00AD4FAB" w:rsidRPr="00CA31B6" w:rsidRDefault="00AD4FAB" w:rsidP="00CA31B6">
      <w:pPr>
        <w:pStyle w:val="NoSpacing"/>
        <w:numPr>
          <w:ilvl w:val="0"/>
          <w:numId w:val="27"/>
        </w:numPr>
        <w:rPr>
          <w:rFonts w:cstheme="minorHAnsi"/>
          <w:sz w:val="24"/>
          <w:szCs w:val="24"/>
        </w:rPr>
      </w:pPr>
      <w:r w:rsidRPr="00CA31B6">
        <w:rPr>
          <w:rFonts w:cstheme="minorHAnsi"/>
          <w:sz w:val="24"/>
          <w:szCs w:val="24"/>
        </w:rPr>
        <w:t xml:space="preserve">Initial claim </w:t>
      </w:r>
    </w:p>
    <w:p w14:paraId="2D0E9DE3" w14:textId="77777777" w:rsidR="00AD4FAB" w:rsidRPr="00CA31B6" w:rsidRDefault="00AD4FAB" w:rsidP="00CA31B6">
      <w:pPr>
        <w:pStyle w:val="NoSpacing"/>
        <w:numPr>
          <w:ilvl w:val="0"/>
          <w:numId w:val="27"/>
        </w:numPr>
        <w:rPr>
          <w:rFonts w:cstheme="minorHAnsi"/>
          <w:sz w:val="24"/>
          <w:szCs w:val="24"/>
        </w:rPr>
      </w:pPr>
      <w:r w:rsidRPr="00CA31B6">
        <w:rPr>
          <w:rFonts w:cstheme="minorHAnsi"/>
          <w:sz w:val="24"/>
          <w:szCs w:val="24"/>
        </w:rPr>
        <w:t>Informal claim received prior to March 24, 2015</w:t>
      </w:r>
    </w:p>
    <w:p w14:paraId="24CBE4AF" w14:textId="77777777" w:rsidR="00AD4FAB" w:rsidRPr="00CA31B6" w:rsidRDefault="00AD4FAB" w:rsidP="00CA31B6">
      <w:pPr>
        <w:pStyle w:val="NoSpacing"/>
        <w:numPr>
          <w:ilvl w:val="0"/>
          <w:numId w:val="27"/>
        </w:numPr>
        <w:rPr>
          <w:rFonts w:cstheme="minorHAnsi"/>
          <w:sz w:val="24"/>
          <w:szCs w:val="24"/>
        </w:rPr>
      </w:pPr>
      <w:r w:rsidRPr="00CA31B6">
        <w:rPr>
          <w:rFonts w:cstheme="minorHAnsi"/>
          <w:sz w:val="24"/>
          <w:szCs w:val="24"/>
        </w:rPr>
        <w:t xml:space="preserve">Supplemental claim </w:t>
      </w:r>
    </w:p>
    <w:p w14:paraId="3D10D189" w14:textId="77777777" w:rsidR="00AD4FAB" w:rsidRPr="00CA31B6" w:rsidRDefault="00AD4FAB" w:rsidP="00CA31B6">
      <w:pPr>
        <w:pStyle w:val="NoSpacing"/>
        <w:numPr>
          <w:ilvl w:val="0"/>
          <w:numId w:val="27"/>
        </w:numPr>
        <w:rPr>
          <w:rFonts w:cstheme="minorHAnsi"/>
          <w:sz w:val="24"/>
          <w:szCs w:val="24"/>
        </w:rPr>
      </w:pPr>
      <w:r w:rsidRPr="00CA31B6">
        <w:rPr>
          <w:rFonts w:cstheme="minorHAnsi"/>
          <w:sz w:val="24"/>
          <w:szCs w:val="24"/>
        </w:rPr>
        <w:t xml:space="preserve">Request for an HLR </w:t>
      </w:r>
    </w:p>
    <w:p w14:paraId="494344F1" w14:textId="77777777" w:rsidR="00AD4FAB" w:rsidRPr="00CA31B6" w:rsidRDefault="00AD4FAB" w:rsidP="00CA31B6">
      <w:pPr>
        <w:pStyle w:val="NoSpacing"/>
        <w:numPr>
          <w:ilvl w:val="0"/>
          <w:numId w:val="27"/>
        </w:numPr>
        <w:rPr>
          <w:rFonts w:cstheme="minorHAnsi"/>
          <w:sz w:val="24"/>
          <w:szCs w:val="24"/>
        </w:rPr>
      </w:pPr>
      <w:r w:rsidRPr="00CA31B6">
        <w:rPr>
          <w:rFonts w:cstheme="minorHAnsi"/>
          <w:sz w:val="24"/>
          <w:szCs w:val="24"/>
        </w:rPr>
        <w:t>Claim to raise a clear and unmistakable error in a prior rating or decision</w:t>
      </w:r>
    </w:p>
    <w:p w14:paraId="34B8B907" w14:textId="77777777" w:rsidR="00AD4FAB" w:rsidRPr="00CA31B6" w:rsidRDefault="00AD4FAB" w:rsidP="00CA31B6">
      <w:pPr>
        <w:pStyle w:val="NoSpacing"/>
        <w:numPr>
          <w:ilvl w:val="0"/>
          <w:numId w:val="27"/>
        </w:numPr>
        <w:rPr>
          <w:rFonts w:cstheme="minorHAnsi"/>
          <w:sz w:val="24"/>
          <w:szCs w:val="24"/>
        </w:rPr>
      </w:pPr>
      <w:r w:rsidRPr="00CA31B6">
        <w:rPr>
          <w:rFonts w:cstheme="minorHAnsi"/>
          <w:sz w:val="24"/>
          <w:szCs w:val="24"/>
        </w:rPr>
        <w:t xml:space="preserve">Claim in which funds were withheld pending appointment of a fiduciary, OR </w:t>
      </w:r>
    </w:p>
    <w:p w14:paraId="2D9F1577" w14:textId="77777777" w:rsidR="00AD4FAB" w:rsidRPr="00CA31B6" w:rsidRDefault="00AD4FAB" w:rsidP="00CA31B6">
      <w:pPr>
        <w:pStyle w:val="NoSpacing"/>
        <w:numPr>
          <w:ilvl w:val="0"/>
          <w:numId w:val="27"/>
        </w:numPr>
        <w:rPr>
          <w:rFonts w:cstheme="minorHAnsi"/>
          <w:sz w:val="24"/>
          <w:szCs w:val="24"/>
        </w:rPr>
      </w:pPr>
      <w:r w:rsidRPr="00CA31B6">
        <w:rPr>
          <w:rFonts w:cstheme="minorHAnsi"/>
          <w:sz w:val="24"/>
          <w:szCs w:val="24"/>
        </w:rPr>
        <w:t>Claim in which the period to file a review option has not yet expired.</w:t>
      </w:r>
    </w:p>
    <w:p w14:paraId="4B073A7D" w14:textId="77777777" w:rsidR="00AD4FAB" w:rsidRPr="00CA31B6" w:rsidRDefault="00AD4FAB" w:rsidP="00CA31B6">
      <w:pPr>
        <w:pStyle w:val="NoSpacing"/>
        <w:rPr>
          <w:rFonts w:cstheme="minorHAnsi"/>
          <w:sz w:val="24"/>
          <w:szCs w:val="24"/>
        </w:rPr>
      </w:pPr>
    </w:p>
    <w:p w14:paraId="6F5BB974" w14:textId="5D625880" w:rsidR="00AD4FAB" w:rsidRPr="00CA31B6" w:rsidRDefault="00AD4FAB" w:rsidP="00CA31B6">
      <w:pPr>
        <w:pStyle w:val="NoSpacing"/>
        <w:rPr>
          <w:rFonts w:cstheme="minorHAnsi"/>
          <w:sz w:val="24"/>
          <w:szCs w:val="24"/>
        </w:rPr>
      </w:pPr>
      <w:r w:rsidRPr="00CA31B6">
        <w:rPr>
          <w:rFonts w:cstheme="minorHAnsi"/>
          <w:sz w:val="24"/>
          <w:szCs w:val="24"/>
        </w:rPr>
        <w:t>In these instances, VA may not administratively deny accrued benefits. Instead, the notification letter must indicate</w:t>
      </w:r>
      <w:r w:rsidR="008E042C">
        <w:rPr>
          <w:rFonts w:cstheme="minorHAnsi"/>
          <w:sz w:val="24"/>
          <w:szCs w:val="24"/>
        </w:rPr>
        <w:t xml:space="preserve"> that</w:t>
      </w:r>
      <w:r w:rsidRPr="00CA31B6">
        <w:rPr>
          <w:rFonts w:cstheme="minorHAnsi"/>
          <w:sz w:val="24"/>
          <w:szCs w:val="24"/>
        </w:rPr>
        <w:t xml:space="preserve"> the deceased beneficiary’s claim or appeal was not finalized at the time of passing while simultaneously deciding substitution using the language provided within </w:t>
      </w:r>
      <w:hyperlink r:id="rId25" w:history="1">
        <w:r w:rsidRPr="00CA31B6">
          <w:rPr>
            <w:rStyle w:val="Hyperlink"/>
            <w:rFonts w:cstheme="minorHAnsi"/>
            <w:sz w:val="24"/>
            <w:szCs w:val="24"/>
          </w:rPr>
          <w:t>M21-1 XI.ii.3.C.5.d</w:t>
        </w:r>
      </w:hyperlink>
      <w:r w:rsidRPr="00CA31B6">
        <w:rPr>
          <w:rFonts w:cstheme="minorHAnsi"/>
          <w:sz w:val="24"/>
          <w:szCs w:val="24"/>
        </w:rPr>
        <w:t xml:space="preserve">, and when applicable, provide the appropriate timeline for a substitute claimant to take action following guidance provided under </w:t>
      </w:r>
      <w:hyperlink r:id="rId26" w:history="1">
        <w:r w:rsidRPr="00CA31B6">
          <w:rPr>
            <w:rStyle w:val="Hyperlink"/>
            <w:rFonts w:cstheme="minorHAnsi"/>
            <w:sz w:val="24"/>
            <w:szCs w:val="24"/>
          </w:rPr>
          <w:t>M21-1 XI.ii.3.B.3.a</w:t>
        </w:r>
      </w:hyperlink>
      <w:r w:rsidRPr="00CA31B6">
        <w:rPr>
          <w:rFonts w:cstheme="minorHAnsi"/>
          <w:sz w:val="24"/>
          <w:szCs w:val="24"/>
        </w:rPr>
        <w:t xml:space="preserve">. In cases where VA cannot grant substitution, notification that the issue of accrued and substitution eligibility is being deferred for further review and that the claimant will receive separate notification must be included. See </w:t>
      </w:r>
      <w:hyperlink r:id="rId27" w:history="1">
        <w:r w:rsidRPr="00CA31B6">
          <w:rPr>
            <w:rStyle w:val="Hyperlink"/>
            <w:rFonts w:cstheme="minorHAnsi"/>
            <w:sz w:val="24"/>
            <w:szCs w:val="24"/>
          </w:rPr>
          <w:t>M21-1 XI.ii.3.E.17.c</w:t>
        </w:r>
      </w:hyperlink>
      <w:r w:rsidRPr="00CA31B6">
        <w:rPr>
          <w:rFonts w:cstheme="minorHAnsi"/>
          <w:sz w:val="24"/>
          <w:szCs w:val="24"/>
        </w:rPr>
        <w:t xml:space="preserve"> for additional guidance on jurisdiction and EP control. </w:t>
      </w:r>
    </w:p>
    <w:p w14:paraId="2CE6947F" w14:textId="77777777" w:rsidR="00AD4FAB" w:rsidRPr="00CA31B6" w:rsidRDefault="00AD4FAB" w:rsidP="00CA31B6">
      <w:pPr>
        <w:pStyle w:val="NoSpacing"/>
        <w:rPr>
          <w:rFonts w:cstheme="minorHAnsi"/>
          <w:sz w:val="24"/>
          <w:szCs w:val="24"/>
        </w:rPr>
      </w:pPr>
    </w:p>
    <w:p w14:paraId="24DBA1A2" w14:textId="77777777" w:rsidR="00AD4FAB" w:rsidRPr="00CA31B6" w:rsidRDefault="00AD4FAB" w:rsidP="00CA31B6">
      <w:pPr>
        <w:pStyle w:val="NoSpacing"/>
        <w:rPr>
          <w:rFonts w:cstheme="minorHAnsi"/>
          <w:sz w:val="24"/>
          <w:szCs w:val="24"/>
        </w:rPr>
      </w:pPr>
      <w:r w:rsidRPr="00CA31B6">
        <w:rPr>
          <w:rFonts w:cstheme="minorHAnsi"/>
          <w:sz w:val="24"/>
          <w:szCs w:val="24"/>
        </w:rPr>
        <w:t xml:space="preserve">If the issue pending at the time of death was a compensation issue, substitution should still be decided with notification that the issue of accrued benefits is deferred.  </w:t>
      </w:r>
    </w:p>
    <w:p w14:paraId="18D480FF" w14:textId="77777777" w:rsidR="00AD4FAB" w:rsidRPr="00CA31B6" w:rsidRDefault="00AD4FAB" w:rsidP="00CA31B6">
      <w:pPr>
        <w:pStyle w:val="NoSpacing"/>
        <w:rPr>
          <w:rFonts w:cstheme="minorHAnsi"/>
          <w:sz w:val="24"/>
          <w:szCs w:val="24"/>
        </w:rPr>
      </w:pPr>
    </w:p>
    <w:p w14:paraId="2B657282" w14:textId="77777777" w:rsidR="00AD4FAB" w:rsidRPr="00CA31B6" w:rsidRDefault="00AD4FAB" w:rsidP="00CA31B6">
      <w:pPr>
        <w:pStyle w:val="NoSpacing"/>
        <w:rPr>
          <w:rFonts w:cstheme="minorHAnsi"/>
          <w:sz w:val="24"/>
          <w:szCs w:val="24"/>
        </w:rPr>
      </w:pPr>
      <w:r w:rsidRPr="00CA31B6">
        <w:rPr>
          <w:rFonts w:cstheme="minorHAnsi"/>
          <w:sz w:val="24"/>
          <w:szCs w:val="24"/>
        </w:rPr>
        <w:t xml:space="preserve">It is important to remember that, by the definition above, and specifically in the situation noted in (g), a claim that had an EP closed and decided (with a letter) is considered </w:t>
      </w:r>
      <w:r w:rsidRPr="00CA31B6">
        <w:rPr>
          <w:rFonts w:cstheme="minorHAnsi"/>
          <w:b/>
          <w:bCs/>
          <w:sz w:val="24"/>
          <w:szCs w:val="24"/>
        </w:rPr>
        <w:t>not yet</w:t>
      </w:r>
      <w:r w:rsidRPr="00CA31B6">
        <w:rPr>
          <w:rFonts w:cstheme="minorHAnsi"/>
          <w:sz w:val="24"/>
          <w:szCs w:val="24"/>
        </w:rPr>
        <w:t xml:space="preserve"> finally adjudicated </w:t>
      </w:r>
      <w:r w:rsidRPr="00CA31B6">
        <w:rPr>
          <w:rFonts w:cstheme="minorHAnsi"/>
          <w:b/>
          <w:bCs/>
          <w:sz w:val="24"/>
          <w:szCs w:val="24"/>
        </w:rPr>
        <w:t>until</w:t>
      </w:r>
      <w:r w:rsidRPr="00CA31B6">
        <w:rPr>
          <w:rFonts w:cstheme="minorHAnsi"/>
          <w:sz w:val="24"/>
          <w:szCs w:val="24"/>
        </w:rPr>
        <w:t xml:space="preserve"> the expiration of the review period (</w:t>
      </w:r>
      <w:hyperlink r:id="rId28" w:anchor="p-3.160(d)" w:history="1">
        <w:r w:rsidRPr="00CA31B6">
          <w:rPr>
            <w:rStyle w:val="Hyperlink"/>
            <w:rFonts w:cstheme="minorHAnsi"/>
            <w:sz w:val="24"/>
            <w:szCs w:val="24"/>
          </w:rPr>
          <w:t>38 CFR 3.160(d)</w:t>
        </w:r>
      </w:hyperlink>
      <w:r w:rsidRPr="00CA31B6">
        <w:rPr>
          <w:rFonts w:cstheme="minorHAnsi"/>
          <w:sz w:val="24"/>
          <w:szCs w:val="24"/>
        </w:rPr>
        <w:t>); or, in other words, one year after the notification letter with review rights provided for that decision is issued (</w:t>
      </w:r>
      <w:hyperlink r:id="rId29" w:anchor="p-3.2500(a)" w:history="1">
        <w:r w:rsidRPr="00CA31B6">
          <w:rPr>
            <w:rStyle w:val="Hyperlink"/>
            <w:rFonts w:cstheme="minorHAnsi"/>
            <w:sz w:val="24"/>
            <w:szCs w:val="24"/>
          </w:rPr>
          <w:t>38 CFR 3.2500(a)</w:t>
        </w:r>
      </w:hyperlink>
      <w:r w:rsidRPr="00CA31B6">
        <w:rPr>
          <w:rFonts w:cstheme="minorHAnsi"/>
          <w:sz w:val="24"/>
          <w:szCs w:val="24"/>
        </w:rPr>
        <w:t xml:space="preserve">). In these specific instances: </w:t>
      </w:r>
    </w:p>
    <w:p w14:paraId="6DE69DB8" w14:textId="77777777" w:rsidR="00AD4FAB" w:rsidRPr="00CA31B6" w:rsidRDefault="00AD4FAB" w:rsidP="00CA31B6">
      <w:pPr>
        <w:pStyle w:val="NoSpacing"/>
        <w:numPr>
          <w:ilvl w:val="0"/>
          <w:numId w:val="28"/>
        </w:numPr>
        <w:rPr>
          <w:rFonts w:cstheme="minorHAnsi"/>
          <w:sz w:val="24"/>
          <w:szCs w:val="24"/>
        </w:rPr>
      </w:pPr>
      <w:r w:rsidRPr="00CA31B6">
        <w:rPr>
          <w:rFonts w:cstheme="minorHAnsi"/>
          <w:sz w:val="24"/>
          <w:szCs w:val="24"/>
        </w:rPr>
        <w:t>It is acceptable for VA to administratively deny accrued,</w:t>
      </w:r>
    </w:p>
    <w:p w14:paraId="433D9A66" w14:textId="77777777" w:rsidR="00AD4FAB" w:rsidRPr="00CA31B6" w:rsidRDefault="00AD4FAB" w:rsidP="00CA31B6">
      <w:pPr>
        <w:pStyle w:val="NoSpacing"/>
        <w:numPr>
          <w:ilvl w:val="0"/>
          <w:numId w:val="28"/>
        </w:numPr>
        <w:rPr>
          <w:rFonts w:cstheme="minorHAnsi"/>
          <w:sz w:val="24"/>
          <w:szCs w:val="24"/>
        </w:rPr>
      </w:pPr>
      <w:r w:rsidRPr="00CA31B6">
        <w:rPr>
          <w:rFonts w:cstheme="minorHAnsi"/>
          <w:sz w:val="24"/>
          <w:szCs w:val="24"/>
        </w:rPr>
        <w:t xml:space="preserve">grant substitution (if the claimant is eligible) for the review period that was not completed prior to the deceased’s passing in the notification letter, and </w:t>
      </w:r>
    </w:p>
    <w:p w14:paraId="2D590CF4" w14:textId="77777777" w:rsidR="00AD4FAB" w:rsidRPr="00CA31B6" w:rsidRDefault="00AD4FAB" w:rsidP="00CA31B6">
      <w:pPr>
        <w:pStyle w:val="NoSpacing"/>
        <w:numPr>
          <w:ilvl w:val="0"/>
          <w:numId w:val="28"/>
        </w:numPr>
        <w:rPr>
          <w:rFonts w:cstheme="minorHAnsi"/>
          <w:sz w:val="24"/>
          <w:szCs w:val="24"/>
        </w:rPr>
      </w:pPr>
      <w:r w:rsidRPr="00CA31B6">
        <w:rPr>
          <w:rFonts w:cstheme="minorHAnsi"/>
          <w:sz w:val="24"/>
          <w:szCs w:val="24"/>
        </w:rPr>
        <w:t xml:space="preserve">provide the remaining time limit the claimant </w:t>
      </w:r>
      <w:proofErr w:type="gramStart"/>
      <w:r w:rsidRPr="00CA31B6">
        <w:rPr>
          <w:rFonts w:cstheme="minorHAnsi"/>
          <w:sz w:val="24"/>
          <w:szCs w:val="24"/>
        </w:rPr>
        <w:t>has to</w:t>
      </w:r>
      <w:proofErr w:type="gramEnd"/>
      <w:r w:rsidRPr="00CA31B6">
        <w:rPr>
          <w:rFonts w:cstheme="minorHAnsi"/>
          <w:sz w:val="24"/>
          <w:szCs w:val="24"/>
        </w:rPr>
        <w:t xml:space="preserve"> file a review.</w:t>
      </w:r>
    </w:p>
    <w:p w14:paraId="4C52B492" w14:textId="77777777" w:rsidR="00AD4FAB" w:rsidRPr="00CA31B6" w:rsidRDefault="00AD4FAB" w:rsidP="00CA31B6">
      <w:pPr>
        <w:pStyle w:val="NoSpacing"/>
        <w:ind w:left="360"/>
        <w:rPr>
          <w:rFonts w:cstheme="minorHAnsi"/>
          <w:sz w:val="24"/>
          <w:szCs w:val="24"/>
        </w:rPr>
      </w:pPr>
    </w:p>
    <w:p w14:paraId="1BE62D44" w14:textId="09ECC383" w:rsidR="00AD4FAB" w:rsidRPr="00CA31B6" w:rsidRDefault="00AD4FAB" w:rsidP="00CA31B6">
      <w:pPr>
        <w:pStyle w:val="NoSpacing"/>
        <w:rPr>
          <w:rFonts w:cstheme="minorHAnsi"/>
          <w:sz w:val="24"/>
          <w:szCs w:val="24"/>
        </w:rPr>
      </w:pPr>
      <w:r w:rsidRPr="00CA31B6">
        <w:rPr>
          <w:rFonts w:cstheme="minorHAnsi"/>
          <w:sz w:val="24"/>
          <w:szCs w:val="24"/>
        </w:rPr>
        <w:t xml:space="preserve">Additional guidance can be found in </w:t>
      </w:r>
      <w:hyperlink r:id="rId30" w:history="1">
        <w:r w:rsidRPr="00CA31B6">
          <w:rPr>
            <w:rStyle w:val="Hyperlink"/>
            <w:rFonts w:cstheme="minorHAnsi"/>
            <w:sz w:val="24"/>
            <w:szCs w:val="24"/>
          </w:rPr>
          <w:t>M21-1 XI.ii.3.B.3.a</w:t>
        </w:r>
      </w:hyperlink>
      <w:r w:rsidRPr="00CA31B6">
        <w:rPr>
          <w:rFonts w:cstheme="minorHAnsi"/>
          <w:sz w:val="24"/>
          <w:szCs w:val="24"/>
        </w:rPr>
        <w:t xml:space="preserve"> and </w:t>
      </w:r>
      <w:hyperlink r:id="rId31" w:history="1">
        <w:r w:rsidRPr="00CA31B6">
          <w:rPr>
            <w:rStyle w:val="Hyperlink"/>
            <w:rFonts w:cstheme="minorHAnsi"/>
            <w:sz w:val="24"/>
            <w:szCs w:val="24"/>
          </w:rPr>
          <w:t>M21-1 XI.ii.3.B.3.c</w:t>
        </w:r>
      </w:hyperlink>
      <w:r w:rsidRPr="00CA31B6">
        <w:rPr>
          <w:rFonts w:cstheme="minorHAnsi"/>
          <w:sz w:val="24"/>
          <w:szCs w:val="24"/>
        </w:rPr>
        <w:t>.</w:t>
      </w:r>
    </w:p>
    <w:tbl>
      <w:tblPr>
        <w:tblW w:w="515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621"/>
        <w:gridCol w:w="4970"/>
        <w:gridCol w:w="699"/>
        <w:gridCol w:w="3241"/>
      </w:tblGrid>
      <w:tr w:rsidR="00557AE6" w:rsidRPr="00CA31B6" w14:paraId="4CFF32F9" w14:textId="77777777" w:rsidTr="005D6D7C">
        <w:tc>
          <w:tcPr>
            <w:tcW w:w="1621" w:type="dxa"/>
          </w:tcPr>
          <w:bookmarkStart w:id="21" w:name="_Agenda_item:"/>
          <w:bookmarkEnd w:id="21"/>
          <w:p w14:paraId="1EB02D10" w14:textId="77777777" w:rsidR="00557AE6" w:rsidRPr="00CA31B6" w:rsidRDefault="00000000" w:rsidP="00CA31B6">
            <w:pPr>
              <w:pStyle w:val="Heading2"/>
              <w:spacing w:before="0" w:after="0"/>
              <w:rPr>
                <w:rFonts w:asciiTheme="minorHAnsi" w:hAnsiTheme="minorHAnsi" w:cstheme="minorHAnsi"/>
                <w:color w:val="8064A2" w:themeColor="accent4"/>
                <w:sz w:val="24"/>
                <w:szCs w:val="24"/>
              </w:rPr>
            </w:pPr>
            <w:sdt>
              <w:sdtPr>
                <w:rPr>
                  <w:rFonts w:asciiTheme="minorHAnsi" w:hAnsiTheme="minorHAnsi" w:cstheme="minorHAnsi"/>
                  <w:color w:val="8064A2" w:themeColor="accent4"/>
                  <w:sz w:val="24"/>
                  <w:szCs w:val="24"/>
                </w:rPr>
                <w:id w:val="228204886"/>
                <w:placeholder>
                  <w:docPart w:val="0C0995C53DF6428D9AC4133D1F939690"/>
                </w:placeholder>
                <w:temporary/>
                <w:showingPlcHdr/>
                <w15:appearance w15:val="hidden"/>
              </w:sdtPr>
              <w:sdtContent>
                <w:r w:rsidR="00557AE6" w:rsidRPr="00CA31B6">
                  <w:rPr>
                    <w:rFonts w:asciiTheme="minorHAnsi" w:hAnsiTheme="minorHAnsi" w:cstheme="minorHAnsi"/>
                    <w:color w:val="8064A2" w:themeColor="accent4"/>
                    <w:sz w:val="24"/>
                    <w:szCs w:val="24"/>
                  </w:rPr>
                  <w:t>Agenda item:</w:t>
                </w:r>
              </w:sdtContent>
            </w:sdt>
          </w:p>
        </w:tc>
        <w:tc>
          <w:tcPr>
            <w:tcW w:w="4970" w:type="dxa"/>
          </w:tcPr>
          <w:p w14:paraId="67BD7C8D" w14:textId="0013FD7C" w:rsidR="00557AE6" w:rsidRPr="00CA31B6" w:rsidRDefault="005D6D7C" w:rsidP="00CA31B6">
            <w:pPr>
              <w:spacing w:before="0" w:after="0"/>
              <w:rPr>
                <w:rFonts w:cstheme="minorHAnsi"/>
                <w:color w:val="8064A2" w:themeColor="accent4"/>
                <w:sz w:val="24"/>
                <w:szCs w:val="24"/>
              </w:rPr>
            </w:pPr>
            <w:r w:rsidRPr="00CA31B6">
              <w:rPr>
                <w:rFonts w:cstheme="minorHAnsi"/>
                <w:color w:val="8064A2" w:themeColor="accent4"/>
                <w:sz w:val="24"/>
                <w:szCs w:val="24"/>
              </w:rPr>
              <w:t>Accrued Benefits – Policy and Procedures</w:t>
            </w:r>
          </w:p>
        </w:tc>
        <w:tc>
          <w:tcPr>
            <w:tcW w:w="699" w:type="dxa"/>
          </w:tcPr>
          <w:p w14:paraId="6B6020D6" w14:textId="77777777" w:rsidR="00557AE6" w:rsidRPr="00CA31B6" w:rsidRDefault="00557AE6" w:rsidP="00CA31B6">
            <w:pPr>
              <w:pStyle w:val="Heading2"/>
              <w:spacing w:before="0" w:after="0"/>
              <w:rPr>
                <w:rFonts w:asciiTheme="minorHAnsi" w:hAnsiTheme="minorHAnsi" w:cstheme="minorHAnsi"/>
                <w:color w:val="8064A2" w:themeColor="accent4"/>
                <w:sz w:val="24"/>
                <w:szCs w:val="24"/>
              </w:rPr>
            </w:pPr>
          </w:p>
        </w:tc>
        <w:tc>
          <w:tcPr>
            <w:tcW w:w="3241" w:type="dxa"/>
          </w:tcPr>
          <w:p w14:paraId="61D895FF" w14:textId="63146703" w:rsidR="00557AE6" w:rsidRPr="00CA31B6" w:rsidRDefault="00557AE6" w:rsidP="00CA31B6">
            <w:pPr>
              <w:spacing w:before="0" w:after="0"/>
              <w:rPr>
                <w:rFonts w:cstheme="minorHAnsi"/>
                <w:color w:val="8064A2" w:themeColor="accent4"/>
                <w:sz w:val="24"/>
                <w:szCs w:val="24"/>
              </w:rPr>
            </w:pPr>
            <w:r w:rsidRPr="00CA31B6">
              <w:rPr>
                <w:rFonts w:cstheme="minorHAnsi"/>
                <w:b/>
                <w:bCs/>
                <w:color w:val="8064A2" w:themeColor="accent4"/>
                <w:sz w:val="24"/>
                <w:szCs w:val="24"/>
              </w:rPr>
              <w:t xml:space="preserve">Presenter: </w:t>
            </w:r>
            <w:r w:rsidR="005D6D7C" w:rsidRPr="00CA31B6">
              <w:rPr>
                <w:rFonts w:cstheme="minorHAnsi"/>
                <w:color w:val="8064A2" w:themeColor="accent4"/>
                <w:sz w:val="24"/>
                <w:szCs w:val="24"/>
              </w:rPr>
              <w:t>Robert Pomarico</w:t>
            </w:r>
            <w:r w:rsidRPr="00CA31B6">
              <w:rPr>
                <w:rFonts w:cstheme="minorHAnsi"/>
                <w:color w:val="8064A2" w:themeColor="accent4"/>
                <w:sz w:val="24"/>
                <w:szCs w:val="24"/>
              </w:rPr>
              <w:t>, Analyst</w:t>
            </w:r>
          </w:p>
        </w:tc>
      </w:tr>
    </w:tbl>
    <w:p w14:paraId="75536467" w14:textId="77777777" w:rsidR="00557AE6" w:rsidRPr="00CA31B6" w:rsidRDefault="00557AE6" w:rsidP="00CA31B6">
      <w:pPr>
        <w:pStyle w:val="Heading4"/>
        <w:spacing w:before="0" w:after="0"/>
        <w:rPr>
          <w:rFonts w:cstheme="minorHAnsi"/>
          <w:color w:val="548DD4" w:themeColor="text2" w:themeTint="99"/>
          <w:sz w:val="24"/>
          <w:szCs w:val="24"/>
        </w:rPr>
      </w:pPr>
    </w:p>
    <w:p w14:paraId="7754C71C" w14:textId="70CF0548" w:rsidR="00557AE6" w:rsidRPr="00CA31B6" w:rsidRDefault="00557AE6" w:rsidP="00CA31B6">
      <w:pPr>
        <w:pStyle w:val="Heading4"/>
        <w:spacing w:before="0" w:after="0"/>
        <w:rPr>
          <w:rFonts w:cstheme="minorHAnsi"/>
          <w:color w:val="4F81BD" w:themeColor="accent1"/>
          <w:sz w:val="24"/>
          <w:szCs w:val="24"/>
        </w:rPr>
      </w:pPr>
      <w:bookmarkStart w:id="22" w:name="_Target_Audience:_2"/>
      <w:bookmarkEnd w:id="22"/>
      <w:r w:rsidRPr="00CA31B6">
        <w:rPr>
          <w:rFonts w:cstheme="minorHAnsi"/>
          <w:color w:val="548DD4" w:themeColor="text2" w:themeTint="99"/>
          <w:sz w:val="24"/>
          <w:szCs w:val="24"/>
        </w:rPr>
        <w:t>Target Audience:</w:t>
      </w:r>
      <w:r w:rsidR="00EA7503" w:rsidRPr="00CA31B6">
        <w:rPr>
          <w:rFonts w:cstheme="minorHAnsi"/>
          <w:color w:val="548DD4" w:themeColor="text2" w:themeTint="99"/>
          <w:sz w:val="24"/>
          <w:szCs w:val="24"/>
        </w:rPr>
        <w:t xml:space="preserve"> </w:t>
      </w:r>
      <w:r w:rsidRPr="00CA31B6">
        <w:rPr>
          <w:rFonts w:cstheme="minorHAnsi"/>
          <w:color w:val="4F81BD" w:themeColor="accent1"/>
          <w:sz w:val="24"/>
          <w:szCs w:val="24"/>
        </w:rPr>
        <w:t>QRT and Management</w:t>
      </w:r>
    </w:p>
    <w:p w14:paraId="0A677C8E" w14:textId="77777777" w:rsidR="00557AE6" w:rsidRPr="00CA31B6" w:rsidRDefault="00557AE6" w:rsidP="00CA31B6">
      <w:pPr>
        <w:pStyle w:val="Heading4"/>
        <w:spacing w:before="0" w:after="0"/>
        <w:rPr>
          <w:rFonts w:cstheme="minorHAnsi"/>
          <w:sz w:val="24"/>
          <w:szCs w:val="24"/>
        </w:rPr>
      </w:pPr>
    </w:p>
    <w:p w14:paraId="3F21FEF8" w14:textId="77777777" w:rsidR="00557AE6" w:rsidRDefault="00557AE6" w:rsidP="00CA31B6">
      <w:pPr>
        <w:pStyle w:val="Heading4"/>
        <w:spacing w:before="0" w:after="0"/>
        <w:rPr>
          <w:rFonts w:cstheme="minorHAnsi"/>
          <w:sz w:val="24"/>
          <w:szCs w:val="24"/>
        </w:rPr>
      </w:pPr>
      <w:bookmarkStart w:id="23" w:name="_Discussion:_1"/>
      <w:bookmarkEnd w:id="23"/>
      <w:r w:rsidRPr="00CA31B6">
        <w:rPr>
          <w:rFonts w:cstheme="minorHAnsi"/>
          <w:sz w:val="24"/>
          <w:szCs w:val="24"/>
        </w:rPr>
        <w:t>Discussion:</w:t>
      </w:r>
    </w:p>
    <w:p w14:paraId="0AF88CB9" w14:textId="77777777" w:rsidR="00CA31B6" w:rsidRPr="00CA31B6" w:rsidRDefault="00CA31B6" w:rsidP="00CA31B6">
      <w:pPr>
        <w:pStyle w:val="Heading4"/>
        <w:spacing w:before="0" w:after="0"/>
        <w:rPr>
          <w:rFonts w:cstheme="minorHAnsi"/>
          <w:sz w:val="24"/>
          <w:szCs w:val="24"/>
        </w:rPr>
      </w:pPr>
    </w:p>
    <w:p w14:paraId="6DB04E53" w14:textId="4323C3FE" w:rsidR="00652008" w:rsidRPr="00CA31B6" w:rsidRDefault="00652008" w:rsidP="00CA31B6">
      <w:pPr>
        <w:spacing w:before="0" w:after="0"/>
        <w:rPr>
          <w:rFonts w:cstheme="minorHAnsi"/>
          <w:sz w:val="24"/>
          <w:szCs w:val="24"/>
        </w:rPr>
      </w:pPr>
      <w:r w:rsidRPr="00CA31B6">
        <w:rPr>
          <w:rFonts w:cstheme="minorHAnsi"/>
          <w:sz w:val="24"/>
          <w:szCs w:val="24"/>
        </w:rPr>
        <w:t xml:space="preserve">In August 2024, P&amp;F updated several manual references regarding accrued benefits and substitution.  Prior to the change, accrued/substitution claims based on reimbursement required verification of paid expenses, such as a receipt for funeral expenses, to be considered a complete claim.  On August 12, that changed.  We </w:t>
      </w:r>
      <w:r w:rsidRPr="00CA31B6">
        <w:rPr>
          <w:rFonts w:cstheme="minorHAnsi"/>
          <w:i/>
          <w:iCs/>
          <w:sz w:val="24"/>
          <w:szCs w:val="24"/>
        </w:rPr>
        <w:t xml:space="preserve">do </w:t>
      </w:r>
      <w:r w:rsidRPr="00CA31B6">
        <w:rPr>
          <w:rFonts w:cstheme="minorHAnsi"/>
          <w:sz w:val="24"/>
          <w:szCs w:val="24"/>
        </w:rPr>
        <w:t>still need verification of expenses to grant accrued benefits based on reimbursement, but we do</w:t>
      </w:r>
      <w:r w:rsidR="001F5215">
        <w:rPr>
          <w:rFonts w:cstheme="minorHAnsi"/>
          <w:sz w:val="24"/>
          <w:szCs w:val="24"/>
        </w:rPr>
        <w:t xml:space="preserve"> </w:t>
      </w:r>
      <w:r w:rsidRPr="00CA31B6">
        <w:rPr>
          <w:rFonts w:cstheme="minorHAnsi"/>
          <w:sz w:val="24"/>
          <w:szCs w:val="24"/>
        </w:rPr>
        <w:t>n</w:t>
      </w:r>
      <w:r w:rsidR="001F5215">
        <w:rPr>
          <w:rFonts w:cstheme="minorHAnsi"/>
          <w:sz w:val="24"/>
          <w:szCs w:val="24"/>
        </w:rPr>
        <w:t>o</w:t>
      </w:r>
      <w:r w:rsidRPr="00CA31B6">
        <w:rPr>
          <w:rFonts w:cstheme="minorHAnsi"/>
          <w:sz w:val="24"/>
          <w:szCs w:val="24"/>
        </w:rPr>
        <w:t xml:space="preserve">t need the verification to consider the claim complete.   </w:t>
      </w:r>
    </w:p>
    <w:p w14:paraId="1FB9AFBB" w14:textId="77777777" w:rsidR="00652008" w:rsidRPr="00CA31B6" w:rsidRDefault="00652008" w:rsidP="00CA31B6">
      <w:pPr>
        <w:spacing w:before="0" w:after="0"/>
        <w:rPr>
          <w:rFonts w:cstheme="minorHAnsi"/>
          <w:sz w:val="24"/>
          <w:szCs w:val="24"/>
        </w:rPr>
      </w:pPr>
    </w:p>
    <w:p w14:paraId="319749DD" w14:textId="0088D858" w:rsidR="00652008" w:rsidRPr="00CA31B6" w:rsidRDefault="00652008" w:rsidP="00CA31B6">
      <w:pPr>
        <w:spacing w:before="0" w:after="0"/>
        <w:rPr>
          <w:rFonts w:cstheme="minorHAnsi"/>
          <w:sz w:val="24"/>
          <w:szCs w:val="24"/>
        </w:rPr>
      </w:pPr>
      <w:r w:rsidRPr="00CA31B6">
        <w:rPr>
          <w:rFonts w:cstheme="minorHAnsi"/>
          <w:noProof/>
          <w:sz w:val="24"/>
          <w:szCs w:val="24"/>
        </w:rPr>
        <w:drawing>
          <wp:inline distT="0" distB="0" distL="0" distR="0" wp14:anchorId="6D27E042" wp14:editId="4C374CC4">
            <wp:extent cx="5947410" cy="3235960"/>
            <wp:effectExtent l="0" t="0" r="0" b="2540"/>
            <wp:docPr id="2143975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3235960"/>
                    </a:xfrm>
                    <a:prstGeom prst="rect">
                      <a:avLst/>
                    </a:prstGeom>
                    <a:noFill/>
                    <a:ln>
                      <a:noFill/>
                    </a:ln>
                  </pic:spPr>
                </pic:pic>
              </a:graphicData>
            </a:graphic>
          </wp:inline>
        </w:drawing>
      </w:r>
    </w:p>
    <w:p w14:paraId="13F96E37" w14:textId="667C7C68" w:rsidR="00652008" w:rsidRPr="00CA31B6" w:rsidRDefault="00652008" w:rsidP="00CA31B6">
      <w:pPr>
        <w:spacing w:before="0" w:after="0"/>
        <w:rPr>
          <w:rFonts w:cstheme="minorHAnsi"/>
          <w:sz w:val="24"/>
          <w:szCs w:val="24"/>
        </w:rPr>
      </w:pPr>
      <w:r w:rsidRPr="00CA31B6">
        <w:rPr>
          <w:rFonts w:cstheme="minorHAnsi"/>
          <w:noProof/>
          <w:sz w:val="24"/>
          <w:szCs w:val="24"/>
        </w:rPr>
        <w:lastRenderedPageBreak/>
        <w:drawing>
          <wp:inline distT="0" distB="0" distL="0" distR="0" wp14:anchorId="2DD324EF" wp14:editId="266E09D8">
            <wp:extent cx="5947410" cy="4357370"/>
            <wp:effectExtent l="0" t="0" r="0" b="5080"/>
            <wp:docPr id="972636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7410" cy="4357370"/>
                    </a:xfrm>
                    <a:prstGeom prst="rect">
                      <a:avLst/>
                    </a:prstGeom>
                    <a:noFill/>
                    <a:ln>
                      <a:noFill/>
                    </a:ln>
                  </pic:spPr>
                </pic:pic>
              </a:graphicData>
            </a:graphic>
          </wp:inline>
        </w:drawing>
      </w:r>
    </w:p>
    <w:p w14:paraId="3DC642A9" w14:textId="77777777" w:rsidR="0007584B" w:rsidRPr="00CA31B6" w:rsidRDefault="0007584B" w:rsidP="00CA31B6">
      <w:pPr>
        <w:widowControl w:val="0"/>
        <w:autoSpaceDE w:val="0"/>
        <w:autoSpaceDN w:val="0"/>
        <w:spacing w:before="0" w:after="0"/>
        <w:rPr>
          <w:rFonts w:cstheme="minorHAnsi"/>
          <w:sz w:val="24"/>
          <w:szCs w:val="24"/>
        </w:rPr>
      </w:pPr>
    </w:p>
    <w:tbl>
      <w:tblPr>
        <w:tblW w:w="515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621"/>
        <w:gridCol w:w="4970"/>
        <w:gridCol w:w="699"/>
        <w:gridCol w:w="3241"/>
      </w:tblGrid>
      <w:tr w:rsidR="005A10FC" w:rsidRPr="00CA31B6" w14:paraId="08601756" w14:textId="77777777" w:rsidTr="00643CE0">
        <w:tc>
          <w:tcPr>
            <w:tcW w:w="1621" w:type="dxa"/>
          </w:tcPr>
          <w:bookmarkStart w:id="24" w:name="_Agenda_item:_1"/>
          <w:bookmarkEnd w:id="24"/>
          <w:p w14:paraId="540F0BF1" w14:textId="77777777" w:rsidR="005A10FC" w:rsidRPr="00CA31B6" w:rsidRDefault="00000000" w:rsidP="00643CE0">
            <w:pPr>
              <w:pStyle w:val="Heading2"/>
              <w:spacing w:before="0" w:after="0"/>
              <w:rPr>
                <w:rFonts w:asciiTheme="minorHAnsi" w:hAnsiTheme="minorHAnsi" w:cstheme="minorHAnsi"/>
                <w:color w:val="8064A2" w:themeColor="accent4"/>
                <w:sz w:val="24"/>
                <w:szCs w:val="24"/>
              </w:rPr>
            </w:pPr>
            <w:sdt>
              <w:sdtPr>
                <w:rPr>
                  <w:rFonts w:asciiTheme="minorHAnsi" w:hAnsiTheme="minorHAnsi" w:cstheme="minorHAnsi"/>
                  <w:color w:val="8064A2" w:themeColor="accent4"/>
                  <w:sz w:val="24"/>
                  <w:szCs w:val="24"/>
                </w:rPr>
                <w:id w:val="237136643"/>
                <w:placeholder>
                  <w:docPart w:val="4750084EAE7146A68522E6C2C57343AD"/>
                </w:placeholder>
                <w:temporary/>
                <w:showingPlcHdr/>
                <w15:appearance w15:val="hidden"/>
              </w:sdtPr>
              <w:sdtContent>
                <w:r w:rsidR="005A10FC" w:rsidRPr="00CA31B6">
                  <w:rPr>
                    <w:rFonts w:asciiTheme="minorHAnsi" w:hAnsiTheme="minorHAnsi" w:cstheme="minorHAnsi"/>
                    <w:color w:val="8064A2" w:themeColor="accent4"/>
                    <w:sz w:val="24"/>
                    <w:szCs w:val="24"/>
                  </w:rPr>
                  <w:t>Agenda item:</w:t>
                </w:r>
              </w:sdtContent>
            </w:sdt>
          </w:p>
        </w:tc>
        <w:tc>
          <w:tcPr>
            <w:tcW w:w="4970" w:type="dxa"/>
          </w:tcPr>
          <w:p w14:paraId="604A00A7" w14:textId="3D2DE05E" w:rsidR="005A10FC" w:rsidRPr="00CA31B6" w:rsidRDefault="005A10FC" w:rsidP="00643CE0">
            <w:pPr>
              <w:spacing w:before="0" w:after="0"/>
              <w:rPr>
                <w:rFonts w:cstheme="minorHAnsi"/>
                <w:color w:val="8064A2" w:themeColor="accent4"/>
                <w:sz w:val="24"/>
                <w:szCs w:val="24"/>
              </w:rPr>
            </w:pPr>
            <w:r>
              <w:rPr>
                <w:rFonts w:cstheme="minorHAnsi"/>
                <w:color w:val="8064A2" w:themeColor="accent4"/>
                <w:sz w:val="24"/>
                <w:szCs w:val="24"/>
              </w:rPr>
              <w:t>Quality Call Q&amp;A</w:t>
            </w:r>
          </w:p>
        </w:tc>
        <w:tc>
          <w:tcPr>
            <w:tcW w:w="699" w:type="dxa"/>
          </w:tcPr>
          <w:p w14:paraId="1207FA49" w14:textId="77777777" w:rsidR="005A10FC" w:rsidRPr="00CA31B6" w:rsidRDefault="005A10FC" w:rsidP="00643CE0">
            <w:pPr>
              <w:pStyle w:val="Heading2"/>
              <w:spacing w:before="0" w:after="0"/>
              <w:rPr>
                <w:rFonts w:asciiTheme="minorHAnsi" w:hAnsiTheme="minorHAnsi" w:cstheme="minorHAnsi"/>
                <w:color w:val="8064A2" w:themeColor="accent4"/>
                <w:sz w:val="24"/>
                <w:szCs w:val="24"/>
              </w:rPr>
            </w:pPr>
          </w:p>
        </w:tc>
        <w:tc>
          <w:tcPr>
            <w:tcW w:w="3241" w:type="dxa"/>
          </w:tcPr>
          <w:p w14:paraId="57198069" w14:textId="24054FEA" w:rsidR="005A10FC" w:rsidRPr="00CA31B6" w:rsidRDefault="005A10FC" w:rsidP="00643CE0">
            <w:pPr>
              <w:spacing w:before="0" w:after="0"/>
              <w:rPr>
                <w:rFonts w:cstheme="minorHAnsi"/>
                <w:color w:val="8064A2" w:themeColor="accent4"/>
                <w:sz w:val="24"/>
                <w:szCs w:val="24"/>
              </w:rPr>
            </w:pPr>
          </w:p>
        </w:tc>
      </w:tr>
    </w:tbl>
    <w:p w14:paraId="696BF3E3" w14:textId="77777777" w:rsidR="005A10FC" w:rsidRPr="00CA31B6" w:rsidRDefault="005A10FC" w:rsidP="005A10FC">
      <w:pPr>
        <w:pStyle w:val="Heading4"/>
        <w:spacing w:before="0" w:after="0"/>
        <w:rPr>
          <w:rFonts w:cstheme="minorHAnsi"/>
          <w:color w:val="548DD4" w:themeColor="text2" w:themeTint="99"/>
          <w:sz w:val="24"/>
          <w:szCs w:val="24"/>
        </w:rPr>
      </w:pPr>
    </w:p>
    <w:p w14:paraId="6D784DC3" w14:textId="77777777" w:rsidR="005A10FC" w:rsidRDefault="005A10FC" w:rsidP="005A10FC">
      <w:pPr>
        <w:pStyle w:val="Heading4"/>
        <w:spacing w:before="0" w:after="0"/>
        <w:rPr>
          <w:rFonts w:cstheme="minorHAnsi"/>
          <w:color w:val="4F81BD" w:themeColor="accent1"/>
          <w:sz w:val="24"/>
          <w:szCs w:val="24"/>
        </w:rPr>
      </w:pPr>
      <w:r w:rsidRPr="00CA31B6">
        <w:rPr>
          <w:rFonts w:cstheme="minorHAnsi"/>
          <w:color w:val="548DD4" w:themeColor="text2" w:themeTint="99"/>
          <w:sz w:val="24"/>
          <w:szCs w:val="24"/>
        </w:rPr>
        <w:t xml:space="preserve">Target Audience: </w:t>
      </w:r>
      <w:r w:rsidRPr="00CA31B6">
        <w:rPr>
          <w:rFonts w:cstheme="minorHAnsi"/>
          <w:color w:val="4F81BD" w:themeColor="accent1"/>
          <w:sz w:val="24"/>
          <w:szCs w:val="24"/>
        </w:rPr>
        <w:t>QRT and Management</w:t>
      </w:r>
    </w:p>
    <w:p w14:paraId="3A8AB9A1" w14:textId="77777777" w:rsidR="005A10FC" w:rsidRPr="00D8263D" w:rsidRDefault="005A10FC" w:rsidP="005A10FC">
      <w:pPr>
        <w:pStyle w:val="Heading4"/>
        <w:spacing w:before="0" w:after="0"/>
        <w:rPr>
          <w:rFonts w:cstheme="minorHAnsi"/>
          <w:color w:val="4F81BD" w:themeColor="accent1"/>
          <w:sz w:val="28"/>
          <w:szCs w:val="28"/>
        </w:rPr>
      </w:pPr>
    </w:p>
    <w:p w14:paraId="6842B250" w14:textId="29A73138" w:rsidR="00D8263D" w:rsidRDefault="00D8263D" w:rsidP="00D8263D">
      <w:pPr>
        <w:spacing w:before="0" w:after="0"/>
        <w:rPr>
          <w:rFonts w:ascii="Arial" w:eastAsia="Times New Roman" w:hAnsi="Arial" w:cs="Arial"/>
          <w:sz w:val="24"/>
          <w:szCs w:val="24"/>
        </w:rPr>
      </w:pPr>
      <w:r w:rsidRPr="00D8263D">
        <w:rPr>
          <w:rFonts w:ascii="Arial" w:eastAsiaTheme="minorHAnsi" w:hAnsi="Arial" w:cs="Arial"/>
          <w:b/>
          <w:bCs/>
          <w:sz w:val="24"/>
          <w:szCs w:val="24"/>
        </w:rPr>
        <w:t>Question 1:</w:t>
      </w:r>
      <w:r w:rsidRPr="00D8263D">
        <w:rPr>
          <w:rFonts w:ascii="Arial" w:eastAsia="Times New Roman" w:hAnsi="Arial" w:cs="Arial"/>
          <w:sz w:val="28"/>
          <w:szCs w:val="28"/>
        </w:rPr>
        <w:t xml:space="preserve"> </w:t>
      </w:r>
      <w:r w:rsidRPr="00D8263D">
        <w:rPr>
          <w:rFonts w:ascii="Arial" w:eastAsia="Times New Roman" w:hAnsi="Arial" w:cs="Arial"/>
          <w:sz w:val="24"/>
          <w:szCs w:val="24"/>
        </w:rPr>
        <w:t xml:space="preserve">If a claimant is in receipt of a compensation award and we receive a claim for pension and we recognize that compensation is the higher benefit, what are the proper procedures for the PMCs to follow? </w:t>
      </w:r>
    </w:p>
    <w:p w14:paraId="6DC6C962" w14:textId="77777777" w:rsidR="00C56F7F" w:rsidRPr="00D8263D" w:rsidRDefault="00C56F7F" w:rsidP="00D8263D">
      <w:pPr>
        <w:spacing w:before="0" w:after="0"/>
        <w:rPr>
          <w:rFonts w:ascii="Arial" w:eastAsia="Times New Roman" w:hAnsi="Arial" w:cs="Arial"/>
          <w:sz w:val="24"/>
          <w:szCs w:val="24"/>
        </w:rPr>
      </w:pPr>
    </w:p>
    <w:p w14:paraId="61BF8BD3" w14:textId="77777777" w:rsidR="00D8263D" w:rsidRDefault="00D8263D" w:rsidP="00D8263D">
      <w:pPr>
        <w:pStyle w:val="ListParagraph"/>
        <w:numPr>
          <w:ilvl w:val="0"/>
          <w:numId w:val="31"/>
        </w:numPr>
        <w:spacing w:before="0" w:after="0"/>
        <w:contextualSpacing w:val="0"/>
        <w:rPr>
          <w:rFonts w:ascii="Arial" w:eastAsia="Times New Roman" w:hAnsi="Arial" w:cs="Arial"/>
          <w:sz w:val="24"/>
          <w:szCs w:val="24"/>
        </w:rPr>
      </w:pPr>
      <w:r>
        <w:rPr>
          <w:rFonts w:ascii="Arial" w:eastAsia="Times New Roman" w:hAnsi="Arial" w:cs="Arial"/>
          <w:sz w:val="24"/>
          <w:szCs w:val="24"/>
        </w:rPr>
        <w:t>Does P&amp;F agree with the following?:  If we can make a decision on pension, we should do so, even if we know compensation will be the greater benefit, because it then gives the claimant the option to elect between the two benefits (</w:t>
      </w:r>
      <w:hyperlink r:id="rId34" w:history="1">
        <w:r>
          <w:rPr>
            <w:rStyle w:val="Hyperlink"/>
            <w:rFonts w:ascii="Arial" w:eastAsia="Times New Roman" w:hAnsi="Arial" w:cs="Arial"/>
            <w:sz w:val="24"/>
            <w:szCs w:val="24"/>
          </w:rPr>
          <w:t>M21-1 VI.ii.1.A.2.A</w:t>
        </w:r>
      </w:hyperlink>
      <w:r>
        <w:rPr>
          <w:rFonts w:ascii="Arial" w:eastAsia="Times New Roman" w:hAnsi="Arial" w:cs="Arial"/>
          <w:sz w:val="24"/>
          <w:szCs w:val="24"/>
        </w:rPr>
        <w:t xml:space="preserve">. Elections Between Compensation and Pension).  The thinking behind this is you can’t elect between the two benefits unless a formal decision is made and only providing a notice that “compensation is the higher rate” is not a formal decision on pension. We have come across situations where a formal decision on pension is not made where the claims processor simply states that compensation is the greater benefit without an evaluation of whether the claimant is entitled to pension.  The concern with that is it’s not a formal decision on pension and the claimant cannot elect between the two benefits. In situations like this where we receive a pension claim and compensation is the greater benefit, we believe that the proper way to address pension is to make a formal decision on pension based on the evidence of record.  Even if could grant pension based on the evidence of record, we would notify the claimant that we are continuing to pay compensation </w:t>
      </w:r>
      <w:proofErr w:type="gramStart"/>
      <w:r>
        <w:rPr>
          <w:rFonts w:ascii="Arial" w:eastAsia="Times New Roman" w:hAnsi="Arial" w:cs="Arial"/>
          <w:sz w:val="24"/>
          <w:szCs w:val="24"/>
        </w:rPr>
        <w:t>as</w:t>
      </w:r>
      <w:proofErr w:type="gramEnd"/>
      <w:r>
        <w:rPr>
          <w:rFonts w:ascii="Arial" w:eastAsia="Times New Roman" w:hAnsi="Arial" w:cs="Arial"/>
          <w:sz w:val="24"/>
          <w:szCs w:val="24"/>
        </w:rPr>
        <w:t xml:space="preserve"> the </w:t>
      </w:r>
      <w:r>
        <w:rPr>
          <w:rFonts w:ascii="Arial" w:eastAsia="Times New Roman" w:hAnsi="Arial" w:cs="Arial"/>
          <w:sz w:val="24"/>
          <w:szCs w:val="24"/>
        </w:rPr>
        <w:lastRenderedPageBreak/>
        <w:t xml:space="preserve">higher rate and to let us know if they would like to elect the lesser benefit.  Does P&amp;F agree with this? </w:t>
      </w:r>
    </w:p>
    <w:p w14:paraId="0C6412C5" w14:textId="77777777" w:rsidR="00D8263D" w:rsidRDefault="00D8263D" w:rsidP="00D8263D">
      <w:pPr>
        <w:pStyle w:val="ListParagraph"/>
        <w:numPr>
          <w:ilvl w:val="1"/>
          <w:numId w:val="31"/>
        </w:numPr>
        <w:spacing w:before="0" w:after="0"/>
        <w:contextualSpacing w:val="0"/>
        <w:rPr>
          <w:rFonts w:ascii="Arial" w:eastAsia="Times New Roman" w:hAnsi="Arial" w:cs="Arial"/>
          <w:sz w:val="24"/>
          <w:szCs w:val="24"/>
        </w:rPr>
      </w:pPr>
      <w:r>
        <w:rPr>
          <w:rFonts w:ascii="Arial" w:eastAsia="Times New Roman" w:hAnsi="Arial" w:cs="Arial"/>
          <w:sz w:val="24"/>
          <w:szCs w:val="24"/>
        </w:rPr>
        <w:t xml:space="preserve">Furthermore, if development was needed to decide the pension claim, how should we be handling that? By developing in a case where we know compensation is the greater benefit, we would be delaying the claim for pension. Should we be developing the pension claim so we can make a formal decision? Is there a proper procedure to follow in this type of situation? </w:t>
      </w:r>
    </w:p>
    <w:p w14:paraId="6D39A786" w14:textId="77777777" w:rsidR="00C56F7F" w:rsidRDefault="00C56F7F" w:rsidP="00D8263D">
      <w:pPr>
        <w:rPr>
          <w:rFonts w:ascii="Arial" w:hAnsi="Arial" w:cs="Arial"/>
          <w:b/>
          <w:bCs/>
          <w:sz w:val="24"/>
          <w:szCs w:val="24"/>
        </w:rPr>
      </w:pPr>
    </w:p>
    <w:p w14:paraId="5A5D9974" w14:textId="315D8EBD" w:rsidR="00D8263D" w:rsidRPr="00D8263D" w:rsidRDefault="00D8263D" w:rsidP="00D8263D">
      <w:pPr>
        <w:rPr>
          <w:rFonts w:ascii="Arial" w:hAnsi="Arial" w:cs="Arial"/>
          <w:sz w:val="24"/>
          <w:szCs w:val="24"/>
        </w:rPr>
      </w:pPr>
      <w:r>
        <w:rPr>
          <w:rFonts w:ascii="Arial" w:hAnsi="Arial" w:cs="Arial"/>
          <w:b/>
          <w:bCs/>
          <w:sz w:val="24"/>
          <w:szCs w:val="24"/>
        </w:rPr>
        <w:t xml:space="preserve">P&amp;F </w:t>
      </w:r>
      <w:r w:rsidRPr="00D8263D">
        <w:rPr>
          <w:rFonts w:ascii="Arial" w:hAnsi="Arial" w:cs="Arial"/>
          <w:b/>
          <w:bCs/>
          <w:sz w:val="24"/>
          <w:szCs w:val="24"/>
        </w:rPr>
        <w:t>Response:</w:t>
      </w:r>
      <w:r w:rsidRPr="00D8263D">
        <w:rPr>
          <w:rFonts w:ascii="Arial" w:hAnsi="Arial" w:cs="Arial"/>
          <w:sz w:val="24"/>
          <w:szCs w:val="24"/>
        </w:rPr>
        <w:t xml:space="preserve">   VA must address a claimant’s entitlement to each benefit that is applied for and/or named in the title of the application submitted by the claimant. This is a statutory requirement codified at </w:t>
      </w:r>
      <w:hyperlink r:id="rId35" w:history="1">
        <w:r w:rsidRPr="00D8263D">
          <w:rPr>
            <w:rStyle w:val="Hyperlink"/>
            <w:rFonts w:ascii="Arial" w:hAnsi="Arial" w:cs="Arial"/>
            <w:sz w:val="24"/>
            <w:szCs w:val="24"/>
          </w:rPr>
          <w:t>38 U.S.C. § 5101(b)(1)</w:t>
        </w:r>
      </w:hyperlink>
      <w:r w:rsidRPr="00D8263D">
        <w:rPr>
          <w:rFonts w:ascii="Arial" w:hAnsi="Arial" w:cs="Arial"/>
          <w:sz w:val="24"/>
          <w:szCs w:val="24"/>
        </w:rPr>
        <w:t xml:space="preserve">.  If there is sufficient evidence on record to </w:t>
      </w:r>
      <w:proofErr w:type="gramStart"/>
      <w:r w:rsidRPr="00D8263D">
        <w:rPr>
          <w:rFonts w:ascii="Arial" w:hAnsi="Arial" w:cs="Arial"/>
          <w:sz w:val="24"/>
          <w:szCs w:val="24"/>
        </w:rPr>
        <w:t>render</w:t>
      </w:r>
      <w:proofErr w:type="gramEnd"/>
      <w:r w:rsidRPr="00D8263D">
        <w:rPr>
          <w:rFonts w:ascii="Arial" w:hAnsi="Arial" w:cs="Arial"/>
          <w:sz w:val="24"/>
          <w:szCs w:val="24"/>
        </w:rPr>
        <w:t xml:space="preserve"> a decision then one must be provided, even if it is known that entitlement to a greater benefit exists. At this time, there is no legal provision that would allow VA to not render a decision on a Veteran claiming pension when they are in receipt of compensation.</w:t>
      </w:r>
    </w:p>
    <w:p w14:paraId="397AD684" w14:textId="33B10EC8" w:rsidR="00D8263D" w:rsidRPr="00D8263D" w:rsidRDefault="00D8263D" w:rsidP="00D8263D">
      <w:pPr>
        <w:spacing w:before="0" w:after="0"/>
        <w:rPr>
          <w:rFonts w:ascii="Arial" w:eastAsia="Times New Roman" w:hAnsi="Arial" w:cs="Arial"/>
          <w:sz w:val="28"/>
          <w:szCs w:val="28"/>
        </w:rPr>
      </w:pPr>
    </w:p>
    <w:p w14:paraId="7630BF5E" w14:textId="0D15B424" w:rsidR="00D8263D" w:rsidRPr="00D8263D" w:rsidRDefault="00D8263D" w:rsidP="00D8263D">
      <w:pPr>
        <w:spacing w:before="0" w:after="0"/>
        <w:rPr>
          <w:rFonts w:ascii="Arial" w:eastAsia="Times New Roman" w:hAnsi="Arial" w:cs="Arial"/>
          <w:b/>
          <w:bCs/>
          <w:sz w:val="22"/>
          <w:szCs w:val="22"/>
        </w:rPr>
      </w:pPr>
      <w:r w:rsidRPr="00D8263D">
        <w:rPr>
          <w:rFonts w:ascii="Arial" w:eastAsiaTheme="minorHAnsi" w:hAnsi="Arial" w:cs="Arial"/>
          <w:b/>
          <w:bCs/>
          <w:sz w:val="24"/>
          <w:szCs w:val="24"/>
        </w:rPr>
        <w:t>Question 2:</w:t>
      </w:r>
      <w:r w:rsidRPr="00D8263D">
        <w:rPr>
          <w:rFonts w:ascii="Arial" w:eastAsia="Times New Roman" w:hAnsi="Arial" w:cs="Arial"/>
          <w:sz w:val="28"/>
          <w:szCs w:val="28"/>
        </w:rPr>
        <w:t xml:space="preserve"> </w:t>
      </w:r>
      <w:r w:rsidRPr="00D8263D">
        <w:rPr>
          <w:rFonts w:ascii="Arial" w:eastAsia="Times New Roman" w:hAnsi="Arial" w:cs="Arial"/>
          <w:sz w:val="24"/>
          <w:szCs w:val="24"/>
        </w:rPr>
        <w:t>When will the manual reference (</w:t>
      </w:r>
      <w:hyperlink r:id="rId36" w:history="1">
        <w:r w:rsidRPr="00D8263D">
          <w:rPr>
            <w:rStyle w:val="Hyperlink"/>
            <w:rFonts w:ascii="Arial" w:eastAsia="Times New Roman" w:hAnsi="Arial" w:cs="Arial"/>
            <w:sz w:val="24"/>
            <w:szCs w:val="24"/>
          </w:rPr>
          <w:t>M21-1 X.ii.6.D.3.b.</w:t>
        </w:r>
      </w:hyperlink>
      <w:r w:rsidRPr="00D8263D">
        <w:rPr>
          <w:rFonts w:ascii="Arial" w:eastAsia="Times New Roman" w:hAnsi="Arial" w:cs="Arial"/>
          <w:b/>
          <w:bCs/>
          <w:color w:val="000000"/>
          <w:sz w:val="21"/>
          <w:szCs w:val="21"/>
        </w:rPr>
        <w:t xml:space="preserve"> </w:t>
      </w:r>
      <w:r w:rsidRPr="00D8263D">
        <w:rPr>
          <w:rFonts w:ascii="Arial" w:eastAsia="Times New Roman" w:hAnsi="Arial" w:cs="Arial"/>
          <w:sz w:val="24"/>
          <w:szCs w:val="24"/>
        </w:rPr>
        <w:t>Text to Include in a Notice of a Proposed Rating of Incompetency) be updated to reflect the language included in the proposal of incompetency template letter that was sent to the field from OFO in the email dated 7/9/24</w:t>
      </w:r>
      <w:r w:rsidRPr="00D8263D">
        <w:rPr>
          <w:rFonts w:ascii="Arial" w:eastAsia="Times New Roman" w:hAnsi="Arial" w:cs="Arial"/>
          <w:b/>
          <w:bCs/>
          <w:sz w:val="24"/>
          <w:szCs w:val="24"/>
        </w:rPr>
        <w:t xml:space="preserve"> (Subject:</w:t>
      </w:r>
      <w:r w:rsidRPr="00D8263D">
        <w:rPr>
          <w:rFonts w:ascii="Arial" w:eastAsia="Times New Roman" w:hAnsi="Arial" w:cs="Arial"/>
          <w:sz w:val="24"/>
          <w:szCs w:val="24"/>
        </w:rPr>
        <w:t xml:space="preserve"> Updated Incompetency Letters)? </w:t>
      </w:r>
    </w:p>
    <w:p w14:paraId="406FB7DE" w14:textId="77777777" w:rsidR="00D8263D" w:rsidRDefault="00D8263D" w:rsidP="00D8263D">
      <w:pPr>
        <w:pStyle w:val="NoSpacing"/>
        <w:rPr>
          <w:rFonts w:ascii="Arial" w:hAnsi="Arial" w:cs="Arial"/>
          <w:b/>
          <w:bCs/>
        </w:rPr>
      </w:pPr>
    </w:p>
    <w:p w14:paraId="0B54172E" w14:textId="0EBD0F49" w:rsidR="00D8263D" w:rsidRPr="00D8263D" w:rsidRDefault="00D8263D" w:rsidP="00D8263D">
      <w:pPr>
        <w:pStyle w:val="NoSpacing"/>
        <w:rPr>
          <w:rFonts w:ascii="Arial" w:hAnsi="Arial" w:cs="Arial"/>
          <w:b/>
          <w:bCs/>
        </w:rPr>
      </w:pPr>
      <w:r w:rsidRPr="00D8263D">
        <w:rPr>
          <w:rFonts w:ascii="Arial" w:hAnsi="Arial" w:cs="Arial"/>
          <w:b/>
          <w:bCs/>
          <w:sz w:val="24"/>
          <w:szCs w:val="24"/>
        </w:rPr>
        <w:t xml:space="preserve">P&amp;F Response: </w:t>
      </w:r>
      <w:r w:rsidRPr="00D8263D">
        <w:rPr>
          <w:rFonts w:ascii="Arial" w:hAnsi="Arial" w:cs="Arial"/>
          <w:sz w:val="24"/>
          <w:szCs w:val="24"/>
        </w:rPr>
        <w:t>Please, see Response 1. If there is not sufficient evidence on record to provide a decision on pension benefits, then development is likely required. In the process of development, the claimant may be notified that they are applying for a lesser benefit and that VA will “assume election of the greater benefit, unless the claimant provides information to the contrary” and to “routinely award the greater benefit at any time </w:t>
      </w:r>
      <w:r w:rsidRPr="00D8263D">
        <w:rPr>
          <w:rFonts w:ascii="Arial" w:hAnsi="Arial" w:cs="Arial"/>
          <w:i/>
          <w:iCs/>
          <w:sz w:val="24"/>
          <w:szCs w:val="24"/>
        </w:rPr>
        <w:t>without</w:t>
      </w:r>
      <w:r w:rsidRPr="00D8263D">
        <w:rPr>
          <w:rFonts w:ascii="Arial" w:hAnsi="Arial" w:cs="Arial"/>
          <w:sz w:val="24"/>
          <w:szCs w:val="24"/>
        </w:rPr>
        <w:t xml:space="preserve"> requiring a formal election or reelection” Per </w:t>
      </w:r>
      <w:hyperlink r:id="rId37" w:history="1">
        <w:r w:rsidRPr="00D8263D">
          <w:rPr>
            <w:rStyle w:val="Hyperlink"/>
            <w:rFonts w:ascii="Arial" w:hAnsi="Arial" w:cs="Arial"/>
            <w:sz w:val="24"/>
            <w:szCs w:val="24"/>
          </w:rPr>
          <w:t>M21-1 VI.ii.1.A.2.A.</w:t>
        </w:r>
      </w:hyperlink>
      <w:r w:rsidRPr="00D8263D">
        <w:rPr>
          <w:rFonts w:ascii="Arial" w:hAnsi="Arial" w:cs="Arial"/>
          <w:sz w:val="24"/>
          <w:szCs w:val="24"/>
        </w:rPr>
        <w:t xml:space="preserve"> If the claimant indicates that they would like to continue pursuing the claim either by the provision of additional documentation, or through written and/or verbal confirmation that a decision must be rendered. Again, claims processors must assume election of the greater benefit unless there is clear evidence indicating the claimant is electing the lesser benefit. An election for the lesser benefit will not be inferred. </w:t>
      </w:r>
    </w:p>
    <w:p w14:paraId="3409FD4E" w14:textId="77777777" w:rsidR="00D8263D" w:rsidRPr="00D8263D" w:rsidRDefault="00D8263D" w:rsidP="00C56F7F">
      <w:pPr>
        <w:spacing w:before="0" w:after="0"/>
        <w:rPr>
          <w:rFonts w:ascii="Arial" w:hAnsi="Arial" w:cs="Arial"/>
          <w:sz w:val="24"/>
          <w:szCs w:val="24"/>
        </w:rPr>
      </w:pPr>
    </w:p>
    <w:p w14:paraId="7E4758A6" w14:textId="4741DAE3" w:rsidR="00D8263D" w:rsidRPr="00D8263D" w:rsidRDefault="00D8263D" w:rsidP="00C56F7F">
      <w:pPr>
        <w:spacing w:before="0" w:after="0"/>
        <w:rPr>
          <w:rFonts w:ascii="Arial" w:hAnsi="Arial" w:cs="Arial"/>
          <w:sz w:val="24"/>
          <w:szCs w:val="24"/>
        </w:rPr>
      </w:pPr>
      <w:r w:rsidRPr="00D8263D">
        <w:rPr>
          <w:rFonts w:ascii="Arial" w:hAnsi="Arial" w:cs="Arial"/>
          <w:b/>
          <w:bCs/>
          <w:sz w:val="24"/>
          <w:szCs w:val="24"/>
        </w:rPr>
        <w:t xml:space="preserve">Question </w:t>
      </w:r>
      <w:r w:rsidR="00C56F7F">
        <w:rPr>
          <w:rFonts w:ascii="Arial" w:hAnsi="Arial" w:cs="Arial"/>
          <w:b/>
          <w:bCs/>
          <w:sz w:val="24"/>
          <w:szCs w:val="24"/>
        </w:rPr>
        <w:t>3</w:t>
      </w:r>
      <w:r w:rsidRPr="00D8263D">
        <w:rPr>
          <w:rFonts w:ascii="Arial" w:hAnsi="Arial" w:cs="Arial"/>
          <w:b/>
          <w:bCs/>
          <w:sz w:val="24"/>
          <w:szCs w:val="24"/>
        </w:rPr>
        <w:t>:</w:t>
      </w:r>
      <w:r w:rsidRPr="00D8263D">
        <w:rPr>
          <w:rFonts w:ascii="Arial" w:hAnsi="Arial" w:cs="Arial"/>
          <w:sz w:val="24"/>
          <w:szCs w:val="24"/>
        </w:rPr>
        <w:t xml:space="preserve"> When will the manual reference (</w:t>
      </w:r>
      <w:hyperlink r:id="rId38" w:history="1">
        <w:r w:rsidRPr="00D8263D">
          <w:rPr>
            <w:rStyle w:val="Hyperlink"/>
            <w:rFonts w:ascii="Arial" w:hAnsi="Arial" w:cs="Arial"/>
            <w:sz w:val="24"/>
            <w:szCs w:val="24"/>
          </w:rPr>
          <w:t>M21-1 X.ii.6.D.3.b.</w:t>
        </w:r>
      </w:hyperlink>
      <w:r w:rsidRPr="00D8263D">
        <w:rPr>
          <w:rFonts w:ascii="Arial" w:hAnsi="Arial" w:cs="Arial"/>
          <w:b/>
          <w:bCs/>
          <w:color w:val="000000"/>
          <w:sz w:val="24"/>
          <w:szCs w:val="24"/>
        </w:rPr>
        <w:t xml:space="preserve"> </w:t>
      </w:r>
      <w:r w:rsidRPr="00D8263D">
        <w:rPr>
          <w:rFonts w:ascii="Arial" w:hAnsi="Arial" w:cs="Arial"/>
          <w:sz w:val="24"/>
          <w:szCs w:val="24"/>
        </w:rPr>
        <w:t>Text to Include in a Notice of a Proposed Rating of Incompetency) be updated to reflect the language included in the proposal of incompetency template letter that was sent to the field from OFO in the email dated 7/9/24</w:t>
      </w:r>
      <w:r w:rsidRPr="00D8263D">
        <w:rPr>
          <w:rFonts w:ascii="Arial" w:hAnsi="Arial" w:cs="Arial"/>
          <w:b/>
          <w:bCs/>
          <w:sz w:val="24"/>
          <w:szCs w:val="24"/>
        </w:rPr>
        <w:t xml:space="preserve"> (Subject:</w:t>
      </w:r>
      <w:r w:rsidRPr="00D8263D">
        <w:rPr>
          <w:rFonts w:ascii="Arial" w:hAnsi="Arial" w:cs="Arial"/>
          <w:sz w:val="24"/>
          <w:szCs w:val="24"/>
        </w:rPr>
        <w:t xml:space="preserve"> Updated Incompetency Letters)?</w:t>
      </w:r>
    </w:p>
    <w:p w14:paraId="1220C4CE" w14:textId="77777777" w:rsidR="00D8263D" w:rsidRPr="00D8263D" w:rsidRDefault="00D8263D" w:rsidP="00C56F7F">
      <w:pPr>
        <w:spacing w:before="0" w:after="0"/>
        <w:rPr>
          <w:rFonts w:ascii="Arial" w:hAnsi="Arial" w:cs="Arial"/>
          <w:sz w:val="24"/>
          <w:szCs w:val="24"/>
        </w:rPr>
      </w:pPr>
    </w:p>
    <w:p w14:paraId="0E2AC6EA" w14:textId="471B57F7" w:rsidR="00D8263D" w:rsidRPr="00D8263D" w:rsidRDefault="00C56F7F" w:rsidP="00C56F7F">
      <w:pPr>
        <w:spacing w:before="0" w:after="0"/>
        <w:rPr>
          <w:rFonts w:ascii="Arial" w:hAnsi="Arial" w:cs="Arial"/>
          <w:sz w:val="24"/>
          <w:szCs w:val="24"/>
        </w:rPr>
      </w:pPr>
      <w:r w:rsidRPr="00D8263D">
        <w:rPr>
          <w:rFonts w:ascii="Arial" w:hAnsi="Arial" w:cs="Arial"/>
          <w:b/>
          <w:bCs/>
          <w:sz w:val="24"/>
          <w:szCs w:val="24"/>
        </w:rPr>
        <w:t>P&amp;F Response</w:t>
      </w:r>
      <w:r w:rsidR="00D8263D" w:rsidRPr="00D8263D">
        <w:rPr>
          <w:rFonts w:ascii="Arial" w:hAnsi="Arial" w:cs="Arial"/>
          <w:b/>
          <w:bCs/>
          <w:sz w:val="24"/>
          <w:szCs w:val="24"/>
        </w:rPr>
        <w:t>:</w:t>
      </w:r>
      <w:r w:rsidR="00D8263D" w:rsidRPr="00D8263D">
        <w:rPr>
          <w:rFonts w:ascii="Arial" w:hAnsi="Arial" w:cs="Arial"/>
          <w:sz w:val="24"/>
          <w:szCs w:val="24"/>
        </w:rPr>
        <w:t xml:space="preserve"> P</w:t>
      </w:r>
      <w:r>
        <w:rPr>
          <w:rFonts w:ascii="Arial" w:hAnsi="Arial" w:cs="Arial"/>
          <w:sz w:val="24"/>
          <w:szCs w:val="24"/>
        </w:rPr>
        <w:t>&amp;F</w:t>
      </w:r>
      <w:r w:rsidR="00D8263D" w:rsidRPr="00D8263D">
        <w:rPr>
          <w:rFonts w:ascii="Arial" w:hAnsi="Arial" w:cs="Arial"/>
          <w:sz w:val="24"/>
          <w:szCs w:val="24"/>
        </w:rPr>
        <w:t xml:space="preserve"> identifies that the field must follow the guidance provided on July 9, 2024, by the Office of Field Operations regarding utilization of letters provided. Additionally, P&amp;F is reviewing </w:t>
      </w:r>
      <w:hyperlink r:id="rId39" w:history="1">
        <w:r w:rsidR="00D8263D" w:rsidRPr="00D8263D">
          <w:rPr>
            <w:rStyle w:val="Hyperlink"/>
            <w:rFonts w:ascii="Arial" w:hAnsi="Arial" w:cs="Arial"/>
            <w:sz w:val="24"/>
            <w:szCs w:val="24"/>
          </w:rPr>
          <w:t>M21-1 X.ii.6.D.3.b</w:t>
        </w:r>
      </w:hyperlink>
      <w:r w:rsidR="00D8263D" w:rsidRPr="00D8263D">
        <w:rPr>
          <w:rStyle w:val="Hyperlink"/>
          <w:rFonts w:ascii="Arial" w:hAnsi="Arial" w:cs="Arial"/>
          <w:sz w:val="24"/>
          <w:szCs w:val="24"/>
        </w:rPr>
        <w:t>.</w:t>
      </w:r>
    </w:p>
    <w:p w14:paraId="1A1DBBB4" w14:textId="77777777" w:rsidR="00D8263D" w:rsidRPr="00D8263D" w:rsidRDefault="00D8263D" w:rsidP="00C56F7F">
      <w:pPr>
        <w:spacing w:before="0" w:after="0"/>
        <w:ind w:left="720"/>
        <w:rPr>
          <w:rFonts w:ascii="Arial" w:hAnsi="Arial" w:cs="Arial"/>
          <w:sz w:val="24"/>
          <w:szCs w:val="24"/>
        </w:rPr>
      </w:pPr>
    </w:p>
    <w:p w14:paraId="6CDE70D3" w14:textId="01B6A0D1" w:rsidR="00D8263D" w:rsidRPr="00D8263D" w:rsidRDefault="00D8263D" w:rsidP="00C56F7F">
      <w:pPr>
        <w:pStyle w:val="NoSpacing"/>
        <w:rPr>
          <w:rFonts w:ascii="Arial" w:hAnsi="Arial" w:cs="Arial"/>
          <w:b/>
          <w:bCs/>
          <w:sz w:val="24"/>
          <w:szCs w:val="24"/>
        </w:rPr>
      </w:pPr>
      <w:r w:rsidRPr="00D8263D">
        <w:rPr>
          <w:rFonts w:ascii="Arial" w:hAnsi="Arial" w:cs="Arial"/>
          <w:b/>
          <w:bCs/>
          <w:i/>
          <w:iCs/>
          <w:sz w:val="24"/>
          <w:szCs w:val="24"/>
        </w:rPr>
        <w:t>Note</w:t>
      </w:r>
      <w:r w:rsidRPr="00D8263D">
        <w:rPr>
          <w:rFonts w:ascii="Arial" w:hAnsi="Arial" w:cs="Arial"/>
          <w:i/>
          <w:iCs/>
          <w:sz w:val="24"/>
          <w:szCs w:val="24"/>
        </w:rPr>
        <w:t xml:space="preserve">: </w:t>
      </w:r>
      <w:r w:rsidRPr="00D8263D">
        <w:rPr>
          <w:rFonts w:ascii="Arial" w:hAnsi="Arial" w:cs="Arial"/>
          <w:sz w:val="24"/>
          <w:szCs w:val="24"/>
        </w:rPr>
        <w:t xml:space="preserve">If a manual change is implemented, you will be notified via the Compensation Service Calendar email blast. To subscribe to this email blast, visit the </w:t>
      </w:r>
      <w:hyperlink r:id="rId40" w:history="1">
        <w:r w:rsidRPr="00D8263D">
          <w:rPr>
            <w:rStyle w:val="Hyperlink"/>
            <w:rFonts w:ascii="Arial" w:hAnsi="Arial" w:cs="Arial"/>
            <w:sz w:val="24"/>
            <w:szCs w:val="24"/>
          </w:rPr>
          <w:t>Calendar Subscriptions</w:t>
        </w:r>
      </w:hyperlink>
      <w:r w:rsidRPr="00D8263D">
        <w:rPr>
          <w:rFonts w:ascii="Arial" w:hAnsi="Arial" w:cs="Arial"/>
          <w:sz w:val="24"/>
          <w:szCs w:val="24"/>
        </w:rPr>
        <w:t xml:space="preserve"> website.</w:t>
      </w:r>
    </w:p>
    <w:p w14:paraId="26ADC330" w14:textId="77777777" w:rsidR="00D8263D" w:rsidRDefault="00D8263D" w:rsidP="00C56F7F">
      <w:pPr>
        <w:pStyle w:val="NoSpacing"/>
        <w:rPr>
          <w:rFonts w:ascii="Arial" w:hAnsi="Arial" w:cs="Arial"/>
          <w:b/>
          <w:bCs/>
        </w:rPr>
      </w:pPr>
    </w:p>
    <w:p w14:paraId="069EB053" w14:textId="5F819F57" w:rsidR="005A10FC" w:rsidRPr="00D8263D" w:rsidRDefault="005A10FC" w:rsidP="00C56F7F">
      <w:pPr>
        <w:pStyle w:val="NoSpacing"/>
        <w:rPr>
          <w:rFonts w:ascii="Arial" w:hAnsi="Arial" w:cs="Arial"/>
          <w:sz w:val="24"/>
          <w:szCs w:val="24"/>
        </w:rPr>
      </w:pPr>
      <w:r w:rsidRPr="00D8263D">
        <w:rPr>
          <w:rFonts w:ascii="Arial" w:hAnsi="Arial" w:cs="Arial"/>
          <w:b/>
          <w:bCs/>
          <w:sz w:val="24"/>
          <w:szCs w:val="24"/>
        </w:rPr>
        <w:t xml:space="preserve">Field Question During Quality Call: </w:t>
      </w:r>
      <w:r w:rsidRPr="00D8263D">
        <w:rPr>
          <w:rFonts w:ascii="Arial" w:hAnsi="Arial" w:cs="Arial"/>
          <w:sz w:val="24"/>
          <w:szCs w:val="24"/>
        </w:rPr>
        <w:t xml:space="preserve">We will </w:t>
      </w:r>
      <w:proofErr w:type="gramStart"/>
      <w:r w:rsidRPr="00D8263D">
        <w:rPr>
          <w:rFonts w:ascii="Arial" w:hAnsi="Arial" w:cs="Arial"/>
          <w:sz w:val="24"/>
          <w:szCs w:val="24"/>
        </w:rPr>
        <w:t>make a decision</w:t>
      </w:r>
      <w:proofErr w:type="gramEnd"/>
      <w:r w:rsidRPr="00D8263D">
        <w:rPr>
          <w:rFonts w:ascii="Arial" w:hAnsi="Arial" w:cs="Arial"/>
          <w:sz w:val="24"/>
          <w:szCs w:val="24"/>
        </w:rPr>
        <w:t xml:space="preserve"> on a request for substitution (no standard form required per XI.ii.3.C.1.b.) when we receive a complete VAF 21-534EZ from a surviving spouse within a year of the Veteran's death, and the Veteran had claims where the review period had not yet expired. However, what is the lawful basis for not making a decision on a claim for accrued benefits when the required AMA review form has not been submitted per </w:t>
      </w:r>
      <w:proofErr w:type="gramStart"/>
      <w:r w:rsidRPr="00D8263D">
        <w:rPr>
          <w:rFonts w:ascii="Arial" w:hAnsi="Arial" w:cs="Arial"/>
          <w:sz w:val="24"/>
          <w:szCs w:val="24"/>
        </w:rPr>
        <w:t>XI.ii.3.E.17.k. ?</w:t>
      </w:r>
      <w:proofErr w:type="gramEnd"/>
    </w:p>
    <w:p w14:paraId="10DF19A0" w14:textId="77777777" w:rsidR="005A10FC" w:rsidRPr="00D8263D" w:rsidRDefault="005A10FC" w:rsidP="005A10FC">
      <w:pPr>
        <w:pStyle w:val="NoSpacing"/>
        <w:rPr>
          <w:rFonts w:ascii="Arial" w:hAnsi="Arial" w:cs="Arial"/>
          <w:sz w:val="24"/>
          <w:szCs w:val="24"/>
        </w:rPr>
      </w:pPr>
    </w:p>
    <w:p w14:paraId="0698EA8A" w14:textId="1FB75669" w:rsidR="005A10FC" w:rsidRPr="00D8263D" w:rsidRDefault="005A10FC" w:rsidP="005A10FC">
      <w:pPr>
        <w:pStyle w:val="NoSpacing"/>
        <w:rPr>
          <w:rFonts w:ascii="Arial" w:hAnsi="Arial" w:cs="Arial"/>
          <w:sz w:val="24"/>
          <w:szCs w:val="24"/>
        </w:rPr>
      </w:pPr>
      <w:r w:rsidRPr="00D8263D">
        <w:rPr>
          <w:rFonts w:ascii="Arial" w:hAnsi="Arial" w:cs="Arial"/>
          <w:sz w:val="24"/>
          <w:szCs w:val="24"/>
        </w:rPr>
        <w:t xml:space="preserve">I.e. why are we deferring a formal decision on accrued benefits when a proper AMA review form has not been submitted in these </w:t>
      </w:r>
      <w:proofErr w:type="gramStart"/>
      <w:r w:rsidRPr="00D8263D">
        <w:rPr>
          <w:rFonts w:ascii="Arial" w:hAnsi="Arial" w:cs="Arial"/>
          <w:sz w:val="24"/>
          <w:szCs w:val="24"/>
        </w:rPr>
        <w:t>cases ?</w:t>
      </w:r>
      <w:proofErr w:type="gramEnd"/>
      <w:r w:rsidRPr="00D8263D">
        <w:rPr>
          <w:rFonts w:ascii="Arial" w:hAnsi="Arial" w:cs="Arial"/>
          <w:sz w:val="24"/>
          <w:szCs w:val="24"/>
        </w:rPr>
        <w:t xml:space="preserve"> We are correctly addressing substitution as aforementioned and notifying the surviving spouse of the remaining time-limit for them to submit </w:t>
      </w:r>
      <w:r w:rsidR="00E91F74" w:rsidRPr="00D8263D">
        <w:rPr>
          <w:rFonts w:ascii="Arial" w:hAnsi="Arial" w:cs="Arial"/>
          <w:sz w:val="24"/>
          <w:szCs w:val="24"/>
        </w:rPr>
        <w:t>an</w:t>
      </w:r>
      <w:r w:rsidRPr="00D8263D">
        <w:rPr>
          <w:rFonts w:ascii="Arial" w:hAnsi="Arial" w:cs="Arial"/>
          <w:sz w:val="24"/>
          <w:szCs w:val="24"/>
        </w:rPr>
        <w:t xml:space="preserve"> AMA decision review form, which when received, then we can address a formal claim for accrued benefits. But without the required form, we have no basis for deferring a formal decision, and accordingly, would be incorrect to do so as I understand from reading the relevant </w:t>
      </w:r>
      <w:proofErr w:type="gramStart"/>
      <w:r w:rsidRPr="00D8263D">
        <w:rPr>
          <w:rFonts w:ascii="Arial" w:hAnsi="Arial" w:cs="Arial"/>
          <w:sz w:val="24"/>
          <w:szCs w:val="24"/>
        </w:rPr>
        <w:t>references aforementioned</w:t>
      </w:r>
      <w:proofErr w:type="gramEnd"/>
      <w:r w:rsidRPr="00D8263D">
        <w:rPr>
          <w:rFonts w:ascii="Arial" w:hAnsi="Arial" w:cs="Arial"/>
          <w:sz w:val="24"/>
          <w:szCs w:val="24"/>
        </w:rPr>
        <w:t>.</w:t>
      </w:r>
      <w:r w:rsidR="00E91F74" w:rsidRPr="00D8263D">
        <w:rPr>
          <w:rFonts w:ascii="Arial" w:hAnsi="Arial" w:cs="Arial"/>
          <w:sz w:val="24"/>
          <w:szCs w:val="24"/>
        </w:rPr>
        <w:t xml:space="preserve"> </w:t>
      </w:r>
      <w:r w:rsidRPr="00D8263D">
        <w:rPr>
          <w:rFonts w:ascii="Arial" w:hAnsi="Arial" w:cs="Arial"/>
          <w:sz w:val="24"/>
          <w:szCs w:val="24"/>
        </w:rPr>
        <w:t>Therefore, shouldn't we grant substitution but deny accrued benefits in the interim until the required AMA review form is submitted as the correct procedure per the manual (XI.ii.3.B.3.c.)?</w:t>
      </w:r>
    </w:p>
    <w:p w14:paraId="163C69A9" w14:textId="77777777" w:rsidR="005A10FC" w:rsidRPr="00D8263D" w:rsidRDefault="005A10FC" w:rsidP="005A10FC">
      <w:pPr>
        <w:pStyle w:val="NoSpacing"/>
        <w:rPr>
          <w:rFonts w:ascii="Arial" w:hAnsi="Arial" w:cs="Arial"/>
          <w:sz w:val="24"/>
          <w:szCs w:val="24"/>
        </w:rPr>
      </w:pPr>
    </w:p>
    <w:p w14:paraId="21B18277" w14:textId="0ACAAB2B" w:rsidR="005A10FC" w:rsidRPr="00D8263D" w:rsidRDefault="005A10FC" w:rsidP="005A10FC">
      <w:pPr>
        <w:pStyle w:val="NoSpacing"/>
        <w:rPr>
          <w:rFonts w:ascii="Arial" w:hAnsi="Arial" w:cs="Arial"/>
          <w:sz w:val="24"/>
          <w:szCs w:val="24"/>
        </w:rPr>
      </w:pPr>
      <w:r w:rsidRPr="00D8263D">
        <w:rPr>
          <w:rFonts w:ascii="Arial" w:hAnsi="Arial" w:cs="Arial"/>
          <w:b/>
          <w:bCs/>
          <w:sz w:val="24"/>
          <w:szCs w:val="24"/>
        </w:rPr>
        <w:t xml:space="preserve">P&amp;F Response: </w:t>
      </w:r>
      <w:r w:rsidRPr="00D8263D">
        <w:rPr>
          <w:rFonts w:ascii="Arial" w:hAnsi="Arial" w:cs="Arial"/>
          <w:sz w:val="24"/>
          <w:szCs w:val="24"/>
        </w:rPr>
        <w:t xml:space="preserve">In cases where a Veteran’s claim was decided within one year of the Veteran’s death, and the survivor submitted only a complete 534EZ, the survivor has the right to request a decision review of the deceased Veteran’s claim or appeal that is not yet final (see </w:t>
      </w:r>
      <w:hyperlink r:id="rId41" w:history="1">
        <w:r w:rsidRPr="00D8263D">
          <w:rPr>
            <w:rStyle w:val="Hyperlink"/>
            <w:rFonts w:ascii="Arial" w:hAnsi="Arial" w:cs="Arial"/>
            <w:sz w:val="24"/>
            <w:szCs w:val="24"/>
          </w:rPr>
          <w:t>M21-1 XI.ii.3.A.2.a</w:t>
        </w:r>
      </w:hyperlink>
      <w:r w:rsidRPr="00D8263D">
        <w:rPr>
          <w:rFonts w:ascii="Arial" w:hAnsi="Arial" w:cs="Arial"/>
          <w:sz w:val="24"/>
          <w:szCs w:val="24"/>
        </w:rPr>
        <w:t xml:space="preserve"> and </w:t>
      </w:r>
      <w:hyperlink r:id="rId42" w:anchor="p-3.1000(d)(5)" w:history="1">
        <w:r w:rsidRPr="00D8263D">
          <w:rPr>
            <w:rStyle w:val="Hyperlink"/>
            <w:rFonts w:ascii="Arial" w:hAnsi="Arial" w:cs="Arial"/>
            <w:sz w:val="24"/>
            <w:szCs w:val="24"/>
          </w:rPr>
          <w:t>38 CFR 3.1000 (d)(5)).</w:t>
        </w:r>
      </w:hyperlink>
      <w:r w:rsidRPr="00D8263D">
        <w:rPr>
          <w:rFonts w:ascii="Arial" w:hAnsi="Arial" w:cs="Arial"/>
          <w:sz w:val="24"/>
          <w:szCs w:val="24"/>
        </w:rPr>
        <w:t xml:space="preserve"> However, the review request must be filed on the appropriate AMA form. In this scenario, VA should deny the accrued claim and decide substitution eligibility. Follow the guidance in </w:t>
      </w:r>
      <w:hyperlink r:id="rId43" w:history="1">
        <w:r w:rsidRPr="00D8263D">
          <w:rPr>
            <w:rStyle w:val="Hyperlink"/>
            <w:rFonts w:ascii="Arial" w:hAnsi="Arial" w:cs="Arial"/>
            <w:sz w:val="24"/>
            <w:szCs w:val="24"/>
          </w:rPr>
          <w:t>M21-1 XI.ii.3.B.3.c</w:t>
        </w:r>
      </w:hyperlink>
      <w:r w:rsidRPr="00D8263D">
        <w:rPr>
          <w:rFonts w:ascii="Arial" w:hAnsi="Arial" w:cs="Arial"/>
          <w:sz w:val="24"/>
          <w:szCs w:val="24"/>
        </w:rPr>
        <w:t xml:space="preserve">.  </w:t>
      </w:r>
    </w:p>
    <w:p w14:paraId="31E6C481" w14:textId="77777777" w:rsidR="005A10FC" w:rsidRPr="00D8263D" w:rsidRDefault="005A10FC" w:rsidP="005A10FC">
      <w:pPr>
        <w:pStyle w:val="NoSpacing"/>
        <w:rPr>
          <w:rFonts w:ascii="Arial" w:hAnsi="Arial" w:cs="Arial"/>
          <w:sz w:val="24"/>
          <w:szCs w:val="24"/>
        </w:rPr>
      </w:pPr>
    </w:p>
    <w:p w14:paraId="7D0D6852" w14:textId="77777777" w:rsidR="005A10FC" w:rsidRPr="00D8263D" w:rsidRDefault="005A10FC" w:rsidP="005A10FC">
      <w:pPr>
        <w:pStyle w:val="NoSpacing"/>
        <w:rPr>
          <w:rFonts w:ascii="Arial" w:hAnsi="Arial" w:cs="Arial"/>
          <w:sz w:val="24"/>
          <w:szCs w:val="24"/>
        </w:rPr>
      </w:pPr>
      <w:r w:rsidRPr="00D8263D">
        <w:rPr>
          <w:rFonts w:ascii="Arial" w:hAnsi="Arial" w:cs="Arial"/>
          <w:sz w:val="24"/>
          <w:szCs w:val="24"/>
        </w:rPr>
        <w:t xml:space="preserve">Below is an example.  </w:t>
      </w:r>
    </w:p>
    <w:p w14:paraId="0667FB5E" w14:textId="77777777" w:rsidR="005A10FC" w:rsidRPr="00D8263D" w:rsidRDefault="005A10FC" w:rsidP="005A10FC">
      <w:pPr>
        <w:pStyle w:val="NoSpacing"/>
        <w:rPr>
          <w:rStyle w:val="cf11"/>
          <w:sz w:val="20"/>
          <w:szCs w:val="20"/>
        </w:rPr>
      </w:pPr>
    </w:p>
    <w:p w14:paraId="7E472831" w14:textId="77777777" w:rsidR="005A10FC" w:rsidRPr="00D8263D" w:rsidRDefault="005A10FC" w:rsidP="005A10FC">
      <w:pPr>
        <w:pStyle w:val="NoSpacing"/>
        <w:numPr>
          <w:ilvl w:val="0"/>
          <w:numId w:val="30"/>
        </w:numPr>
        <w:rPr>
          <w:rFonts w:ascii="Arial" w:hAnsi="Arial" w:cs="Arial"/>
          <w:sz w:val="24"/>
          <w:szCs w:val="24"/>
        </w:rPr>
      </w:pPr>
      <w:r w:rsidRPr="00D8263D">
        <w:rPr>
          <w:rFonts w:ascii="Arial" w:hAnsi="Arial" w:cs="Arial"/>
          <w:b/>
          <w:bCs/>
          <w:sz w:val="24"/>
          <w:szCs w:val="24"/>
        </w:rPr>
        <w:t>Example</w:t>
      </w:r>
      <w:r w:rsidRPr="00D8263D">
        <w:rPr>
          <w:rFonts w:ascii="Arial" w:hAnsi="Arial" w:cs="Arial"/>
          <w:sz w:val="24"/>
          <w:szCs w:val="24"/>
        </w:rPr>
        <w:t xml:space="preserve">: The Veteran submitted VA Form 21-526 on 04/15/24 requesting an increase in the PTSD rating currently at 30%. VA established an EP 020, and provided a decision with notification on 05/28/24, denying the request for increased rating. VA received notice that the Veteran passed away on 07/13/24, after the decision notice was issued. </w:t>
      </w:r>
    </w:p>
    <w:p w14:paraId="0ADDD238" w14:textId="77777777" w:rsidR="005A10FC" w:rsidRPr="00D8263D" w:rsidRDefault="005A10FC" w:rsidP="005A10FC">
      <w:pPr>
        <w:pStyle w:val="NoSpacing"/>
        <w:ind w:left="720"/>
        <w:rPr>
          <w:rFonts w:ascii="Arial" w:hAnsi="Arial" w:cs="Arial"/>
          <w:sz w:val="24"/>
          <w:szCs w:val="24"/>
        </w:rPr>
      </w:pPr>
    </w:p>
    <w:p w14:paraId="7AD66FE7" w14:textId="77777777" w:rsidR="005A10FC" w:rsidRPr="00D8263D" w:rsidRDefault="005A10FC" w:rsidP="005A10FC">
      <w:pPr>
        <w:pStyle w:val="NoSpacing"/>
        <w:ind w:left="720"/>
        <w:rPr>
          <w:rFonts w:ascii="Arial" w:hAnsi="Arial" w:cs="Arial"/>
          <w:sz w:val="24"/>
          <w:szCs w:val="24"/>
        </w:rPr>
      </w:pPr>
      <w:r w:rsidRPr="00D8263D">
        <w:rPr>
          <w:rFonts w:ascii="Arial" w:hAnsi="Arial" w:cs="Arial"/>
          <w:sz w:val="24"/>
          <w:szCs w:val="24"/>
        </w:rPr>
        <w:t xml:space="preserve">VA received a 534EZ from the Veteran’s surviving spouse on 08/15/24, requesting </w:t>
      </w:r>
      <w:proofErr w:type="gramStart"/>
      <w:r w:rsidRPr="00D8263D">
        <w:rPr>
          <w:rFonts w:ascii="Arial" w:hAnsi="Arial" w:cs="Arial"/>
          <w:sz w:val="24"/>
          <w:szCs w:val="24"/>
        </w:rPr>
        <w:t>survivors</w:t>
      </w:r>
      <w:proofErr w:type="gramEnd"/>
      <w:r w:rsidRPr="00D8263D">
        <w:rPr>
          <w:rFonts w:ascii="Arial" w:hAnsi="Arial" w:cs="Arial"/>
          <w:sz w:val="24"/>
          <w:szCs w:val="24"/>
        </w:rPr>
        <w:t xml:space="preserve"> pension and accrued benefits. Review of the claim determined the surviving spouse was eligible for </w:t>
      </w:r>
      <w:proofErr w:type="gramStart"/>
      <w:r w:rsidRPr="00D8263D">
        <w:rPr>
          <w:rFonts w:ascii="Arial" w:hAnsi="Arial" w:cs="Arial"/>
          <w:sz w:val="24"/>
          <w:szCs w:val="24"/>
        </w:rPr>
        <w:t>survivors</w:t>
      </w:r>
      <w:proofErr w:type="gramEnd"/>
      <w:r w:rsidRPr="00D8263D">
        <w:rPr>
          <w:rFonts w:ascii="Arial" w:hAnsi="Arial" w:cs="Arial"/>
          <w:sz w:val="24"/>
          <w:szCs w:val="24"/>
        </w:rPr>
        <w:t xml:space="preserve"> pension benefits. Therefore, VA’s notification must include the following:</w:t>
      </w:r>
    </w:p>
    <w:p w14:paraId="0F8FEEA7" w14:textId="77777777" w:rsidR="005A10FC" w:rsidRPr="00D8263D" w:rsidRDefault="005A10FC" w:rsidP="005A10FC">
      <w:pPr>
        <w:pStyle w:val="NoSpacing"/>
        <w:numPr>
          <w:ilvl w:val="1"/>
          <w:numId w:val="30"/>
        </w:numPr>
        <w:rPr>
          <w:rFonts w:ascii="Arial" w:hAnsi="Arial" w:cs="Arial"/>
          <w:sz w:val="24"/>
          <w:szCs w:val="24"/>
        </w:rPr>
      </w:pPr>
      <w:r w:rsidRPr="00D8263D">
        <w:rPr>
          <w:rFonts w:ascii="Arial" w:hAnsi="Arial" w:cs="Arial"/>
          <w:sz w:val="24"/>
          <w:szCs w:val="24"/>
        </w:rPr>
        <w:t xml:space="preserve">the award of </w:t>
      </w:r>
      <w:proofErr w:type="gramStart"/>
      <w:r w:rsidRPr="00D8263D">
        <w:rPr>
          <w:rFonts w:ascii="Arial" w:hAnsi="Arial" w:cs="Arial"/>
          <w:sz w:val="24"/>
          <w:szCs w:val="24"/>
        </w:rPr>
        <w:t>survivors</w:t>
      </w:r>
      <w:proofErr w:type="gramEnd"/>
      <w:r w:rsidRPr="00D8263D">
        <w:rPr>
          <w:rFonts w:ascii="Arial" w:hAnsi="Arial" w:cs="Arial"/>
          <w:sz w:val="24"/>
          <w:szCs w:val="24"/>
        </w:rPr>
        <w:t xml:space="preserve"> pension benefits, </w:t>
      </w:r>
    </w:p>
    <w:p w14:paraId="1FC3285A" w14:textId="77777777" w:rsidR="005A10FC" w:rsidRPr="00D8263D" w:rsidRDefault="005A10FC" w:rsidP="005A10FC">
      <w:pPr>
        <w:pStyle w:val="NoSpacing"/>
        <w:numPr>
          <w:ilvl w:val="1"/>
          <w:numId w:val="30"/>
        </w:numPr>
        <w:rPr>
          <w:rFonts w:ascii="Arial" w:hAnsi="Arial" w:cs="Arial"/>
          <w:sz w:val="24"/>
          <w:szCs w:val="24"/>
        </w:rPr>
      </w:pPr>
      <w:r w:rsidRPr="00D8263D">
        <w:rPr>
          <w:rFonts w:ascii="Arial" w:hAnsi="Arial" w:cs="Arial"/>
          <w:sz w:val="24"/>
          <w:szCs w:val="24"/>
        </w:rPr>
        <w:t xml:space="preserve">administrative denial of DIC, </w:t>
      </w:r>
    </w:p>
    <w:p w14:paraId="1CEFDA91" w14:textId="77777777" w:rsidR="005A10FC" w:rsidRPr="00D8263D" w:rsidRDefault="005A10FC" w:rsidP="005A10FC">
      <w:pPr>
        <w:pStyle w:val="NoSpacing"/>
        <w:numPr>
          <w:ilvl w:val="1"/>
          <w:numId w:val="30"/>
        </w:numPr>
        <w:rPr>
          <w:rFonts w:ascii="Arial" w:hAnsi="Arial" w:cs="Arial"/>
          <w:sz w:val="24"/>
          <w:szCs w:val="24"/>
        </w:rPr>
      </w:pPr>
      <w:r w:rsidRPr="00D8263D">
        <w:rPr>
          <w:rFonts w:ascii="Arial" w:hAnsi="Arial" w:cs="Arial"/>
          <w:b/>
          <w:bCs/>
          <w:i/>
          <w:iCs/>
          <w:sz w:val="24"/>
          <w:szCs w:val="24"/>
        </w:rPr>
        <w:t>administrative denial of accrued benefits</w:t>
      </w:r>
    </w:p>
    <w:p w14:paraId="38A0A64C" w14:textId="77777777" w:rsidR="005A10FC" w:rsidRPr="00D8263D" w:rsidRDefault="005A10FC" w:rsidP="005A10FC">
      <w:pPr>
        <w:pStyle w:val="NoSpacing"/>
        <w:numPr>
          <w:ilvl w:val="1"/>
          <w:numId w:val="30"/>
        </w:numPr>
        <w:rPr>
          <w:rFonts w:ascii="Arial" w:hAnsi="Arial" w:cs="Arial"/>
          <w:sz w:val="24"/>
          <w:szCs w:val="24"/>
        </w:rPr>
      </w:pPr>
      <w:r w:rsidRPr="00D8263D">
        <w:rPr>
          <w:rFonts w:ascii="Arial" w:hAnsi="Arial" w:cs="Arial"/>
          <w:b/>
          <w:bCs/>
          <w:i/>
          <w:iCs/>
          <w:sz w:val="24"/>
          <w:szCs w:val="24"/>
        </w:rPr>
        <w:t>grant of substitution eligibility</w:t>
      </w:r>
      <w:r w:rsidRPr="00D8263D">
        <w:rPr>
          <w:rFonts w:ascii="Arial" w:hAnsi="Arial" w:cs="Arial"/>
          <w:sz w:val="24"/>
          <w:szCs w:val="24"/>
        </w:rPr>
        <w:t xml:space="preserve"> using the guidance in </w:t>
      </w:r>
      <w:hyperlink r:id="rId44" w:history="1">
        <w:r w:rsidRPr="00D8263D">
          <w:rPr>
            <w:rStyle w:val="Hyperlink"/>
            <w:rFonts w:ascii="Arial" w:hAnsi="Arial" w:cs="Arial"/>
            <w:sz w:val="24"/>
            <w:szCs w:val="24"/>
          </w:rPr>
          <w:t>M21-1 XI.ii.3.B.3.c</w:t>
        </w:r>
      </w:hyperlink>
      <w:r w:rsidRPr="00D8263D">
        <w:rPr>
          <w:rFonts w:ascii="Arial" w:hAnsi="Arial" w:cs="Arial"/>
          <w:sz w:val="24"/>
          <w:szCs w:val="24"/>
        </w:rPr>
        <w:t>, and</w:t>
      </w:r>
    </w:p>
    <w:p w14:paraId="06187F3D" w14:textId="77777777" w:rsidR="005A10FC" w:rsidRPr="00D8263D" w:rsidRDefault="005A10FC" w:rsidP="005A10FC">
      <w:pPr>
        <w:pStyle w:val="NoSpacing"/>
        <w:numPr>
          <w:ilvl w:val="1"/>
          <w:numId w:val="30"/>
        </w:numPr>
        <w:rPr>
          <w:rFonts w:ascii="Arial" w:hAnsi="Arial" w:cs="Arial"/>
          <w:sz w:val="24"/>
          <w:szCs w:val="24"/>
        </w:rPr>
      </w:pPr>
      <w:r w:rsidRPr="00D8263D">
        <w:rPr>
          <w:rFonts w:ascii="Arial" w:hAnsi="Arial" w:cs="Arial"/>
          <w:b/>
          <w:bCs/>
          <w:i/>
          <w:iCs/>
          <w:sz w:val="24"/>
          <w:szCs w:val="24"/>
        </w:rPr>
        <w:t>provide the surviving spouse with the timeline</w:t>
      </w:r>
      <w:r w:rsidRPr="00D8263D">
        <w:rPr>
          <w:rFonts w:ascii="Arial" w:hAnsi="Arial" w:cs="Arial"/>
          <w:sz w:val="24"/>
          <w:szCs w:val="24"/>
        </w:rPr>
        <w:t xml:space="preserve"> to submit AMA review forms using the guidance in </w:t>
      </w:r>
      <w:hyperlink r:id="rId45" w:history="1">
        <w:r w:rsidRPr="00D8263D">
          <w:rPr>
            <w:rStyle w:val="Hyperlink"/>
            <w:rFonts w:ascii="Arial" w:hAnsi="Arial" w:cs="Arial"/>
            <w:sz w:val="24"/>
            <w:szCs w:val="24"/>
          </w:rPr>
          <w:t>M21-1 XI.ii.3.B.3.a</w:t>
        </w:r>
      </w:hyperlink>
      <w:r w:rsidRPr="00D8263D">
        <w:rPr>
          <w:rFonts w:ascii="Arial" w:hAnsi="Arial" w:cs="Arial"/>
          <w:sz w:val="24"/>
          <w:szCs w:val="24"/>
        </w:rPr>
        <w:t xml:space="preserve">.  </w:t>
      </w:r>
    </w:p>
    <w:p w14:paraId="74D60187" w14:textId="77777777" w:rsidR="005A10FC" w:rsidRPr="00D8263D" w:rsidRDefault="005A10FC" w:rsidP="005A10FC">
      <w:pPr>
        <w:pStyle w:val="NoSpacing"/>
        <w:rPr>
          <w:rFonts w:ascii="Arial" w:hAnsi="Arial" w:cs="Arial"/>
          <w:sz w:val="24"/>
          <w:szCs w:val="24"/>
        </w:rPr>
      </w:pPr>
    </w:p>
    <w:p w14:paraId="510584FD" w14:textId="77777777" w:rsidR="005A10FC" w:rsidRPr="00D8263D" w:rsidRDefault="005A10FC" w:rsidP="005A10FC">
      <w:pPr>
        <w:pStyle w:val="NoSpacing"/>
        <w:rPr>
          <w:rFonts w:ascii="Arial" w:hAnsi="Arial" w:cs="Arial"/>
          <w:sz w:val="24"/>
          <w:szCs w:val="24"/>
        </w:rPr>
      </w:pPr>
      <w:r w:rsidRPr="00D8263D">
        <w:rPr>
          <w:rFonts w:ascii="Arial" w:hAnsi="Arial" w:cs="Arial"/>
          <w:sz w:val="24"/>
          <w:szCs w:val="24"/>
        </w:rPr>
        <w:t xml:space="preserve">In this specific situation, VA must deny accrued benefits because the Veteran’s claim was decided prior to the Veteran’s passing and the applicable review rights were provided in the notification of that decision. Since VA has determined the claimant is the eligible surviving spouse, VA must grant substitution eligibility as a qualified claimant under </w:t>
      </w:r>
      <w:hyperlink r:id="rId46" w:anchor="p-3.1000(a)(1)(i)" w:history="1">
        <w:r w:rsidRPr="00D8263D">
          <w:rPr>
            <w:rStyle w:val="Hyperlink"/>
            <w:rFonts w:ascii="Arial" w:hAnsi="Arial" w:cs="Arial"/>
            <w:sz w:val="24"/>
            <w:szCs w:val="24"/>
          </w:rPr>
          <w:t>38 CFR 3.1000(a)(1)(i).</w:t>
        </w:r>
      </w:hyperlink>
      <w:r w:rsidRPr="00D8263D">
        <w:rPr>
          <w:rFonts w:ascii="Arial" w:hAnsi="Arial" w:cs="Arial"/>
          <w:sz w:val="24"/>
          <w:szCs w:val="24"/>
        </w:rPr>
        <w:t xml:space="preserve"> The surviving spouse is then required to submit a request for one of the review lanes that were communicated to the Veteran in the decision dated 05/28/24. The remaining timeline to submit such request must be included with the grant of substitution eligibility.  </w:t>
      </w:r>
    </w:p>
    <w:p w14:paraId="49931CDD" w14:textId="77777777" w:rsidR="00762DB6" w:rsidRPr="00CA31B6" w:rsidRDefault="00762DB6" w:rsidP="00CA31B6">
      <w:pPr>
        <w:widowControl w:val="0"/>
        <w:autoSpaceDE w:val="0"/>
        <w:autoSpaceDN w:val="0"/>
        <w:spacing w:before="0" w:after="0"/>
        <w:rPr>
          <w:rFonts w:cstheme="minorHAnsi"/>
          <w:sz w:val="24"/>
          <w:szCs w:val="24"/>
          <w:u w:val="single"/>
        </w:rPr>
      </w:pPr>
    </w:p>
    <w:p w14:paraId="4E3868E4" w14:textId="77777777" w:rsidR="00743D14" w:rsidRDefault="00743D14">
      <w:pPr>
        <w:rPr>
          <w:rFonts w:eastAsiaTheme="majorEastAsia" w:cstheme="minorHAnsi"/>
          <w:b/>
          <w:bCs/>
          <w:i/>
          <w:color w:val="8064A2" w:themeColor="accent4"/>
          <w:kern w:val="32"/>
          <w:sz w:val="24"/>
          <w:szCs w:val="24"/>
        </w:rPr>
      </w:pPr>
      <w:r>
        <w:rPr>
          <w:rFonts w:cstheme="minorHAnsi"/>
          <w:color w:val="8064A2" w:themeColor="accent4"/>
          <w:sz w:val="24"/>
          <w:szCs w:val="24"/>
        </w:rPr>
        <w:br w:type="page"/>
      </w:r>
    </w:p>
    <w:p w14:paraId="6F55BC13" w14:textId="263B5BAB" w:rsidR="00F15EBC" w:rsidRPr="00CA31B6" w:rsidRDefault="00F15EBC" w:rsidP="00CA31B6">
      <w:pPr>
        <w:pStyle w:val="Heading1"/>
        <w:spacing w:before="0" w:after="0"/>
        <w:rPr>
          <w:rFonts w:asciiTheme="minorHAnsi" w:hAnsiTheme="minorHAnsi" w:cstheme="minorHAnsi"/>
          <w:color w:val="8064A2" w:themeColor="accent4"/>
          <w:sz w:val="24"/>
          <w:szCs w:val="24"/>
        </w:rPr>
      </w:pPr>
      <w:r w:rsidRPr="00CA31B6">
        <w:rPr>
          <w:rFonts w:asciiTheme="minorHAnsi" w:hAnsiTheme="minorHAnsi" w:cstheme="minorHAnsi"/>
          <w:color w:val="8064A2" w:themeColor="accent4"/>
          <w:sz w:val="24"/>
          <w:szCs w:val="24"/>
        </w:rPr>
        <w:lastRenderedPageBreak/>
        <w:t>Closing Comment</w:t>
      </w:r>
      <w:r w:rsidR="00E80383" w:rsidRPr="00CA31B6">
        <w:rPr>
          <w:rFonts w:asciiTheme="minorHAnsi" w:hAnsiTheme="minorHAnsi" w:cstheme="minorHAnsi"/>
          <w:color w:val="8064A2" w:themeColor="accent4"/>
          <w:sz w:val="24"/>
          <w:szCs w:val="24"/>
        </w:rPr>
        <w:t>s</w:t>
      </w:r>
      <w:bookmarkStart w:id="25" w:name="CLOSING_"/>
      <w:bookmarkEnd w:id="25"/>
    </w:p>
    <w:p w14:paraId="51314A87" w14:textId="5F3C9435" w:rsidR="0098277E" w:rsidRPr="00CA31B6" w:rsidRDefault="0098277E" w:rsidP="00CA31B6">
      <w:pPr>
        <w:pStyle w:val="Heading4"/>
        <w:spacing w:before="0" w:after="0"/>
        <w:rPr>
          <w:rFonts w:cstheme="minorHAnsi"/>
          <w:sz w:val="24"/>
          <w:szCs w:val="24"/>
        </w:rPr>
      </w:pPr>
      <w:bookmarkStart w:id="26" w:name="_P&amp;F_Quality_Call"/>
      <w:bookmarkEnd w:id="26"/>
      <w:r w:rsidRPr="00CA31B6">
        <w:rPr>
          <w:rFonts w:cstheme="minorHAnsi"/>
          <w:sz w:val="24"/>
          <w:szCs w:val="24"/>
        </w:rPr>
        <w:t>P&amp;F Quali</w:t>
      </w:r>
      <w:r w:rsidR="00CE547D" w:rsidRPr="00CA31B6">
        <w:rPr>
          <w:rFonts w:cstheme="minorHAnsi"/>
          <w:sz w:val="24"/>
          <w:szCs w:val="24"/>
        </w:rPr>
        <w:t>ty Call Topics</w:t>
      </w:r>
      <w:r w:rsidRPr="00CA31B6">
        <w:rPr>
          <w:rFonts w:cstheme="minorHAnsi"/>
          <w:sz w:val="24"/>
          <w:szCs w:val="24"/>
        </w:rPr>
        <w:t>:</w:t>
      </w:r>
    </w:p>
    <w:p w14:paraId="0AB0841E" w14:textId="77777777" w:rsidR="00CA31B6" w:rsidRDefault="00CA31B6" w:rsidP="00CA31B6">
      <w:pPr>
        <w:pStyle w:val="Heading4"/>
        <w:spacing w:before="0" w:after="0"/>
        <w:rPr>
          <w:rFonts w:cstheme="minorHAnsi"/>
          <w:b w:val="0"/>
          <w:bCs/>
          <w:sz w:val="24"/>
          <w:szCs w:val="24"/>
        </w:rPr>
      </w:pPr>
    </w:p>
    <w:p w14:paraId="6821CBAB" w14:textId="65ACC095" w:rsidR="005B610A" w:rsidRPr="005B610A" w:rsidRDefault="0098277E" w:rsidP="00CA31B6">
      <w:pPr>
        <w:pStyle w:val="Heading4"/>
        <w:spacing w:before="0" w:after="0"/>
        <w:rPr>
          <w:sz w:val="24"/>
          <w:szCs w:val="24"/>
        </w:rPr>
      </w:pPr>
      <w:r w:rsidRPr="00CA31B6">
        <w:rPr>
          <w:rFonts w:cstheme="minorHAnsi"/>
          <w:b w:val="0"/>
          <w:bCs/>
          <w:sz w:val="24"/>
          <w:szCs w:val="24"/>
        </w:rPr>
        <w:t xml:space="preserve">We will solicit for agenda topic(s) for each future Quality Call. If you have a specific topic suggestion, please feel free to email it to the P&amp;F Quality </w:t>
      </w:r>
      <w:r w:rsidR="00840436" w:rsidRPr="00CA31B6">
        <w:rPr>
          <w:rFonts w:cstheme="minorHAnsi"/>
          <w:b w:val="0"/>
          <w:bCs/>
          <w:sz w:val="24"/>
          <w:szCs w:val="24"/>
        </w:rPr>
        <w:t xml:space="preserve">and Oversight </w:t>
      </w:r>
      <w:r w:rsidRPr="00CA31B6">
        <w:rPr>
          <w:rFonts w:cstheme="minorHAnsi"/>
          <w:b w:val="0"/>
          <w:bCs/>
          <w:sz w:val="24"/>
          <w:szCs w:val="24"/>
        </w:rPr>
        <w:t xml:space="preserve">mailbox at </w:t>
      </w:r>
      <w:hyperlink r:id="rId47" w:history="1">
        <w:r w:rsidRPr="00CA31B6">
          <w:rPr>
            <w:rStyle w:val="Hyperlink"/>
            <w:rFonts w:cstheme="minorHAnsi"/>
            <w:b w:val="0"/>
            <w:bCs/>
            <w:sz w:val="24"/>
            <w:szCs w:val="24"/>
          </w:rPr>
          <w:t>PFTNGQUALOVRST.VBACO@va.gov</w:t>
        </w:r>
      </w:hyperlink>
      <w:r w:rsidRPr="00CA31B6">
        <w:rPr>
          <w:rStyle w:val="Hyperlink"/>
          <w:rFonts w:cstheme="minorHAnsi"/>
          <w:b w:val="0"/>
          <w:bCs/>
          <w:sz w:val="24"/>
          <w:szCs w:val="24"/>
          <w:u w:val="none"/>
        </w:rPr>
        <w:t xml:space="preserve">. </w:t>
      </w:r>
      <w:r w:rsidRPr="00CA31B6">
        <w:rPr>
          <w:rFonts w:cstheme="minorHAnsi"/>
          <w:b w:val="0"/>
          <w:bCs/>
          <w:sz w:val="24"/>
          <w:szCs w:val="24"/>
        </w:rPr>
        <w:t xml:space="preserve">For specific policy and procedures related topics, please </w:t>
      </w:r>
      <w:r w:rsidR="00CE547D" w:rsidRPr="00CA31B6">
        <w:rPr>
          <w:rFonts w:cstheme="minorHAnsi"/>
          <w:b w:val="0"/>
          <w:bCs/>
          <w:sz w:val="24"/>
          <w:szCs w:val="24"/>
        </w:rPr>
        <w:t xml:space="preserve">send inquiries </w:t>
      </w:r>
      <w:r w:rsidR="00CE547D" w:rsidRPr="005B610A">
        <w:rPr>
          <w:rFonts w:cstheme="minorHAnsi"/>
          <w:b w:val="0"/>
          <w:bCs/>
          <w:sz w:val="24"/>
          <w:szCs w:val="24"/>
        </w:rPr>
        <w:t>through the</w:t>
      </w:r>
      <w:r w:rsidR="005B610A" w:rsidRPr="005B610A">
        <w:rPr>
          <w:rFonts w:cstheme="minorHAnsi"/>
          <w:b w:val="0"/>
          <w:bCs/>
          <w:sz w:val="24"/>
          <w:szCs w:val="24"/>
        </w:rPr>
        <w:t xml:space="preserve"> </w:t>
      </w:r>
      <w:hyperlink r:id="rId48" w:history="1">
        <w:r w:rsidR="005B610A" w:rsidRPr="005B610A">
          <w:rPr>
            <w:rStyle w:val="Hyperlink"/>
            <w:sz w:val="24"/>
            <w:szCs w:val="24"/>
          </w:rPr>
          <w:t>Pension and Fiduciary - Field Inquiry Tracker (FIT) - Power Apps</w:t>
        </w:r>
      </w:hyperlink>
      <w:r w:rsidR="005B610A">
        <w:rPr>
          <w:sz w:val="24"/>
          <w:szCs w:val="24"/>
        </w:rPr>
        <w:t>.</w:t>
      </w:r>
    </w:p>
    <w:p w14:paraId="3938057F" w14:textId="77777777" w:rsidR="0098277E" w:rsidRPr="00CA31B6" w:rsidRDefault="0098277E" w:rsidP="00CA31B6">
      <w:pPr>
        <w:pStyle w:val="Heading4"/>
        <w:spacing w:before="0" w:after="0"/>
        <w:rPr>
          <w:rFonts w:cstheme="minorHAnsi"/>
          <w:sz w:val="24"/>
          <w:szCs w:val="24"/>
        </w:rPr>
      </w:pPr>
    </w:p>
    <w:p w14:paraId="3537B779" w14:textId="77777777" w:rsidR="0098277E" w:rsidRPr="00CA31B6" w:rsidRDefault="0098277E" w:rsidP="00CA31B6">
      <w:pPr>
        <w:pStyle w:val="Heading4"/>
        <w:spacing w:before="0" w:after="0"/>
        <w:rPr>
          <w:rFonts w:cstheme="minorHAnsi"/>
          <w:sz w:val="24"/>
          <w:szCs w:val="24"/>
        </w:rPr>
      </w:pPr>
      <w:r w:rsidRPr="00CA31B6">
        <w:rPr>
          <w:rFonts w:cstheme="minorHAnsi"/>
          <w:sz w:val="24"/>
          <w:szCs w:val="24"/>
        </w:rPr>
        <w:t>Quality Call Bulletins</w:t>
      </w:r>
    </w:p>
    <w:p w14:paraId="323EE69D" w14:textId="77777777" w:rsidR="00CA31B6" w:rsidRDefault="00CA31B6" w:rsidP="00CA31B6">
      <w:pPr>
        <w:spacing w:before="0" w:after="0"/>
        <w:rPr>
          <w:rFonts w:cstheme="minorHAnsi"/>
          <w:sz w:val="24"/>
          <w:szCs w:val="24"/>
        </w:rPr>
      </w:pPr>
    </w:p>
    <w:p w14:paraId="502057A1" w14:textId="30C9368F" w:rsidR="00CE547D" w:rsidRPr="00CA31B6" w:rsidRDefault="0098277E" w:rsidP="00CA31B6">
      <w:pPr>
        <w:spacing w:before="0" w:after="0"/>
        <w:rPr>
          <w:rFonts w:cstheme="minorHAnsi"/>
          <w:sz w:val="24"/>
          <w:szCs w:val="24"/>
        </w:rPr>
      </w:pPr>
      <w:r w:rsidRPr="00CA31B6">
        <w:rPr>
          <w:rFonts w:cstheme="minorHAnsi"/>
          <w:sz w:val="24"/>
          <w:szCs w:val="24"/>
        </w:rPr>
        <w:t xml:space="preserve">Quality Call Bulletins can be found </w:t>
      </w:r>
      <w:r w:rsidR="00CE547D" w:rsidRPr="00CA31B6">
        <w:rPr>
          <w:rFonts w:cstheme="minorHAnsi"/>
          <w:sz w:val="24"/>
          <w:szCs w:val="24"/>
        </w:rPr>
        <w:t>within TMS along with call recordings. Once the monthly bulletin is finalized, information will be sent to the PMCs which will include the TMS #.</w:t>
      </w:r>
    </w:p>
    <w:p w14:paraId="194727F3" w14:textId="77777777" w:rsidR="00CE547D" w:rsidRPr="00CA31B6" w:rsidRDefault="00CE547D" w:rsidP="00CA31B6">
      <w:pPr>
        <w:spacing w:before="0" w:after="0"/>
        <w:rPr>
          <w:rFonts w:cstheme="minorHAnsi"/>
          <w:sz w:val="24"/>
          <w:szCs w:val="24"/>
        </w:rPr>
      </w:pPr>
    </w:p>
    <w:p w14:paraId="0AC29F90" w14:textId="348B6192" w:rsidR="00F15EBC" w:rsidRPr="00CA31B6" w:rsidRDefault="0098277E" w:rsidP="00CA31B6">
      <w:pPr>
        <w:spacing w:before="0" w:after="0"/>
        <w:rPr>
          <w:rFonts w:cstheme="minorHAnsi"/>
          <w:color w:val="000000" w:themeColor="text1"/>
          <w:sz w:val="24"/>
          <w:szCs w:val="24"/>
        </w:rPr>
      </w:pPr>
      <w:r w:rsidRPr="00CA31B6">
        <w:rPr>
          <w:rFonts w:cstheme="minorHAnsi"/>
          <w:color w:val="000000" w:themeColor="text1"/>
          <w:sz w:val="24"/>
          <w:szCs w:val="24"/>
        </w:rPr>
        <w:t xml:space="preserve">The next Quality Call is tentatively scheduled for </w:t>
      </w:r>
      <w:r w:rsidR="009753F1" w:rsidRPr="00CA31B6">
        <w:rPr>
          <w:rFonts w:cstheme="minorHAnsi"/>
          <w:color w:val="000000" w:themeColor="text1"/>
          <w:sz w:val="24"/>
          <w:szCs w:val="24"/>
        </w:rPr>
        <w:t>November</w:t>
      </w:r>
      <w:r w:rsidR="007452DC" w:rsidRPr="00CA31B6">
        <w:rPr>
          <w:rFonts w:cstheme="minorHAnsi"/>
          <w:color w:val="000000" w:themeColor="text1"/>
          <w:sz w:val="24"/>
          <w:szCs w:val="24"/>
        </w:rPr>
        <w:t xml:space="preserve"> 202</w:t>
      </w:r>
      <w:r w:rsidR="00C515D6" w:rsidRPr="00CA31B6">
        <w:rPr>
          <w:rFonts w:cstheme="minorHAnsi"/>
          <w:color w:val="000000" w:themeColor="text1"/>
          <w:sz w:val="24"/>
          <w:szCs w:val="24"/>
        </w:rPr>
        <w:t>4</w:t>
      </w:r>
      <w:r w:rsidRPr="00CA31B6">
        <w:rPr>
          <w:rFonts w:cstheme="minorHAnsi"/>
          <w:color w:val="000000" w:themeColor="text1"/>
          <w:sz w:val="24"/>
          <w:szCs w:val="24"/>
        </w:rPr>
        <w:t>.</w:t>
      </w:r>
    </w:p>
    <w:sectPr w:rsidR="00F15EBC" w:rsidRPr="00CA31B6">
      <w:footerReference w:type="default" r:id="rId49"/>
      <w:type w:val="continuous"/>
      <w:pgSz w:w="12240" w:h="15840" w:code="1"/>
      <w:pgMar w:top="1008" w:right="1008" w:bottom="1008" w:left="1008" w:header="720" w:footer="648"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E1346" w14:textId="77777777" w:rsidR="00E66992" w:rsidRDefault="00E66992">
      <w:pPr>
        <w:spacing w:before="0" w:after="0"/>
      </w:pPr>
      <w:r>
        <w:separator/>
      </w:r>
    </w:p>
  </w:endnote>
  <w:endnote w:type="continuationSeparator" w:id="0">
    <w:p w14:paraId="522CD945" w14:textId="77777777" w:rsidR="00E66992" w:rsidRDefault="00E66992">
      <w:pPr>
        <w:spacing w:before="0" w:after="0"/>
      </w:pPr>
      <w:r>
        <w:continuationSeparator/>
      </w:r>
    </w:p>
  </w:endnote>
  <w:endnote w:type="continuationNotice" w:id="1">
    <w:p w14:paraId="6D0D6812" w14:textId="77777777" w:rsidR="00E66992" w:rsidRDefault="00E6699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596814"/>
      <w:docPartObj>
        <w:docPartGallery w:val="Page Numbers (Bottom of Page)"/>
        <w:docPartUnique/>
      </w:docPartObj>
    </w:sdtPr>
    <w:sdtEndPr>
      <w:rPr>
        <w:noProof/>
      </w:rPr>
    </w:sdtEndPr>
    <w:sdtContent>
      <w:p w14:paraId="0378161C" w14:textId="77777777" w:rsidR="002B2D13" w:rsidRDefault="006344A8">
        <w:pPr>
          <w:pStyle w:val="Footer"/>
        </w:pPr>
        <w:r>
          <w:fldChar w:fldCharType="begin"/>
        </w:r>
        <w:r>
          <w:instrText xml:space="preserve"> PAGE   \* MERGEFORMAT </w:instrText>
        </w:r>
        <w:r>
          <w:fldChar w:fldCharType="separate"/>
        </w:r>
        <w:r w:rsidR="003D5BF7">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0A2FF" w14:textId="77777777" w:rsidR="00E66992" w:rsidRDefault="00E66992">
      <w:pPr>
        <w:spacing w:before="0" w:after="0"/>
      </w:pPr>
      <w:r>
        <w:separator/>
      </w:r>
    </w:p>
  </w:footnote>
  <w:footnote w:type="continuationSeparator" w:id="0">
    <w:p w14:paraId="376BE94C" w14:textId="77777777" w:rsidR="00E66992" w:rsidRDefault="00E66992">
      <w:pPr>
        <w:spacing w:before="0" w:after="0"/>
      </w:pPr>
      <w:r>
        <w:continuationSeparator/>
      </w:r>
    </w:p>
  </w:footnote>
  <w:footnote w:type="continuationNotice" w:id="1">
    <w:p w14:paraId="1106EF78" w14:textId="77777777" w:rsidR="00E66992" w:rsidRDefault="00E6699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8053BE"/>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38B13C4"/>
    <w:multiLevelType w:val="hybridMultilevel"/>
    <w:tmpl w:val="D346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B6916"/>
    <w:multiLevelType w:val="hybridMultilevel"/>
    <w:tmpl w:val="7B0E47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8303F3"/>
    <w:multiLevelType w:val="hybridMultilevel"/>
    <w:tmpl w:val="8350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B0409"/>
    <w:multiLevelType w:val="hybridMultilevel"/>
    <w:tmpl w:val="EBB2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B3C17"/>
    <w:multiLevelType w:val="multilevel"/>
    <w:tmpl w:val="ED90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207F7E"/>
    <w:multiLevelType w:val="hybridMultilevel"/>
    <w:tmpl w:val="2132DB54"/>
    <w:lvl w:ilvl="0" w:tplc="22B046C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D4A69E0"/>
    <w:multiLevelType w:val="hybridMultilevel"/>
    <w:tmpl w:val="D4E6F416"/>
    <w:lvl w:ilvl="0" w:tplc="79A0661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1D532F82"/>
    <w:multiLevelType w:val="multilevel"/>
    <w:tmpl w:val="873C9C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3D35EB"/>
    <w:multiLevelType w:val="hybridMultilevel"/>
    <w:tmpl w:val="7B0E4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579C5"/>
    <w:multiLevelType w:val="hybridMultilevel"/>
    <w:tmpl w:val="4ED4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13851"/>
    <w:multiLevelType w:val="hybridMultilevel"/>
    <w:tmpl w:val="40FC981C"/>
    <w:lvl w:ilvl="0" w:tplc="04090001">
      <w:start w:val="1"/>
      <w:numFmt w:val="bullet"/>
      <w:lvlText w:val=""/>
      <w:lvlJc w:val="left"/>
      <w:pPr>
        <w:ind w:left="720" w:hanging="360"/>
      </w:pPr>
      <w:rPr>
        <w:rFonts w:ascii="Symbol" w:hAnsi="Symbol" w:hint="default"/>
      </w:rPr>
    </w:lvl>
    <w:lvl w:ilvl="1" w:tplc="454E4476">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40C81"/>
    <w:multiLevelType w:val="multilevel"/>
    <w:tmpl w:val="BAF0F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730F2C"/>
    <w:multiLevelType w:val="hybridMultilevel"/>
    <w:tmpl w:val="E92CB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518EF"/>
    <w:multiLevelType w:val="hybridMultilevel"/>
    <w:tmpl w:val="BB36B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33FD3"/>
    <w:multiLevelType w:val="hybridMultilevel"/>
    <w:tmpl w:val="6DA4CF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951792"/>
    <w:multiLevelType w:val="hybridMultilevel"/>
    <w:tmpl w:val="F6E67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C5F551C"/>
    <w:multiLevelType w:val="multilevel"/>
    <w:tmpl w:val="D9DA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7A7D45"/>
    <w:multiLevelType w:val="hybridMultilevel"/>
    <w:tmpl w:val="FF981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50D70"/>
    <w:multiLevelType w:val="hybridMultilevel"/>
    <w:tmpl w:val="6584E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A162B4"/>
    <w:multiLevelType w:val="hybridMultilevel"/>
    <w:tmpl w:val="F764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26C2B"/>
    <w:multiLevelType w:val="hybridMultilevel"/>
    <w:tmpl w:val="017AF5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D77BDC"/>
    <w:multiLevelType w:val="hybridMultilevel"/>
    <w:tmpl w:val="34D41164"/>
    <w:lvl w:ilvl="0" w:tplc="04090001">
      <w:start w:val="1"/>
      <w:numFmt w:val="bullet"/>
      <w:lvlText w:val=""/>
      <w:lvlJc w:val="left"/>
      <w:pPr>
        <w:ind w:left="720" w:hanging="360"/>
      </w:pPr>
      <w:rPr>
        <w:rFonts w:ascii="Symbol" w:hAnsi="Symbol"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E7C3444"/>
    <w:multiLevelType w:val="multilevel"/>
    <w:tmpl w:val="BB949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8906D4"/>
    <w:multiLevelType w:val="hybridMultilevel"/>
    <w:tmpl w:val="7E9A4D8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106023"/>
    <w:multiLevelType w:val="multilevel"/>
    <w:tmpl w:val="D9A87E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C922D4"/>
    <w:multiLevelType w:val="multilevel"/>
    <w:tmpl w:val="D02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5C1567"/>
    <w:multiLevelType w:val="hybridMultilevel"/>
    <w:tmpl w:val="91328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737F68"/>
    <w:multiLevelType w:val="hybridMultilevel"/>
    <w:tmpl w:val="2CFC366C"/>
    <w:lvl w:ilvl="0" w:tplc="681EABA4">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B30A318A">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056040"/>
    <w:multiLevelType w:val="hybridMultilevel"/>
    <w:tmpl w:val="8226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F2438F"/>
    <w:multiLevelType w:val="multilevel"/>
    <w:tmpl w:val="29C26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4735371">
    <w:abstractNumId w:val="0"/>
  </w:num>
  <w:num w:numId="2" w16cid:durableId="320012724">
    <w:abstractNumId w:val="11"/>
  </w:num>
  <w:num w:numId="3" w16cid:durableId="79445671">
    <w:abstractNumId w:val="15"/>
  </w:num>
  <w:num w:numId="4" w16cid:durableId="677077045">
    <w:abstractNumId w:val="17"/>
  </w:num>
  <w:num w:numId="5" w16cid:durableId="1543207851">
    <w:abstractNumId w:val="9"/>
  </w:num>
  <w:num w:numId="6" w16cid:durableId="797065125">
    <w:abstractNumId w:val="2"/>
  </w:num>
  <w:num w:numId="7" w16cid:durableId="853029764">
    <w:abstractNumId w:val="3"/>
  </w:num>
  <w:num w:numId="8" w16cid:durableId="449320867">
    <w:abstractNumId w:val="5"/>
  </w:num>
  <w:num w:numId="9" w16cid:durableId="114908900">
    <w:abstractNumId w:val="23"/>
  </w:num>
  <w:num w:numId="10" w16cid:durableId="390429251">
    <w:abstractNumId w:val="26"/>
  </w:num>
  <w:num w:numId="11" w16cid:durableId="1845775436">
    <w:abstractNumId w:val="6"/>
  </w:num>
  <w:num w:numId="12" w16cid:durableId="1043097163">
    <w:abstractNumId w:val="28"/>
  </w:num>
  <w:num w:numId="13" w16cid:durableId="85660538">
    <w:abstractNumId w:val="7"/>
  </w:num>
  <w:num w:numId="14" w16cid:durableId="1234773867">
    <w:abstractNumId w:val="18"/>
  </w:num>
  <w:num w:numId="15" w16cid:durableId="1921937826">
    <w:abstractNumId w:val="19"/>
  </w:num>
  <w:num w:numId="16" w16cid:durableId="129639730">
    <w:abstractNumId w:val="27"/>
  </w:num>
  <w:num w:numId="17" w16cid:durableId="851990597">
    <w:abstractNumId w:val="29"/>
  </w:num>
  <w:num w:numId="18" w16cid:durableId="1199931286">
    <w:abstractNumId w:val="20"/>
  </w:num>
  <w:num w:numId="19" w16cid:durableId="1784111989">
    <w:abstractNumId w:val="12"/>
  </w:num>
  <w:num w:numId="20" w16cid:durableId="896864055">
    <w:abstractNumId w:val="16"/>
  </w:num>
  <w:num w:numId="21" w16cid:durableId="996572978">
    <w:abstractNumId w:val="1"/>
  </w:num>
  <w:num w:numId="22" w16cid:durableId="1586838301">
    <w:abstractNumId w:val="14"/>
  </w:num>
  <w:num w:numId="23" w16cid:durableId="131101950">
    <w:abstractNumId w:val="21"/>
  </w:num>
  <w:num w:numId="24" w16cid:durableId="526451775">
    <w:abstractNumId w:val="30"/>
  </w:num>
  <w:num w:numId="25" w16cid:durableId="724060002">
    <w:abstractNumId w:val="8"/>
  </w:num>
  <w:num w:numId="26" w16cid:durableId="1501197148">
    <w:abstractNumId w:val="25"/>
  </w:num>
  <w:num w:numId="27" w16cid:durableId="417096752">
    <w:abstractNumId w:val="24"/>
  </w:num>
  <w:num w:numId="28" w16cid:durableId="2021080741">
    <w:abstractNumId w:val="4"/>
  </w:num>
  <w:num w:numId="29" w16cid:durableId="2051489943">
    <w:abstractNumId w:val="10"/>
  </w:num>
  <w:num w:numId="30" w16cid:durableId="987127892">
    <w:abstractNumId w:val="13"/>
  </w:num>
  <w:num w:numId="31" w16cid:durableId="301035983">
    <w:abstractNumId w:val="22"/>
  </w:num>
  <w:num w:numId="32" w16cid:durableId="499538510">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024" w:allStyles="0" w:customStyles="0" w:latentStyles="1" w:stylesInUse="0" w:headingStyles="1" w:numberingStyles="0" w:tableStyles="0" w:directFormattingOnRuns="0" w:directFormattingOnParagraphs="0" w:directFormattingOnNumbering="0" w:directFormattingOnTables="0" w:clearFormatting="1" w:top3HeadingStyles="1"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xNjSzNDK1MDA0tzRX0lEKTi0uzszPAykwrAUAQ+tEhiwAAAA="/>
  </w:docVars>
  <w:rsids>
    <w:rsidRoot w:val="007D5F00"/>
    <w:rsid w:val="000012E9"/>
    <w:rsid w:val="000032E0"/>
    <w:rsid w:val="0001448E"/>
    <w:rsid w:val="000217E9"/>
    <w:rsid w:val="00021C94"/>
    <w:rsid w:val="00023BBB"/>
    <w:rsid w:val="000367B4"/>
    <w:rsid w:val="00040004"/>
    <w:rsid w:val="00043EF8"/>
    <w:rsid w:val="00047521"/>
    <w:rsid w:val="00051126"/>
    <w:rsid w:val="000525CF"/>
    <w:rsid w:val="000670D4"/>
    <w:rsid w:val="00067271"/>
    <w:rsid w:val="0007584B"/>
    <w:rsid w:val="00075D2E"/>
    <w:rsid w:val="00075FC0"/>
    <w:rsid w:val="00083FBF"/>
    <w:rsid w:val="000900FF"/>
    <w:rsid w:val="00097347"/>
    <w:rsid w:val="000A54F7"/>
    <w:rsid w:val="000B542C"/>
    <w:rsid w:val="000B6A9A"/>
    <w:rsid w:val="000C4EAF"/>
    <w:rsid w:val="000D146D"/>
    <w:rsid w:val="000D3383"/>
    <w:rsid w:val="000D3CD6"/>
    <w:rsid w:val="000D431A"/>
    <w:rsid w:val="000E098A"/>
    <w:rsid w:val="000E75C6"/>
    <w:rsid w:val="000F4AF3"/>
    <w:rsid w:val="00103EF2"/>
    <w:rsid w:val="00105259"/>
    <w:rsid w:val="001174A8"/>
    <w:rsid w:val="001215C0"/>
    <w:rsid w:val="00130461"/>
    <w:rsid w:val="001350F7"/>
    <w:rsid w:val="00137548"/>
    <w:rsid w:val="0014168E"/>
    <w:rsid w:val="00141E9C"/>
    <w:rsid w:val="0014259C"/>
    <w:rsid w:val="001476B8"/>
    <w:rsid w:val="001479B9"/>
    <w:rsid w:val="00153051"/>
    <w:rsid w:val="00160189"/>
    <w:rsid w:val="00160E62"/>
    <w:rsid w:val="00161D74"/>
    <w:rsid w:val="00163CD6"/>
    <w:rsid w:val="00165AE5"/>
    <w:rsid w:val="001664B3"/>
    <w:rsid w:val="00171023"/>
    <w:rsid w:val="00171CD8"/>
    <w:rsid w:val="001876B4"/>
    <w:rsid w:val="001A222C"/>
    <w:rsid w:val="001B2B6D"/>
    <w:rsid w:val="001D1F1F"/>
    <w:rsid w:val="001D4D76"/>
    <w:rsid w:val="001D532F"/>
    <w:rsid w:val="001D5427"/>
    <w:rsid w:val="001E07A2"/>
    <w:rsid w:val="001E0877"/>
    <w:rsid w:val="001F1D4B"/>
    <w:rsid w:val="001F2E64"/>
    <w:rsid w:val="001F5215"/>
    <w:rsid w:val="001F7E6D"/>
    <w:rsid w:val="00200172"/>
    <w:rsid w:val="00202654"/>
    <w:rsid w:val="00207D56"/>
    <w:rsid w:val="0021170B"/>
    <w:rsid w:val="0021641C"/>
    <w:rsid w:val="00216E7F"/>
    <w:rsid w:val="00221FDF"/>
    <w:rsid w:val="00222A05"/>
    <w:rsid w:val="00226A01"/>
    <w:rsid w:val="00237B15"/>
    <w:rsid w:val="00242263"/>
    <w:rsid w:val="002516DA"/>
    <w:rsid w:val="00254C6C"/>
    <w:rsid w:val="00262439"/>
    <w:rsid w:val="0027172C"/>
    <w:rsid w:val="00273AE7"/>
    <w:rsid w:val="00277D7D"/>
    <w:rsid w:val="00280095"/>
    <w:rsid w:val="00280C3E"/>
    <w:rsid w:val="00284273"/>
    <w:rsid w:val="00287737"/>
    <w:rsid w:val="00290A0E"/>
    <w:rsid w:val="00293A43"/>
    <w:rsid w:val="002A692C"/>
    <w:rsid w:val="002B2D13"/>
    <w:rsid w:val="002C0EBF"/>
    <w:rsid w:val="002C3C2B"/>
    <w:rsid w:val="002C6506"/>
    <w:rsid w:val="002D1CD0"/>
    <w:rsid w:val="002D51BD"/>
    <w:rsid w:val="002E0009"/>
    <w:rsid w:val="002E471F"/>
    <w:rsid w:val="002E5672"/>
    <w:rsid w:val="002F3397"/>
    <w:rsid w:val="00315DC9"/>
    <w:rsid w:val="00316545"/>
    <w:rsid w:val="0033767D"/>
    <w:rsid w:val="0034721D"/>
    <w:rsid w:val="00357053"/>
    <w:rsid w:val="003619C6"/>
    <w:rsid w:val="00364407"/>
    <w:rsid w:val="003733D0"/>
    <w:rsid w:val="00386803"/>
    <w:rsid w:val="00391DF6"/>
    <w:rsid w:val="003928B1"/>
    <w:rsid w:val="00395C9D"/>
    <w:rsid w:val="003A435A"/>
    <w:rsid w:val="003B1430"/>
    <w:rsid w:val="003B53F3"/>
    <w:rsid w:val="003C07C2"/>
    <w:rsid w:val="003C26D2"/>
    <w:rsid w:val="003C441E"/>
    <w:rsid w:val="003C50ED"/>
    <w:rsid w:val="003C6B69"/>
    <w:rsid w:val="003D4598"/>
    <w:rsid w:val="003D5BF7"/>
    <w:rsid w:val="003E1B20"/>
    <w:rsid w:val="003E5251"/>
    <w:rsid w:val="003F15E6"/>
    <w:rsid w:val="003F1B99"/>
    <w:rsid w:val="003F1CEC"/>
    <w:rsid w:val="003F257D"/>
    <w:rsid w:val="00406094"/>
    <w:rsid w:val="00406D10"/>
    <w:rsid w:val="004122AC"/>
    <w:rsid w:val="004133CF"/>
    <w:rsid w:val="00417D0F"/>
    <w:rsid w:val="00423156"/>
    <w:rsid w:val="004239C4"/>
    <w:rsid w:val="00426E81"/>
    <w:rsid w:val="00432B80"/>
    <w:rsid w:val="004352DA"/>
    <w:rsid w:val="004364EA"/>
    <w:rsid w:val="004428E1"/>
    <w:rsid w:val="00442BC5"/>
    <w:rsid w:val="00450CD8"/>
    <w:rsid w:val="004524A0"/>
    <w:rsid w:val="0045273F"/>
    <w:rsid w:val="00462C8C"/>
    <w:rsid w:val="00465497"/>
    <w:rsid w:val="00471EC0"/>
    <w:rsid w:val="00476D69"/>
    <w:rsid w:val="00487729"/>
    <w:rsid w:val="00491755"/>
    <w:rsid w:val="00493C63"/>
    <w:rsid w:val="004A0F55"/>
    <w:rsid w:val="004A471E"/>
    <w:rsid w:val="004A6701"/>
    <w:rsid w:val="004C1C14"/>
    <w:rsid w:val="004C6763"/>
    <w:rsid w:val="004C6EBF"/>
    <w:rsid w:val="004D3FEF"/>
    <w:rsid w:val="004D4355"/>
    <w:rsid w:val="004D4581"/>
    <w:rsid w:val="004D5F6A"/>
    <w:rsid w:val="004E2E19"/>
    <w:rsid w:val="004F2C34"/>
    <w:rsid w:val="004F45A5"/>
    <w:rsid w:val="004F770E"/>
    <w:rsid w:val="0050143F"/>
    <w:rsid w:val="00502729"/>
    <w:rsid w:val="005027D2"/>
    <w:rsid w:val="0051199C"/>
    <w:rsid w:val="0051526C"/>
    <w:rsid w:val="00524BD5"/>
    <w:rsid w:val="00532670"/>
    <w:rsid w:val="00534B51"/>
    <w:rsid w:val="0054333D"/>
    <w:rsid w:val="0054785C"/>
    <w:rsid w:val="005537F7"/>
    <w:rsid w:val="00557AE6"/>
    <w:rsid w:val="005718F7"/>
    <w:rsid w:val="005811F8"/>
    <w:rsid w:val="00586E29"/>
    <w:rsid w:val="00586F62"/>
    <w:rsid w:val="00595F6D"/>
    <w:rsid w:val="005A0800"/>
    <w:rsid w:val="005A10FC"/>
    <w:rsid w:val="005A50D5"/>
    <w:rsid w:val="005A7328"/>
    <w:rsid w:val="005B0E59"/>
    <w:rsid w:val="005B1248"/>
    <w:rsid w:val="005B5CAF"/>
    <w:rsid w:val="005B5FCD"/>
    <w:rsid w:val="005B610A"/>
    <w:rsid w:val="005C2224"/>
    <w:rsid w:val="005C638E"/>
    <w:rsid w:val="005D181F"/>
    <w:rsid w:val="005D61DC"/>
    <w:rsid w:val="005D6C93"/>
    <w:rsid w:val="005D6D7C"/>
    <w:rsid w:val="005E6D7D"/>
    <w:rsid w:val="005F0F19"/>
    <w:rsid w:val="00603D6D"/>
    <w:rsid w:val="00604309"/>
    <w:rsid w:val="00611058"/>
    <w:rsid w:val="00612D05"/>
    <w:rsid w:val="00621390"/>
    <w:rsid w:val="00622896"/>
    <w:rsid w:val="00623329"/>
    <w:rsid w:val="0063251F"/>
    <w:rsid w:val="006332CC"/>
    <w:rsid w:val="006344A8"/>
    <w:rsid w:val="0063741D"/>
    <w:rsid w:val="00646D1A"/>
    <w:rsid w:val="00646E2B"/>
    <w:rsid w:val="00652008"/>
    <w:rsid w:val="00652835"/>
    <w:rsid w:val="00652E27"/>
    <w:rsid w:val="0066128F"/>
    <w:rsid w:val="00662C7A"/>
    <w:rsid w:val="00663F1E"/>
    <w:rsid w:val="00671DC2"/>
    <w:rsid w:val="006841A4"/>
    <w:rsid w:val="00684A7A"/>
    <w:rsid w:val="00685BFB"/>
    <w:rsid w:val="006861B4"/>
    <w:rsid w:val="006A289C"/>
    <w:rsid w:val="006A6B75"/>
    <w:rsid w:val="006B09E2"/>
    <w:rsid w:val="006B35AF"/>
    <w:rsid w:val="006B4EF2"/>
    <w:rsid w:val="006D246A"/>
    <w:rsid w:val="006D2E25"/>
    <w:rsid w:val="006E1EE2"/>
    <w:rsid w:val="006E2362"/>
    <w:rsid w:val="006E30AD"/>
    <w:rsid w:val="006E7235"/>
    <w:rsid w:val="00707899"/>
    <w:rsid w:val="00714E28"/>
    <w:rsid w:val="007152AD"/>
    <w:rsid w:val="00715B78"/>
    <w:rsid w:val="00734EEC"/>
    <w:rsid w:val="00743D14"/>
    <w:rsid w:val="00744701"/>
    <w:rsid w:val="007452DC"/>
    <w:rsid w:val="00756445"/>
    <w:rsid w:val="00756D32"/>
    <w:rsid w:val="0075758D"/>
    <w:rsid w:val="00760051"/>
    <w:rsid w:val="00762DB6"/>
    <w:rsid w:val="00777AEF"/>
    <w:rsid w:val="00786ED3"/>
    <w:rsid w:val="00792DAF"/>
    <w:rsid w:val="007A33C9"/>
    <w:rsid w:val="007B529C"/>
    <w:rsid w:val="007C138B"/>
    <w:rsid w:val="007C27CE"/>
    <w:rsid w:val="007C4EE5"/>
    <w:rsid w:val="007C5F5E"/>
    <w:rsid w:val="007C7DD0"/>
    <w:rsid w:val="007D5F00"/>
    <w:rsid w:val="007E28B3"/>
    <w:rsid w:val="007E4418"/>
    <w:rsid w:val="007F041D"/>
    <w:rsid w:val="007F04FA"/>
    <w:rsid w:val="007F2966"/>
    <w:rsid w:val="00800723"/>
    <w:rsid w:val="00803AE8"/>
    <w:rsid w:val="0080469B"/>
    <w:rsid w:val="008170D2"/>
    <w:rsid w:val="00821635"/>
    <w:rsid w:val="00821C8B"/>
    <w:rsid w:val="00840436"/>
    <w:rsid w:val="00840EC0"/>
    <w:rsid w:val="00845F35"/>
    <w:rsid w:val="00853469"/>
    <w:rsid w:val="0086373B"/>
    <w:rsid w:val="0086782B"/>
    <w:rsid w:val="0087173C"/>
    <w:rsid w:val="008764DB"/>
    <w:rsid w:val="008774E2"/>
    <w:rsid w:val="00881879"/>
    <w:rsid w:val="008838E4"/>
    <w:rsid w:val="00887762"/>
    <w:rsid w:val="008901FD"/>
    <w:rsid w:val="008A037F"/>
    <w:rsid w:val="008A1BE8"/>
    <w:rsid w:val="008A2A02"/>
    <w:rsid w:val="008A3CFA"/>
    <w:rsid w:val="008B0207"/>
    <w:rsid w:val="008B5208"/>
    <w:rsid w:val="008B62D7"/>
    <w:rsid w:val="008B6E69"/>
    <w:rsid w:val="008C618A"/>
    <w:rsid w:val="008D28C2"/>
    <w:rsid w:val="008E042C"/>
    <w:rsid w:val="008E3568"/>
    <w:rsid w:val="008E706D"/>
    <w:rsid w:val="008F0E52"/>
    <w:rsid w:val="008F65DF"/>
    <w:rsid w:val="00902137"/>
    <w:rsid w:val="00902B3E"/>
    <w:rsid w:val="00902B75"/>
    <w:rsid w:val="00915772"/>
    <w:rsid w:val="0092135E"/>
    <w:rsid w:val="00926F09"/>
    <w:rsid w:val="009301A6"/>
    <w:rsid w:val="009317BE"/>
    <w:rsid w:val="009329EE"/>
    <w:rsid w:val="00933C46"/>
    <w:rsid w:val="00935146"/>
    <w:rsid w:val="0093590F"/>
    <w:rsid w:val="009406F9"/>
    <w:rsid w:val="0094494F"/>
    <w:rsid w:val="00951E11"/>
    <w:rsid w:val="00952D75"/>
    <w:rsid w:val="009554DA"/>
    <w:rsid w:val="00965AF6"/>
    <w:rsid w:val="009753F1"/>
    <w:rsid w:val="0098277E"/>
    <w:rsid w:val="00983C68"/>
    <w:rsid w:val="00984636"/>
    <w:rsid w:val="009A1E50"/>
    <w:rsid w:val="009B24EB"/>
    <w:rsid w:val="009B794E"/>
    <w:rsid w:val="009C0F2F"/>
    <w:rsid w:val="009C134E"/>
    <w:rsid w:val="009C4586"/>
    <w:rsid w:val="009C4C99"/>
    <w:rsid w:val="009C5EA7"/>
    <w:rsid w:val="009C60E5"/>
    <w:rsid w:val="009D0944"/>
    <w:rsid w:val="009E3E99"/>
    <w:rsid w:val="009E4BC8"/>
    <w:rsid w:val="009E5BC3"/>
    <w:rsid w:val="009F6FD8"/>
    <w:rsid w:val="00A070BE"/>
    <w:rsid w:val="00A10BED"/>
    <w:rsid w:val="00A2359D"/>
    <w:rsid w:val="00A26F86"/>
    <w:rsid w:val="00A31CAF"/>
    <w:rsid w:val="00A359F4"/>
    <w:rsid w:val="00A42AF3"/>
    <w:rsid w:val="00A43E46"/>
    <w:rsid w:val="00A44A5A"/>
    <w:rsid w:val="00A454C8"/>
    <w:rsid w:val="00A557E4"/>
    <w:rsid w:val="00A5657F"/>
    <w:rsid w:val="00A66309"/>
    <w:rsid w:val="00A72D8E"/>
    <w:rsid w:val="00A73081"/>
    <w:rsid w:val="00A90994"/>
    <w:rsid w:val="00A910E1"/>
    <w:rsid w:val="00AA08D5"/>
    <w:rsid w:val="00AA4979"/>
    <w:rsid w:val="00AB1DEA"/>
    <w:rsid w:val="00AB7361"/>
    <w:rsid w:val="00AC0199"/>
    <w:rsid w:val="00AC2D59"/>
    <w:rsid w:val="00AC5587"/>
    <w:rsid w:val="00AD0C24"/>
    <w:rsid w:val="00AD0D61"/>
    <w:rsid w:val="00AD0DE3"/>
    <w:rsid w:val="00AD4FAB"/>
    <w:rsid w:val="00AD5245"/>
    <w:rsid w:val="00AE1B19"/>
    <w:rsid w:val="00AF064E"/>
    <w:rsid w:val="00AF1F84"/>
    <w:rsid w:val="00AF5C14"/>
    <w:rsid w:val="00AF5E8C"/>
    <w:rsid w:val="00B019EF"/>
    <w:rsid w:val="00B1193F"/>
    <w:rsid w:val="00B16CF7"/>
    <w:rsid w:val="00B33068"/>
    <w:rsid w:val="00B34D52"/>
    <w:rsid w:val="00B355F0"/>
    <w:rsid w:val="00B413F2"/>
    <w:rsid w:val="00B4592E"/>
    <w:rsid w:val="00B56273"/>
    <w:rsid w:val="00B56D5E"/>
    <w:rsid w:val="00B73FD8"/>
    <w:rsid w:val="00B7746F"/>
    <w:rsid w:val="00B82602"/>
    <w:rsid w:val="00B873CA"/>
    <w:rsid w:val="00BA1C3D"/>
    <w:rsid w:val="00BA2AA2"/>
    <w:rsid w:val="00BA4E8D"/>
    <w:rsid w:val="00BA6165"/>
    <w:rsid w:val="00BA6668"/>
    <w:rsid w:val="00BB7D7B"/>
    <w:rsid w:val="00BC063B"/>
    <w:rsid w:val="00BC5737"/>
    <w:rsid w:val="00BD3B56"/>
    <w:rsid w:val="00BD764E"/>
    <w:rsid w:val="00BD7D01"/>
    <w:rsid w:val="00BE4C93"/>
    <w:rsid w:val="00C11EF0"/>
    <w:rsid w:val="00C1379A"/>
    <w:rsid w:val="00C30BED"/>
    <w:rsid w:val="00C41406"/>
    <w:rsid w:val="00C50C3F"/>
    <w:rsid w:val="00C515D6"/>
    <w:rsid w:val="00C55A03"/>
    <w:rsid w:val="00C56F7F"/>
    <w:rsid w:val="00C6072F"/>
    <w:rsid w:val="00C65F0F"/>
    <w:rsid w:val="00C6671A"/>
    <w:rsid w:val="00C70D1E"/>
    <w:rsid w:val="00CA31B6"/>
    <w:rsid w:val="00CA4857"/>
    <w:rsid w:val="00CA61AE"/>
    <w:rsid w:val="00CB17A0"/>
    <w:rsid w:val="00CB4C54"/>
    <w:rsid w:val="00CB5C9B"/>
    <w:rsid w:val="00CB62A1"/>
    <w:rsid w:val="00CC4131"/>
    <w:rsid w:val="00CD2AAE"/>
    <w:rsid w:val="00CD77A7"/>
    <w:rsid w:val="00CE3B6E"/>
    <w:rsid w:val="00CE547D"/>
    <w:rsid w:val="00CF08FC"/>
    <w:rsid w:val="00CF5F13"/>
    <w:rsid w:val="00D021F6"/>
    <w:rsid w:val="00D02587"/>
    <w:rsid w:val="00D13618"/>
    <w:rsid w:val="00D139FA"/>
    <w:rsid w:val="00D21EC9"/>
    <w:rsid w:val="00D34264"/>
    <w:rsid w:val="00D40B0A"/>
    <w:rsid w:val="00D423FD"/>
    <w:rsid w:val="00D4543A"/>
    <w:rsid w:val="00D46210"/>
    <w:rsid w:val="00D4623F"/>
    <w:rsid w:val="00D520C6"/>
    <w:rsid w:val="00D57AD7"/>
    <w:rsid w:val="00D60069"/>
    <w:rsid w:val="00D62E01"/>
    <w:rsid w:val="00D63577"/>
    <w:rsid w:val="00D647F8"/>
    <w:rsid w:val="00D661EE"/>
    <w:rsid w:val="00D716E4"/>
    <w:rsid w:val="00D80270"/>
    <w:rsid w:val="00D81610"/>
    <w:rsid w:val="00D8263D"/>
    <w:rsid w:val="00D835B2"/>
    <w:rsid w:val="00DA145E"/>
    <w:rsid w:val="00DA2C55"/>
    <w:rsid w:val="00DA3450"/>
    <w:rsid w:val="00DB14C4"/>
    <w:rsid w:val="00DB17AF"/>
    <w:rsid w:val="00DC0190"/>
    <w:rsid w:val="00DC0D17"/>
    <w:rsid w:val="00DC1114"/>
    <w:rsid w:val="00DC3F04"/>
    <w:rsid w:val="00DC4C68"/>
    <w:rsid w:val="00DC7B9A"/>
    <w:rsid w:val="00DD4DF8"/>
    <w:rsid w:val="00DE0C79"/>
    <w:rsid w:val="00DE2896"/>
    <w:rsid w:val="00DE3980"/>
    <w:rsid w:val="00DF320A"/>
    <w:rsid w:val="00E0073A"/>
    <w:rsid w:val="00E048B4"/>
    <w:rsid w:val="00E134D2"/>
    <w:rsid w:val="00E207EF"/>
    <w:rsid w:val="00E22C9E"/>
    <w:rsid w:val="00E24642"/>
    <w:rsid w:val="00E411A6"/>
    <w:rsid w:val="00E4400E"/>
    <w:rsid w:val="00E454A6"/>
    <w:rsid w:val="00E50B62"/>
    <w:rsid w:val="00E523F0"/>
    <w:rsid w:val="00E53274"/>
    <w:rsid w:val="00E54C1A"/>
    <w:rsid w:val="00E66992"/>
    <w:rsid w:val="00E74E85"/>
    <w:rsid w:val="00E80383"/>
    <w:rsid w:val="00E8293F"/>
    <w:rsid w:val="00E83076"/>
    <w:rsid w:val="00E87C99"/>
    <w:rsid w:val="00E91F74"/>
    <w:rsid w:val="00E95C0F"/>
    <w:rsid w:val="00E976B7"/>
    <w:rsid w:val="00EA0D2D"/>
    <w:rsid w:val="00EA10A1"/>
    <w:rsid w:val="00EA3B76"/>
    <w:rsid w:val="00EA53D5"/>
    <w:rsid w:val="00EA6B75"/>
    <w:rsid w:val="00EA7503"/>
    <w:rsid w:val="00EA7DDE"/>
    <w:rsid w:val="00ED0FD4"/>
    <w:rsid w:val="00ED2BB1"/>
    <w:rsid w:val="00EE1706"/>
    <w:rsid w:val="00EE2AB3"/>
    <w:rsid w:val="00EE7975"/>
    <w:rsid w:val="00EF1024"/>
    <w:rsid w:val="00EF18AA"/>
    <w:rsid w:val="00F10231"/>
    <w:rsid w:val="00F15EBC"/>
    <w:rsid w:val="00F31E9F"/>
    <w:rsid w:val="00F33939"/>
    <w:rsid w:val="00F41C52"/>
    <w:rsid w:val="00F423FF"/>
    <w:rsid w:val="00F434DD"/>
    <w:rsid w:val="00F465F2"/>
    <w:rsid w:val="00F51B5A"/>
    <w:rsid w:val="00F56971"/>
    <w:rsid w:val="00F61499"/>
    <w:rsid w:val="00F65C6F"/>
    <w:rsid w:val="00F667DA"/>
    <w:rsid w:val="00F671AB"/>
    <w:rsid w:val="00F73610"/>
    <w:rsid w:val="00F74A37"/>
    <w:rsid w:val="00F7521F"/>
    <w:rsid w:val="00F7541F"/>
    <w:rsid w:val="00F767DA"/>
    <w:rsid w:val="00F76FB4"/>
    <w:rsid w:val="00F813C0"/>
    <w:rsid w:val="00F84E38"/>
    <w:rsid w:val="00F9578C"/>
    <w:rsid w:val="00F96A26"/>
    <w:rsid w:val="00F97F55"/>
    <w:rsid w:val="00FA2398"/>
    <w:rsid w:val="00FA7CBB"/>
    <w:rsid w:val="00FB1207"/>
    <w:rsid w:val="00FC02FD"/>
    <w:rsid w:val="00FC19B9"/>
    <w:rsid w:val="00FC1EC5"/>
    <w:rsid w:val="00FC2976"/>
    <w:rsid w:val="00FF2DDE"/>
    <w:rsid w:val="00FF6B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28948"/>
  <w15:docId w15:val="{A97E4DA1-6967-478A-9F7B-A2389595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19"/>
        <w:szCs w:val="19"/>
        <w:lang w:val="en-US"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BF7"/>
  </w:style>
  <w:style w:type="paragraph" w:styleId="Heading1">
    <w:name w:val="heading 1"/>
    <w:basedOn w:val="Normal"/>
    <w:uiPriority w:val="9"/>
    <w:qFormat/>
    <w:pPr>
      <w:keepNext/>
      <w:pBdr>
        <w:bottom w:val="double" w:sz="4" w:space="1" w:color="000000" w:themeColor="text1"/>
      </w:pBdr>
      <w:spacing w:before="240"/>
      <w:jc w:val="center"/>
      <w:outlineLvl w:val="0"/>
    </w:pPr>
    <w:rPr>
      <w:rFonts w:asciiTheme="majorHAnsi" w:eastAsiaTheme="majorEastAsia" w:hAnsiTheme="majorHAnsi" w:cs="Arial"/>
      <w:b/>
      <w:bCs/>
      <w:i/>
      <w:kern w:val="32"/>
      <w:sz w:val="28"/>
      <w:szCs w:val="32"/>
    </w:rPr>
  </w:style>
  <w:style w:type="paragraph" w:styleId="Heading2">
    <w:name w:val="heading 2"/>
    <w:basedOn w:val="Normal"/>
    <w:link w:val="Heading2Char"/>
    <w:uiPriority w:val="9"/>
    <w:qFormat/>
    <w:pPr>
      <w:keepNext/>
      <w:outlineLvl w:val="1"/>
    </w:pPr>
    <w:rPr>
      <w:rFonts w:asciiTheme="majorHAnsi" w:eastAsiaTheme="majorEastAsia" w:hAnsiTheme="majorHAnsi" w:cs="Arial"/>
      <w:b/>
      <w:bCs/>
      <w:iCs/>
      <w:szCs w:val="28"/>
    </w:rPr>
  </w:style>
  <w:style w:type="paragraph" w:styleId="Heading3">
    <w:name w:val="heading 3"/>
    <w:basedOn w:val="Normal"/>
    <w:uiPriority w:val="9"/>
    <w:qFormat/>
    <w:rsid w:val="00D62E01"/>
    <w:pPr>
      <w:spacing w:before="0" w:after="120"/>
      <w:jc w:val="right"/>
      <w:outlineLvl w:val="2"/>
    </w:pPr>
    <w:rPr>
      <w:rFonts w:asciiTheme="majorHAnsi" w:eastAsiaTheme="majorEastAsia" w:hAnsiTheme="majorHAnsi"/>
      <w:b/>
      <w:szCs w:val="22"/>
    </w:rPr>
  </w:style>
  <w:style w:type="paragraph" w:styleId="Heading4">
    <w:name w:val="heading 4"/>
    <w:basedOn w:val="Normal"/>
    <w:link w:val="Heading4Char"/>
    <w:uiPriority w:val="9"/>
    <w:unhideWhenUsed/>
    <w:qFormat/>
    <w:rsid w:val="00D60069"/>
    <w:pPr>
      <w:keepNext/>
      <w:spacing w:before="200" w:after="12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customStyle="1" w:styleId="Heading4Char">
    <w:name w:val="Heading 4 Char"/>
    <w:basedOn w:val="DefaultParagraphFont"/>
    <w:link w:val="Heading4"/>
    <w:uiPriority w:val="9"/>
    <w:rsid w:val="00D60069"/>
    <w:rPr>
      <w:b/>
    </w:rPr>
  </w:style>
  <w:style w:type="paragraph" w:styleId="ListBullet">
    <w:name w:val="List Bullet"/>
    <w:basedOn w:val="Normal"/>
    <w:uiPriority w:val="10"/>
    <w:qFormat/>
    <w:pPr>
      <w:numPr>
        <w:numId w:val="1"/>
      </w:numPr>
      <w:contextualSpacing/>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before="0" w:after="0"/>
    </w:pPr>
  </w:style>
  <w:style w:type="character" w:customStyle="1" w:styleId="HeaderChar">
    <w:name w:val="Header Char"/>
    <w:basedOn w:val="DefaultParagraphFont"/>
    <w:link w:val="Header"/>
    <w:uiPriority w:val="99"/>
    <w:rPr>
      <w:rFonts w:asciiTheme="minorHAnsi" w:hAnsiTheme="minorHAnsi"/>
      <w:sz w:val="19"/>
    </w:rPr>
  </w:style>
  <w:style w:type="paragraph" w:styleId="Footer">
    <w:name w:val="footer"/>
    <w:basedOn w:val="Normal"/>
    <w:link w:val="FooterChar"/>
    <w:uiPriority w:val="99"/>
    <w:unhideWhenUsed/>
    <w:pPr>
      <w:spacing w:before="0" w:after="0"/>
    </w:pPr>
  </w:style>
  <w:style w:type="character" w:customStyle="1" w:styleId="FooterChar">
    <w:name w:val="Footer Char"/>
    <w:basedOn w:val="DefaultParagraphFont"/>
    <w:link w:val="Footer"/>
    <w:uiPriority w:val="99"/>
    <w:rPr>
      <w:rFonts w:asciiTheme="minorHAnsi" w:hAnsiTheme="minorHAnsi"/>
      <w:sz w:val="19"/>
    </w:rPr>
  </w:style>
  <w:style w:type="paragraph" w:styleId="Title">
    <w:name w:val="Title"/>
    <w:basedOn w:val="Normal"/>
    <w:link w:val="TitleChar"/>
    <w:uiPriority w:val="1"/>
    <w:qFormat/>
    <w:rsid w:val="001E0877"/>
    <w:pPr>
      <w:spacing w:before="0" w:after="160"/>
      <w:contextualSpacing/>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1"/>
    <w:rsid w:val="001E0877"/>
    <w:rPr>
      <w:rFonts w:asciiTheme="majorHAnsi" w:eastAsiaTheme="majorEastAsia" w:hAnsiTheme="majorHAnsi" w:cstheme="majorBidi"/>
      <w:b/>
      <w:kern w:val="28"/>
      <w:sz w:val="48"/>
      <w:szCs w:val="56"/>
    </w:rPr>
  </w:style>
  <w:style w:type="table" w:styleId="GridTable1Light">
    <w:name w:val="Grid Table 1 Light"/>
    <w:basedOn w:val="TableNormal"/>
    <w:uiPriority w:val="46"/>
    <w:rsid w:val="00D60069"/>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048B4"/>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7E4418"/>
    <w:rPr>
      <w:sz w:val="16"/>
      <w:szCs w:val="16"/>
    </w:rPr>
  </w:style>
  <w:style w:type="paragraph" w:styleId="CommentText">
    <w:name w:val="annotation text"/>
    <w:basedOn w:val="Normal"/>
    <w:link w:val="CommentTextChar"/>
    <w:uiPriority w:val="99"/>
    <w:unhideWhenUsed/>
    <w:rsid w:val="007E4418"/>
    <w:rPr>
      <w:sz w:val="20"/>
      <w:szCs w:val="20"/>
    </w:rPr>
  </w:style>
  <w:style w:type="character" w:customStyle="1" w:styleId="CommentTextChar">
    <w:name w:val="Comment Text Char"/>
    <w:basedOn w:val="DefaultParagraphFont"/>
    <w:link w:val="CommentText"/>
    <w:uiPriority w:val="99"/>
    <w:rsid w:val="007E4418"/>
    <w:rPr>
      <w:sz w:val="20"/>
      <w:szCs w:val="20"/>
    </w:rPr>
  </w:style>
  <w:style w:type="paragraph" w:styleId="CommentSubject">
    <w:name w:val="annotation subject"/>
    <w:basedOn w:val="CommentText"/>
    <w:next w:val="CommentText"/>
    <w:link w:val="CommentSubjectChar"/>
    <w:uiPriority w:val="99"/>
    <w:semiHidden/>
    <w:unhideWhenUsed/>
    <w:rsid w:val="007E4418"/>
    <w:rPr>
      <w:b/>
      <w:bCs/>
    </w:rPr>
  </w:style>
  <w:style w:type="character" w:customStyle="1" w:styleId="CommentSubjectChar">
    <w:name w:val="Comment Subject Char"/>
    <w:basedOn w:val="CommentTextChar"/>
    <w:link w:val="CommentSubject"/>
    <w:uiPriority w:val="99"/>
    <w:semiHidden/>
    <w:rsid w:val="007E4418"/>
    <w:rPr>
      <w:b/>
      <w:bCs/>
      <w:sz w:val="20"/>
      <w:szCs w:val="20"/>
    </w:rPr>
  </w:style>
  <w:style w:type="character" w:styleId="Hyperlink">
    <w:name w:val="Hyperlink"/>
    <w:basedOn w:val="DefaultParagraphFont"/>
    <w:uiPriority w:val="99"/>
    <w:unhideWhenUsed/>
    <w:rsid w:val="007B529C"/>
    <w:rPr>
      <w:color w:val="0000FF" w:themeColor="hyperlink"/>
      <w:u w:val="single"/>
    </w:rPr>
  </w:style>
  <w:style w:type="character" w:styleId="UnresolvedMention">
    <w:name w:val="Unresolved Mention"/>
    <w:basedOn w:val="DefaultParagraphFont"/>
    <w:uiPriority w:val="99"/>
    <w:semiHidden/>
    <w:unhideWhenUsed/>
    <w:rsid w:val="007B529C"/>
    <w:rPr>
      <w:color w:val="605E5C"/>
      <w:shd w:val="clear" w:color="auto" w:fill="E1DFDD"/>
    </w:rPr>
  </w:style>
  <w:style w:type="character" w:styleId="FollowedHyperlink">
    <w:name w:val="FollowedHyperlink"/>
    <w:basedOn w:val="DefaultParagraphFont"/>
    <w:uiPriority w:val="99"/>
    <w:semiHidden/>
    <w:unhideWhenUsed/>
    <w:rsid w:val="00EE1706"/>
    <w:rPr>
      <w:color w:val="800080" w:themeColor="followedHyperlink"/>
      <w:u w:val="single"/>
    </w:rPr>
  </w:style>
  <w:style w:type="paragraph" w:styleId="ListParagraph">
    <w:name w:val="List Paragraph"/>
    <w:basedOn w:val="Normal"/>
    <w:link w:val="ListParagraphChar"/>
    <w:uiPriority w:val="34"/>
    <w:unhideWhenUsed/>
    <w:qFormat/>
    <w:rsid w:val="003C07C2"/>
    <w:pPr>
      <w:ind w:left="720"/>
      <w:contextualSpacing/>
    </w:pPr>
  </w:style>
  <w:style w:type="paragraph" w:styleId="NoSpacing">
    <w:name w:val="No Spacing"/>
    <w:uiPriority w:val="1"/>
    <w:qFormat/>
    <w:rsid w:val="00287737"/>
    <w:pPr>
      <w:spacing w:before="0" w:after="0"/>
    </w:pPr>
    <w:rPr>
      <w:rFonts w:eastAsiaTheme="minorHAnsi" w:cstheme="minorBidi"/>
      <w:sz w:val="22"/>
      <w:szCs w:val="22"/>
    </w:rPr>
  </w:style>
  <w:style w:type="paragraph" w:styleId="Revision">
    <w:name w:val="Revision"/>
    <w:hidden/>
    <w:uiPriority w:val="99"/>
    <w:semiHidden/>
    <w:rsid w:val="00B1193F"/>
    <w:pPr>
      <w:spacing w:before="0" w:after="0"/>
    </w:pPr>
  </w:style>
  <w:style w:type="paragraph" w:customStyle="1" w:styleId="paragraph">
    <w:name w:val="paragraph"/>
    <w:basedOn w:val="Normal"/>
    <w:rsid w:val="00A5657F"/>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A5657F"/>
  </w:style>
  <w:style w:type="character" w:customStyle="1" w:styleId="eop">
    <w:name w:val="eop"/>
    <w:basedOn w:val="DefaultParagraphFont"/>
    <w:rsid w:val="00A5657F"/>
  </w:style>
  <w:style w:type="character" w:customStyle="1" w:styleId="itemtitle">
    <w:name w:val="itemtitle"/>
    <w:basedOn w:val="DefaultParagraphFont"/>
    <w:rsid w:val="004A0F55"/>
  </w:style>
  <w:style w:type="paragraph" w:customStyle="1" w:styleId="Default">
    <w:name w:val="Default"/>
    <w:rsid w:val="00C6671A"/>
    <w:pPr>
      <w:autoSpaceDE w:val="0"/>
      <w:autoSpaceDN w:val="0"/>
      <w:adjustRightInd w:val="0"/>
      <w:spacing w:before="0" w:after="0"/>
    </w:pPr>
    <w:rPr>
      <w:rFonts w:ascii="Arial" w:eastAsiaTheme="minorHAnsi" w:hAnsi="Arial" w:cs="Arial"/>
      <w:color w:val="000000"/>
      <w:sz w:val="24"/>
      <w:szCs w:val="24"/>
    </w:rPr>
  </w:style>
  <w:style w:type="character" w:styleId="Emphasis">
    <w:name w:val="Emphasis"/>
    <w:basedOn w:val="DefaultParagraphFont"/>
    <w:uiPriority w:val="20"/>
    <w:qFormat/>
    <w:rsid w:val="00622896"/>
    <w:rPr>
      <w:i/>
      <w:iCs/>
    </w:rPr>
  </w:style>
  <w:style w:type="character" w:customStyle="1" w:styleId="ListParagraphChar">
    <w:name w:val="List Paragraph Char"/>
    <w:basedOn w:val="DefaultParagraphFont"/>
    <w:link w:val="ListParagraph"/>
    <w:uiPriority w:val="34"/>
    <w:locked/>
    <w:rsid w:val="003733D0"/>
  </w:style>
  <w:style w:type="paragraph" w:styleId="BodyText">
    <w:name w:val="Body Text"/>
    <w:basedOn w:val="Normal"/>
    <w:link w:val="BodyTextChar"/>
    <w:uiPriority w:val="1"/>
    <w:semiHidden/>
    <w:unhideWhenUsed/>
    <w:qFormat/>
    <w:rsid w:val="00023BBB"/>
    <w:pPr>
      <w:widowControl w:val="0"/>
      <w:autoSpaceDE w:val="0"/>
      <w:autoSpaceDN w:val="0"/>
      <w:spacing w:before="0" w:after="0"/>
    </w:pPr>
    <w:rPr>
      <w:rFonts w:ascii="Arial" w:eastAsia="Arial" w:hAnsi="Arial" w:cs="Arial"/>
      <w:sz w:val="24"/>
      <w:szCs w:val="24"/>
      <w:lang w:bidi="en-US"/>
    </w:rPr>
  </w:style>
  <w:style w:type="character" w:customStyle="1" w:styleId="BodyTextChar">
    <w:name w:val="Body Text Char"/>
    <w:basedOn w:val="DefaultParagraphFont"/>
    <w:link w:val="BodyText"/>
    <w:uiPriority w:val="1"/>
    <w:semiHidden/>
    <w:rsid w:val="00023BBB"/>
    <w:rPr>
      <w:rFonts w:ascii="Arial" w:eastAsia="Arial" w:hAnsi="Arial" w:cs="Arial"/>
      <w:sz w:val="24"/>
      <w:szCs w:val="24"/>
      <w:lang w:bidi="en-US"/>
    </w:rPr>
  </w:style>
  <w:style w:type="character" w:customStyle="1" w:styleId="Heading2Char">
    <w:name w:val="Heading 2 Char"/>
    <w:basedOn w:val="DefaultParagraphFont"/>
    <w:link w:val="Heading2"/>
    <w:uiPriority w:val="9"/>
    <w:rsid w:val="0080469B"/>
    <w:rPr>
      <w:rFonts w:asciiTheme="majorHAnsi" w:eastAsiaTheme="majorEastAsia" w:hAnsiTheme="majorHAnsi" w:cs="Arial"/>
      <w:b/>
      <w:bCs/>
      <w:iCs/>
      <w:szCs w:val="28"/>
    </w:rPr>
  </w:style>
  <w:style w:type="character" w:customStyle="1" w:styleId="ui-provider">
    <w:name w:val="ui-provider"/>
    <w:basedOn w:val="DefaultParagraphFont"/>
    <w:rsid w:val="00671DC2"/>
  </w:style>
  <w:style w:type="character" w:customStyle="1" w:styleId="contextualspellingandgrammarerror">
    <w:name w:val="contextualspellingandgrammarerror"/>
    <w:basedOn w:val="DefaultParagraphFont"/>
    <w:rsid w:val="00662C7A"/>
  </w:style>
  <w:style w:type="paragraph" w:styleId="NormalWeb">
    <w:name w:val="Normal (Web)"/>
    <w:basedOn w:val="Normal"/>
    <w:uiPriority w:val="99"/>
    <w:unhideWhenUsed/>
    <w:rsid w:val="009317BE"/>
    <w:pPr>
      <w:spacing w:before="100" w:beforeAutospacing="1" w:after="100" w:afterAutospacing="1"/>
    </w:pPr>
    <w:rPr>
      <w:rFonts w:ascii="Times New Roman" w:eastAsia="Times New Roman" w:hAnsi="Times New Roman"/>
      <w:sz w:val="24"/>
      <w:szCs w:val="24"/>
    </w:rPr>
  </w:style>
  <w:style w:type="paragraph" w:customStyle="1" w:styleId="indent-1">
    <w:name w:val="indent-1"/>
    <w:basedOn w:val="Normal"/>
    <w:rsid w:val="00762DB6"/>
    <w:pPr>
      <w:spacing w:before="100" w:beforeAutospacing="1" w:after="100" w:afterAutospacing="1"/>
    </w:pPr>
    <w:rPr>
      <w:rFonts w:ascii="Calibri" w:eastAsia="Calibri" w:hAnsi="Calibri" w:cs="Calibri"/>
      <w:sz w:val="22"/>
      <w:szCs w:val="22"/>
    </w:rPr>
  </w:style>
  <w:style w:type="paragraph" w:customStyle="1" w:styleId="indent-2">
    <w:name w:val="indent-2"/>
    <w:basedOn w:val="Normal"/>
    <w:rsid w:val="00762DB6"/>
    <w:pPr>
      <w:spacing w:before="100" w:beforeAutospacing="1" w:after="100" w:afterAutospacing="1"/>
    </w:pPr>
    <w:rPr>
      <w:rFonts w:ascii="Calibri" w:eastAsia="Calibri" w:hAnsi="Calibri" w:cs="Calibri"/>
      <w:sz w:val="22"/>
      <w:szCs w:val="22"/>
    </w:rPr>
  </w:style>
  <w:style w:type="paragraph" w:customStyle="1" w:styleId="indent-3">
    <w:name w:val="indent-3"/>
    <w:basedOn w:val="Normal"/>
    <w:rsid w:val="00762DB6"/>
    <w:pPr>
      <w:spacing w:before="100" w:beforeAutospacing="1" w:after="100" w:afterAutospacing="1"/>
    </w:pPr>
    <w:rPr>
      <w:rFonts w:ascii="Calibri" w:eastAsia="Calibri" w:hAnsi="Calibri" w:cs="Calibri"/>
      <w:sz w:val="22"/>
      <w:szCs w:val="22"/>
    </w:rPr>
  </w:style>
  <w:style w:type="character" w:customStyle="1" w:styleId="paragraph-hierarchy">
    <w:name w:val="paragraph-hierarchy"/>
    <w:basedOn w:val="DefaultParagraphFont"/>
    <w:rsid w:val="00762DB6"/>
  </w:style>
  <w:style w:type="character" w:customStyle="1" w:styleId="paren">
    <w:name w:val="paren"/>
    <w:basedOn w:val="DefaultParagraphFont"/>
    <w:rsid w:val="00762DB6"/>
  </w:style>
  <w:style w:type="character" w:customStyle="1" w:styleId="cf11">
    <w:name w:val="cf11"/>
    <w:basedOn w:val="DefaultParagraphFont"/>
    <w:rsid w:val="005A10FC"/>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917">
      <w:bodyDiv w:val="1"/>
      <w:marLeft w:val="0"/>
      <w:marRight w:val="0"/>
      <w:marTop w:val="0"/>
      <w:marBottom w:val="0"/>
      <w:divBdr>
        <w:top w:val="none" w:sz="0" w:space="0" w:color="auto"/>
        <w:left w:val="none" w:sz="0" w:space="0" w:color="auto"/>
        <w:bottom w:val="none" w:sz="0" w:space="0" w:color="auto"/>
        <w:right w:val="none" w:sz="0" w:space="0" w:color="auto"/>
      </w:divBdr>
    </w:div>
    <w:div w:id="20016926">
      <w:bodyDiv w:val="1"/>
      <w:marLeft w:val="0"/>
      <w:marRight w:val="0"/>
      <w:marTop w:val="0"/>
      <w:marBottom w:val="0"/>
      <w:divBdr>
        <w:top w:val="none" w:sz="0" w:space="0" w:color="auto"/>
        <w:left w:val="none" w:sz="0" w:space="0" w:color="auto"/>
        <w:bottom w:val="none" w:sz="0" w:space="0" w:color="auto"/>
        <w:right w:val="none" w:sz="0" w:space="0" w:color="auto"/>
      </w:divBdr>
    </w:div>
    <w:div w:id="21976290">
      <w:bodyDiv w:val="1"/>
      <w:marLeft w:val="0"/>
      <w:marRight w:val="0"/>
      <w:marTop w:val="0"/>
      <w:marBottom w:val="0"/>
      <w:divBdr>
        <w:top w:val="none" w:sz="0" w:space="0" w:color="auto"/>
        <w:left w:val="none" w:sz="0" w:space="0" w:color="auto"/>
        <w:bottom w:val="none" w:sz="0" w:space="0" w:color="auto"/>
        <w:right w:val="none" w:sz="0" w:space="0" w:color="auto"/>
      </w:divBdr>
    </w:div>
    <w:div w:id="59907486">
      <w:bodyDiv w:val="1"/>
      <w:marLeft w:val="0"/>
      <w:marRight w:val="0"/>
      <w:marTop w:val="0"/>
      <w:marBottom w:val="0"/>
      <w:divBdr>
        <w:top w:val="none" w:sz="0" w:space="0" w:color="auto"/>
        <w:left w:val="none" w:sz="0" w:space="0" w:color="auto"/>
        <w:bottom w:val="none" w:sz="0" w:space="0" w:color="auto"/>
        <w:right w:val="none" w:sz="0" w:space="0" w:color="auto"/>
      </w:divBdr>
    </w:div>
    <w:div w:id="102070115">
      <w:bodyDiv w:val="1"/>
      <w:marLeft w:val="0"/>
      <w:marRight w:val="0"/>
      <w:marTop w:val="0"/>
      <w:marBottom w:val="0"/>
      <w:divBdr>
        <w:top w:val="none" w:sz="0" w:space="0" w:color="auto"/>
        <w:left w:val="none" w:sz="0" w:space="0" w:color="auto"/>
        <w:bottom w:val="none" w:sz="0" w:space="0" w:color="auto"/>
        <w:right w:val="none" w:sz="0" w:space="0" w:color="auto"/>
      </w:divBdr>
    </w:div>
    <w:div w:id="145440233">
      <w:bodyDiv w:val="1"/>
      <w:marLeft w:val="0"/>
      <w:marRight w:val="0"/>
      <w:marTop w:val="0"/>
      <w:marBottom w:val="0"/>
      <w:divBdr>
        <w:top w:val="none" w:sz="0" w:space="0" w:color="auto"/>
        <w:left w:val="none" w:sz="0" w:space="0" w:color="auto"/>
        <w:bottom w:val="none" w:sz="0" w:space="0" w:color="auto"/>
        <w:right w:val="none" w:sz="0" w:space="0" w:color="auto"/>
      </w:divBdr>
    </w:div>
    <w:div w:id="174150244">
      <w:bodyDiv w:val="1"/>
      <w:marLeft w:val="0"/>
      <w:marRight w:val="0"/>
      <w:marTop w:val="0"/>
      <w:marBottom w:val="0"/>
      <w:divBdr>
        <w:top w:val="none" w:sz="0" w:space="0" w:color="auto"/>
        <w:left w:val="none" w:sz="0" w:space="0" w:color="auto"/>
        <w:bottom w:val="none" w:sz="0" w:space="0" w:color="auto"/>
        <w:right w:val="none" w:sz="0" w:space="0" w:color="auto"/>
      </w:divBdr>
    </w:div>
    <w:div w:id="239599985">
      <w:bodyDiv w:val="1"/>
      <w:marLeft w:val="0"/>
      <w:marRight w:val="0"/>
      <w:marTop w:val="0"/>
      <w:marBottom w:val="0"/>
      <w:divBdr>
        <w:top w:val="none" w:sz="0" w:space="0" w:color="auto"/>
        <w:left w:val="none" w:sz="0" w:space="0" w:color="auto"/>
        <w:bottom w:val="none" w:sz="0" w:space="0" w:color="auto"/>
        <w:right w:val="none" w:sz="0" w:space="0" w:color="auto"/>
      </w:divBdr>
    </w:div>
    <w:div w:id="262108064">
      <w:bodyDiv w:val="1"/>
      <w:marLeft w:val="0"/>
      <w:marRight w:val="0"/>
      <w:marTop w:val="0"/>
      <w:marBottom w:val="0"/>
      <w:divBdr>
        <w:top w:val="none" w:sz="0" w:space="0" w:color="auto"/>
        <w:left w:val="none" w:sz="0" w:space="0" w:color="auto"/>
        <w:bottom w:val="none" w:sz="0" w:space="0" w:color="auto"/>
        <w:right w:val="none" w:sz="0" w:space="0" w:color="auto"/>
      </w:divBdr>
    </w:div>
    <w:div w:id="278101302">
      <w:bodyDiv w:val="1"/>
      <w:marLeft w:val="0"/>
      <w:marRight w:val="0"/>
      <w:marTop w:val="0"/>
      <w:marBottom w:val="0"/>
      <w:divBdr>
        <w:top w:val="none" w:sz="0" w:space="0" w:color="auto"/>
        <w:left w:val="none" w:sz="0" w:space="0" w:color="auto"/>
        <w:bottom w:val="none" w:sz="0" w:space="0" w:color="auto"/>
        <w:right w:val="none" w:sz="0" w:space="0" w:color="auto"/>
      </w:divBdr>
    </w:div>
    <w:div w:id="336542152">
      <w:bodyDiv w:val="1"/>
      <w:marLeft w:val="0"/>
      <w:marRight w:val="0"/>
      <w:marTop w:val="0"/>
      <w:marBottom w:val="0"/>
      <w:divBdr>
        <w:top w:val="none" w:sz="0" w:space="0" w:color="auto"/>
        <w:left w:val="none" w:sz="0" w:space="0" w:color="auto"/>
        <w:bottom w:val="none" w:sz="0" w:space="0" w:color="auto"/>
        <w:right w:val="none" w:sz="0" w:space="0" w:color="auto"/>
      </w:divBdr>
    </w:div>
    <w:div w:id="400059923">
      <w:bodyDiv w:val="1"/>
      <w:marLeft w:val="0"/>
      <w:marRight w:val="0"/>
      <w:marTop w:val="0"/>
      <w:marBottom w:val="0"/>
      <w:divBdr>
        <w:top w:val="none" w:sz="0" w:space="0" w:color="auto"/>
        <w:left w:val="none" w:sz="0" w:space="0" w:color="auto"/>
        <w:bottom w:val="none" w:sz="0" w:space="0" w:color="auto"/>
        <w:right w:val="none" w:sz="0" w:space="0" w:color="auto"/>
      </w:divBdr>
    </w:div>
    <w:div w:id="425537299">
      <w:bodyDiv w:val="1"/>
      <w:marLeft w:val="0"/>
      <w:marRight w:val="0"/>
      <w:marTop w:val="0"/>
      <w:marBottom w:val="0"/>
      <w:divBdr>
        <w:top w:val="none" w:sz="0" w:space="0" w:color="auto"/>
        <w:left w:val="none" w:sz="0" w:space="0" w:color="auto"/>
        <w:bottom w:val="none" w:sz="0" w:space="0" w:color="auto"/>
        <w:right w:val="none" w:sz="0" w:space="0" w:color="auto"/>
      </w:divBdr>
    </w:div>
    <w:div w:id="442042362">
      <w:bodyDiv w:val="1"/>
      <w:marLeft w:val="0"/>
      <w:marRight w:val="0"/>
      <w:marTop w:val="0"/>
      <w:marBottom w:val="0"/>
      <w:divBdr>
        <w:top w:val="none" w:sz="0" w:space="0" w:color="auto"/>
        <w:left w:val="none" w:sz="0" w:space="0" w:color="auto"/>
        <w:bottom w:val="none" w:sz="0" w:space="0" w:color="auto"/>
        <w:right w:val="none" w:sz="0" w:space="0" w:color="auto"/>
      </w:divBdr>
    </w:div>
    <w:div w:id="473642630">
      <w:bodyDiv w:val="1"/>
      <w:marLeft w:val="0"/>
      <w:marRight w:val="0"/>
      <w:marTop w:val="0"/>
      <w:marBottom w:val="0"/>
      <w:divBdr>
        <w:top w:val="none" w:sz="0" w:space="0" w:color="auto"/>
        <w:left w:val="none" w:sz="0" w:space="0" w:color="auto"/>
        <w:bottom w:val="none" w:sz="0" w:space="0" w:color="auto"/>
        <w:right w:val="none" w:sz="0" w:space="0" w:color="auto"/>
      </w:divBdr>
    </w:div>
    <w:div w:id="578367291">
      <w:bodyDiv w:val="1"/>
      <w:marLeft w:val="0"/>
      <w:marRight w:val="0"/>
      <w:marTop w:val="0"/>
      <w:marBottom w:val="0"/>
      <w:divBdr>
        <w:top w:val="none" w:sz="0" w:space="0" w:color="auto"/>
        <w:left w:val="none" w:sz="0" w:space="0" w:color="auto"/>
        <w:bottom w:val="none" w:sz="0" w:space="0" w:color="auto"/>
        <w:right w:val="none" w:sz="0" w:space="0" w:color="auto"/>
      </w:divBdr>
    </w:div>
    <w:div w:id="595601605">
      <w:bodyDiv w:val="1"/>
      <w:marLeft w:val="0"/>
      <w:marRight w:val="0"/>
      <w:marTop w:val="0"/>
      <w:marBottom w:val="0"/>
      <w:divBdr>
        <w:top w:val="none" w:sz="0" w:space="0" w:color="auto"/>
        <w:left w:val="none" w:sz="0" w:space="0" w:color="auto"/>
        <w:bottom w:val="none" w:sz="0" w:space="0" w:color="auto"/>
        <w:right w:val="none" w:sz="0" w:space="0" w:color="auto"/>
      </w:divBdr>
    </w:div>
    <w:div w:id="639653728">
      <w:bodyDiv w:val="1"/>
      <w:marLeft w:val="0"/>
      <w:marRight w:val="0"/>
      <w:marTop w:val="0"/>
      <w:marBottom w:val="0"/>
      <w:divBdr>
        <w:top w:val="none" w:sz="0" w:space="0" w:color="auto"/>
        <w:left w:val="none" w:sz="0" w:space="0" w:color="auto"/>
        <w:bottom w:val="none" w:sz="0" w:space="0" w:color="auto"/>
        <w:right w:val="none" w:sz="0" w:space="0" w:color="auto"/>
      </w:divBdr>
    </w:div>
    <w:div w:id="646977346">
      <w:bodyDiv w:val="1"/>
      <w:marLeft w:val="0"/>
      <w:marRight w:val="0"/>
      <w:marTop w:val="0"/>
      <w:marBottom w:val="0"/>
      <w:divBdr>
        <w:top w:val="none" w:sz="0" w:space="0" w:color="auto"/>
        <w:left w:val="none" w:sz="0" w:space="0" w:color="auto"/>
        <w:bottom w:val="none" w:sz="0" w:space="0" w:color="auto"/>
        <w:right w:val="none" w:sz="0" w:space="0" w:color="auto"/>
      </w:divBdr>
    </w:div>
    <w:div w:id="717124123">
      <w:bodyDiv w:val="1"/>
      <w:marLeft w:val="0"/>
      <w:marRight w:val="0"/>
      <w:marTop w:val="0"/>
      <w:marBottom w:val="0"/>
      <w:divBdr>
        <w:top w:val="none" w:sz="0" w:space="0" w:color="auto"/>
        <w:left w:val="none" w:sz="0" w:space="0" w:color="auto"/>
        <w:bottom w:val="none" w:sz="0" w:space="0" w:color="auto"/>
        <w:right w:val="none" w:sz="0" w:space="0" w:color="auto"/>
      </w:divBdr>
    </w:div>
    <w:div w:id="733773492">
      <w:bodyDiv w:val="1"/>
      <w:marLeft w:val="0"/>
      <w:marRight w:val="0"/>
      <w:marTop w:val="0"/>
      <w:marBottom w:val="0"/>
      <w:divBdr>
        <w:top w:val="none" w:sz="0" w:space="0" w:color="auto"/>
        <w:left w:val="none" w:sz="0" w:space="0" w:color="auto"/>
        <w:bottom w:val="none" w:sz="0" w:space="0" w:color="auto"/>
        <w:right w:val="none" w:sz="0" w:space="0" w:color="auto"/>
      </w:divBdr>
    </w:div>
    <w:div w:id="746146138">
      <w:bodyDiv w:val="1"/>
      <w:marLeft w:val="0"/>
      <w:marRight w:val="0"/>
      <w:marTop w:val="0"/>
      <w:marBottom w:val="0"/>
      <w:divBdr>
        <w:top w:val="none" w:sz="0" w:space="0" w:color="auto"/>
        <w:left w:val="none" w:sz="0" w:space="0" w:color="auto"/>
        <w:bottom w:val="none" w:sz="0" w:space="0" w:color="auto"/>
        <w:right w:val="none" w:sz="0" w:space="0" w:color="auto"/>
      </w:divBdr>
    </w:div>
    <w:div w:id="784157281">
      <w:bodyDiv w:val="1"/>
      <w:marLeft w:val="0"/>
      <w:marRight w:val="0"/>
      <w:marTop w:val="0"/>
      <w:marBottom w:val="0"/>
      <w:divBdr>
        <w:top w:val="none" w:sz="0" w:space="0" w:color="auto"/>
        <w:left w:val="none" w:sz="0" w:space="0" w:color="auto"/>
        <w:bottom w:val="none" w:sz="0" w:space="0" w:color="auto"/>
        <w:right w:val="none" w:sz="0" w:space="0" w:color="auto"/>
      </w:divBdr>
    </w:div>
    <w:div w:id="808520995">
      <w:bodyDiv w:val="1"/>
      <w:marLeft w:val="0"/>
      <w:marRight w:val="0"/>
      <w:marTop w:val="0"/>
      <w:marBottom w:val="0"/>
      <w:divBdr>
        <w:top w:val="none" w:sz="0" w:space="0" w:color="auto"/>
        <w:left w:val="none" w:sz="0" w:space="0" w:color="auto"/>
        <w:bottom w:val="none" w:sz="0" w:space="0" w:color="auto"/>
        <w:right w:val="none" w:sz="0" w:space="0" w:color="auto"/>
      </w:divBdr>
    </w:div>
    <w:div w:id="829364541">
      <w:bodyDiv w:val="1"/>
      <w:marLeft w:val="0"/>
      <w:marRight w:val="0"/>
      <w:marTop w:val="0"/>
      <w:marBottom w:val="0"/>
      <w:divBdr>
        <w:top w:val="none" w:sz="0" w:space="0" w:color="auto"/>
        <w:left w:val="none" w:sz="0" w:space="0" w:color="auto"/>
        <w:bottom w:val="none" w:sz="0" w:space="0" w:color="auto"/>
        <w:right w:val="none" w:sz="0" w:space="0" w:color="auto"/>
      </w:divBdr>
    </w:div>
    <w:div w:id="853498980">
      <w:bodyDiv w:val="1"/>
      <w:marLeft w:val="0"/>
      <w:marRight w:val="0"/>
      <w:marTop w:val="0"/>
      <w:marBottom w:val="0"/>
      <w:divBdr>
        <w:top w:val="none" w:sz="0" w:space="0" w:color="auto"/>
        <w:left w:val="none" w:sz="0" w:space="0" w:color="auto"/>
        <w:bottom w:val="none" w:sz="0" w:space="0" w:color="auto"/>
        <w:right w:val="none" w:sz="0" w:space="0" w:color="auto"/>
      </w:divBdr>
    </w:div>
    <w:div w:id="862789627">
      <w:bodyDiv w:val="1"/>
      <w:marLeft w:val="0"/>
      <w:marRight w:val="0"/>
      <w:marTop w:val="0"/>
      <w:marBottom w:val="0"/>
      <w:divBdr>
        <w:top w:val="none" w:sz="0" w:space="0" w:color="auto"/>
        <w:left w:val="none" w:sz="0" w:space="0" w:color="auto"/>
        <w:bottom w:val="none" w:sz="0" w:space="0" w:color="auto"/>
        <w:right w:val="none" w:sz="0" w:space="0" w:color="auto"/>
      </w:divBdr>
    </w:div>
    <w:div w:id="906065090">
      <w:bodyDiv w:val="1"/>
      <w:marLeft w:val="0"/>
      <w:marRight w:val="0"/>
      <w:marTop w:val="0"/>
      <w:marBottom w:val="0"/>
      <w:divBdr>
        <w:top w:val="none" w:sz="0" w:space="0" w:color="auto"/>
        <w:left w:val="none" w:sz="0" w:space="0" w:color="auto"/>
        <w:bottom w:val="none" w:sz="0" w:space="0" w:color="auto"/>
        <w:right w:val="none" w:sz="0" w:space="0" w:color="auto"/>
      </w:divBdr>
    </w:div>
    <w:div w:id="909731008">
      <w:bodyDiv w:val="1"/>
      <w:marLeft w:val="0"/>
      <w:marRight w:val="0"/>
      <w:marTop w:val="0"/>
      <w:marBottom w:val="0"/>
      <w:divBdr>
        <w:top w:val="none" w:sz="0" w:space="0" w:color="auto"/>
        <w:left w:val="none" w:sz="0" w:space="0" w:color="auto"/>
        <w:bottom w:val="none" w:sz="0" w:space="0" w:color="auto"/>
        <w:right w:val="none" w:sz="0" w:space="0" w:color="auto"/>
      </w:divBdr>
    </w:div>
    <w:div w:id="1019963853">
      <w:bodyDiv w:val="1"/>
      <w:marLeft w:val="0"/>
      <w:marRight w:val="0"/>
      <w:marTop w:val="0"/>
      <w:marBottom w:val="0"/>
      <w:divBdr>
        <w:top w:val="none" w:sz="0" w:space="0" w:color="auto"/>
        <w:left w:val="none" w:sz="0" w:space="0" w:color="auto"/>
        <w:bottom w:val="none" w:sz="0" w:space="0" w:color="auto"/>
        <w:right w:val="none" w:sz="0" w:space="0" w:color="auto"/>
      </w:divBdr>
    </w:div>
    <w:div w:id="1109011502">
      <w:bodyDiv w:val="1"/>
      <w:marLeft w:val="0"/>
      <w:marRight w:val="0"/>
      <w:marTop w:val="0"/>
      <w:marBottom w:val="0"/>
      <w:divBdr>
        <w:top w:val="none" w:sz="0" w:space="0" w:color="auto"/>
        <w:left w:val="none" w:sz="0" w:space="0" w:color="auto"/>
        <w:bottom w:val="none" w:sz="0" w:space="0" w:color="auto"/>
        <w:right w:val="none" w:sz="0" w:space="0" w:color="auto"/>
      </w:divBdr>
    </w:div>
    <w:div w:id="1145928481">
      <w:bodyDiv w:val="1"/>
      <w:marLeft w:val="0"/>
      <w:marRight w:val="0"/>
      <w:marTop w:val="0"/>
      <w:marBottom w:val="0"/>
      <w:divBdr>
        <w:top w:val="none" w:sz="0" w:space="0" w:color="auto"/>
        <w:left w:val="none" w:sz="0" w:space="0" w:color="auto"/>
        <w:bottom w:val="none" w:sz="0" w:space="0" w:color="auto"/>
        <w:right w:val="none" w:sz="0" w:space="0" w:color="auto"/>
      </w:divBdr>
    </w:div>
    <w:div w:id="1162231867">
      <w:bodyDiv w:val="1"/>
      <w:marLeft w:val="0"/>
      <w:marRight w:val="0"/>
      <w:marTop w:val="0"/>
      <w:marBottom w:val="0"/>
      <w:divBdr>
        <w:top w:val="none" w:sz="0" w:space="0" w:color="auto"/>
        <w:left w:val="none" w:sz="0" w:space="0" w:color="auto"/>
        <w:bottom w:val="none" w:sz="0" w:space="0" w:color="auto"/>
        <w:right w:val="none" w:sz="0" w:space="0" w:color="auto"/>
      </w:divBdr>
    </w:div>
    <w:div w:id="1167208126">
      <w:bodyDiv w:val="1"/>
      <w:marLeft w:val="0"/>
      <w:marRight w:val="0"/>
      <w:marTop w:val="0"/>
      <w:marBottom w:val="0"/>
      <w:divBdr>
        <w:top w:val="none" w:sz="0" w:space="0" w:color="auto"/>
        <w:left w:val="none" w:sz="0" w:space="0" w:color="auto"/>
        <w:bottom w:val="none" w:sz="0" w:space="0" w:color="auto"/>
        <w:right w:val="none" w:sz="0" w:space="0" w:color="auto"/>
      </w:divBdr>
    </w:div>
    <w:div w:id="1171023854">
      <w:bodyDiv w:val="1"/>
      <w:marLeft w:val="0"/>
      <w:marRight w:val="0"/>
      <w:marTop w:val="0"/>
      <w:marBottom w:val="0"/>
      <w:divBdr>
        <w:top w:val="none" w:sz="0" w:space="0" w:color="auto"/>
        <w:left w:val="none" w:sz="0" w:space="0" w:color="auto"/>
        <w:bottom w:val="none" w:sz="0" w:space="0" w:color="auto"/>
        <w:right w:val="none" w:sz="0" w:space="0" w:color="auto"/>
      </w:divBdr>
    </w:div>
    <w:div w:id="1206216224">
      <w:bodyDiv w:val="1"/>
      <w:marLeft w:val="0"/>
      <w:marRight w:val="0"/>
      <w:marTop w:val="0"/>
      <w:marBottom w:val="0"/>
      <w:divBdr>
        <w:top w:val="none" w:sz="0" w:space="0" w:color="auto"/>
        <w:left w:val="none" w:sz="0" w:space="0" w:color="auto"/>
        <w:bottom w:val="none" w:sz="0" w:space="0" w:color="auto"/>
        <w:right w:val="none" w:sz="0" w:space="0" w:color="auto"/>
      </w:divBdr>
    </w:div>
    <w:div w:id="1379937228">
      <w:bodyDiv w:val="1"/>
      <w:marLeft w:val="0"/>
      <w:marRight w:val="0"/>
      <w:marTop w:val="0"/>
      <w:marBottom w:val="0"/>
      <w:divBdr>
        <w:top w:val="none" w:sz="0" w:space="0" w:color="auto"/>
        <w:left w:val="none" w:sz="0" w:space="0" w:color="auto"/>
        <w:bottom w:val="none" w:sz="0" w:space="0" w:color="auto"/>
        <w:right w:val="none" w:sz="0" w:space="0" w:color="auto"/>
      </w:divBdr>
    </w:div>
    <w:div w:id="1435247998">
      <w:bodyDiv w:val="1"/>
      <w:marLeft w:val="0"/>
      <w:marRight w:val="0"/>
      <w:marTop w:val="0"/>
      <w:marBottom w:val="0"/>
      <w:divBdr>
        <w:top w:val="none" w:sz="0" w:space="0" w:color="auto"/>
        <w:left w:val="none" w:sz="0" w:space="0" w:color="auto"/>
        <w:bottom w:val="none" w:sz="0" w:space="0" w:color="auto"/>
        <w:right w:val="none" w:sz="0" w:space="0" w:color="auto"/>
      </w:divBdr>
    </w:div>
    <w:div w:id="1445072018">
      <w:bodyDiv w:val="1"/>
      <w:marLeft w:val="0"/>
      <w:marRight w:val="0"/>
      <w:marTop w:val="0"/>
      <w:marBottom w:val="0"/>
      <w:divBdr>
        <w:top w:val="none" w:sz="0" w:space="0" w:color="auto"/>
        <w:left w:val="none" w:sz="0" w:space="0" w:color="auto"/>
        <w:bottom w:val="none" w:sz="0" w:space="0" w:color="auto"/>
        <w:right w:val="none" w:sz="0" w:space="0" w:color="auto"/>
      </w:divBdr>
    </w:div>
    <w:div w:id="1449354977">
      <w:bodyDiv w:val="1"/>
      <w:marLeft w:val="0"/>
      <w:marRight w:val="0"/>
      <w:marTop w:val="0"/>
      <w:marBottom w:val="0"/>
      <w:divBdr>
        <w:top w:val="none" w:sz="0" w:space="0" w:color="auto"/>
        <w:left w:val="none" w:sz="0" w:space="0" w:color="auto"/>
        <w:bottom w:val="none" w:sz="0" w:space="0" w:color="auto"/>
        <w:right w:val="none" w:sz="0" w:space="0" w:color="auto"/>
      </w:divBdr>
    </w:div>
    <w:div w:id="1476023447">
      <w:bodyDiv w:val="1"/>
      <w:marLeft w:val="0"/>
      <w:marRight w:val="0"/>
      <w:marTop w:val="0"/>
      <w:marBottom w:val="0"/>
      <w:divBdr>
        <w:top w:val="none" w:sz="0" w:space="0" w:color="auto"/>
        <w:left w:val="none" w:sz="0" w:space="0" w:color="auto"/>
        <w:bottom w:val="none" w:sz="0" w:space="0" w:color="auto"/>
        <w:right w:val="none" w:sz="0" w:space="0" w:color="auto"/>
      </w:divBdr>
    </w:div>
    <w:div w:id="1510440110">
      <w:bodyDiv w:val="1"/>
      <w:marLeft w:val="0"/>
      <w:marRight w:val="0"/>
      <w:marTop w:val="0"/>
      <w:marBottom w:val="0"/>
      <w:divBdr>
        <w:top w:val="none" w:sz="0" w:space="0" w:color="auto"/>
        <w:left w:val="none" w:sz="0" w:space="0" w:color="auto"/>
        <w:bottom w:val="none" w:sz="0" w:space="0" w:color="auto"/>
        <w:right w:val="none" w:sz="0" w:space="0" w:color="auto"/>
      </w:divBdr>
    </w:div>
    <w:div w:id="1523084362">
      <w:bodyDiv w:val="1"/>
      <w:marLeft w:val="0"/>
      <w:marRight w:val="0"/>
      <w:marTop w:val="0"/>
      <w:marBottom w:val="0"/>
      <w:divBdr>
        <w:top w:val="none" w:sz="0" w:space="0" w:color="auto"/>
        <w:left w:val="none" w:sz="0" w:space="0" w:color="auto"/>
        <w:bottom w:val="none" w:sz="0" w:space="0" w:color="auto"/>
        <w:right w:val="none" w:sz="0" w:space="0" w:color="auto"/>
      </w:divBdr>
    </w:div>
    <w:div w:id="1542395637">
      <w:bodyDiv w:val="1"/>
      <w:marLeft w:val="0"/>
      <w:marRight w:val="0"/>
      <w:marTop w:val="0"/>
      <w:marBottom w:val="0"/>
      <w:divBdr>
        <w:top w:val="none" w:sz="0" w:space="0" w:color="auto"/>
        <w:left w:val="none" w:sz="0" w:space="0" w:color="auto"/>
        <w:bottom w:val="none" w:sz="0" w:space="0" w:color="auto"/>
        <w:right w:val="none" w:sz="0" w:space="0" w:color="auto"/>
      </w:divBdr>
    </w:div>
    <w:div w:id="1555896028">
      <w:bodyDiv w:val="1"/>
      <w:marLeft w:val="0"/>
      <w:marRight w:val="0"/>
      <w:marTop w:val="0"/>
      <w:marBottom w:val="0"/>
      <w:divBdr>
        <w:top w:val="none" w:sz="0" w:space="0" w:color="auto"/>
        <w:left w:val="none" w:sz="0" w:space="0" w:color="auto"/>
        <w:bottom w:val="none" w:sz="0" w:space="0" w:color="auto"/>
        <w:right w:val="none" w:sz="0" w:space="0" w:color="auto"/>
      </w:divBdr>
    </w:div>
    <w:div w:id="1579054905">
      <w:bodyDiv w:val="1"/>
      <w:marLeft w:val="0"/>
      <w:marRight w:val="0"/>
      <w:marTop w:val="0"/>
      <w:marBottom w:val="0"/>
      <w:divBdr>
        <w:top w:val="none" w:sz="0" w:space="0" w:color="auto"/>
        <w:left w:val="none" w:sz="0" w:space="0" w:color="auto"/>
        <w:bottom w:val="none" w:sz="0" w:space="0" w:color="auto"/>
        <w:right w:val="none" w:sz="0" w:space="0" w:color="auto"/>
      </w:divBdr>
    </w:div>
    <w:div w:id="1612013815">
      <w:bodyDiv w:val="1"/>
      <w:marLeft w:val="0"/>
      <w:marRight w:val="0"/>
      <w:marTop w:val="0"/>
      <w:marBottom w:val="0"/>
      <w:divBdr>
        <w:top w:val="none" w:sz="0" w:space="0" w:color="auto"/>
        <w:left w:val="none" w:sz="0" w:space="0" w:color="auto"/>
        <w:bottom w:val="none" w:sz="0" w:space="0" w:color="auto"/>
        <w:right w:val="none" w:sz="0" w:space="0" w:color="auto"/>
      </w:divBdr>
    </w:div>
    <w:div w:id="1628731381">
      <w:bodyDiv w:val="1"/>
      <w:marLeft w:val="0"/>
      <w:marRight w:val="0"/>
      <w:marTop w:val="0"/>
      <w:marBottom w:val="0"/>
      <w:divBdr>
        <w:top w:val="none" w:sz="0" w:space="0" w:color="auto"/>
        <w:left w:val="none" w:sz="0" w:space="0" w:color="auto"/>
        <w:bottom w:val="none" w:sz="0" w:space="0" w:color="auto"/>
        <w:right w:val="none" w:sz="0" w:space="0" w:color="auto"/>
      </w:divBdr>
    </w:div>
    <w:div w:id="1641769573">
      <w:bodyDiv w:val="1"/>
      <w:marLeft w:val="0"/>
      <w:marRight w:val="0"/>
      <w:marTop w:val="0"/>
      <w:marBottom w:val="0"/>
      <w:divBdr>
        <w:top w:val="none" w:sz="0" w:space="0" w:color="auto"/>
        <w:left w:val="none" w:sz="0" w:space="0" w:color="auto"/>
        <w:bottom w:val="none" w:sz="0" w:space="0" w:color="auto"/>
        <w:right w:val="none" w:sz="0" w:space="0" w:color="auto"/>
      </w:divBdr>
    </w:div>
    <w:div w:id="1691443383">
      <w:bodyDiv w:val="1"/>
      <w:marLeft w:val="0"/>
      <w:marRight w:val="0"/>
      <w:marTop w:val="0"/>
      <w:marBottom w:val="0"/>
      <w:divBdr>
        <w:top w:val="none" w:sz="0" w:space="0" w:color="auto"/>
        <w:left w:val="none" w:sz="0" w:space="0" w:color="auto"/>
        <w:bottom w:val="none" w:sz="0" w:space="0" w:color="auto"/>
        <w:right w:val="none" w:sz="0" w:space="0" w:color="auto"/>
      </w:divBdr>
    </w:div>
    <w:div w:id="1729960117">
      <w:bodyDiv w:val="1"/>
      <w:marLeft w:val="0"/>
      <w:marRight w:val="0"/>
      <w:marTop w:val="0"/>
      <w:marBottom w:val="0"/>
      <w:divBdr>
        <w:top w:val="none" w:sz="0" w:space="0" w:color="auto"/>
        <w:left w:val="none" w:sz="0" w:space="0" w:color="auto"/>
        <w:bottom w:val="none" w:sz="0" w:space="0" w:color="auto"/>
        <w:right w:val="none" w:sz="0" w:space="0" w:color="auto"/>
      </w:divBdr>
    </w:div>
    <w:div w:id="1768965088">
      <w:bodyDiv w:val="1"/>
      <w:marLeft w:val="0"/>
      <w:marRight w:val="0"/>
      <w:marTop w:val="0"/>
      <w:marBottom w:val="0"/>
      <w:divBdr>
        <w:top w:val="none" w:sz="0" w:space="0" w:color="auto"/>
        <w:left w:val="none" w:sz="0" w:space="0" w:color="auto"/>
        <w:bottom w:val="none" w:sz="0" w:space="0" w:color="auto"/>
        <w:right w:val="none" w:sz="0" w:space="0" w:color="auto"/>
      </w:divBdr>
    </w:div>
    <w:div w:id="1800955589">
      <w:bodyDiv w:val="1"/>
      <w:marLeft w:val="0"/>
      <w:marRight w:val="0"/>
      <w:marTop w:val="0"/>
      <w:marBottom w:val="0"/>
      <w:divBdr>
        <w:top w:val="none" w:sz="0" w:space="0" w:color="auto"/>
        <w:left w:val="none" w:sz="0" w:space="0" w:color="auto"/>
        <w:bottom w:val="none" w:sz="0" w:space="0" w:color="auto"/>
        <w:right w:val="none" w:sz="0" w:space="0" w:color="auto"/>
      </w:divBdr>
    </w:div>
    <w:div w:id="1802378009">
      <w:bodyDiv w:val="1"/>
      <w:marLeft w:val="0"/>
      <w:marRight w:val="0"/>
      <w:marTop w:val="0"/>
      <w:marBottom w:val="0"/>
      <w:divBdr>
        <w:top w:val="none" w:sz="0" w:space="0" w:color="auto"/>
        <w:left w:val="none" w:sz="0" w:space="0" w:color="auto"/>
        <w:bottom w:val="none" w:sz="0" w:space="0" w:color="auto"/>
        <w:right w:val="none" w:sz="0" w:space="0" w:color="auto"/>
      </w:divBdr>
    </w:div>
    <w:div w:id="1835221737">
      <w:bodyDiv w:val="1"/>
      <w:marLeft w:val="0"/>
      <w:marRight w:val="0"/>
      <w:marTop w:val="0"/>
      <w:marBottom w:val="0"/>
      <w:divBdr>
        <w:top w:val="none" w:sz="0" w:space="0" w:color="auto"/>
        <w:left w:val="none" w:sz="0" w:space="0" w:color="auto"/>
        <w:bottom w:val="none" w:sz="0" w:space="0" w:color="auto"/>
        <w:right w:val="none" w:sz="0" w:space="0" w:color="auto"/>
      </w:divBdr>
    </w:div>
    <w:div w:id="1912500773">
      <w:bodyDiv w:val="1"/>
      <w:marLeft w:val="0"/>
      <w:marRight w:val="0"/>
      <w:marTop w:val="0"/>
      <w:marBottom w:val="0"/>
      <w:divBdr>
        <w:top w:val="none" w:sz="0" w:space="0" w:color="auto"/>
        <w:left w:val="none" w:sz="0" w:space="0" w:color="auto"/>
        <w:bottom w:val="none" w:sz="0" w:space="0" w:color="auto"/>
        <w:right w:val="none" w:sz="0" w:space="0" w:color="auto"/>
      </w:divBdr>
    </w:div>
    <w:div w:id="1945187872">
      <w:bodyDiv w:val="1"/>
      <w:marLeft w:val="0"/>
      <w:marRight w:val="0"/>
      <w:marTop w:val="0"/>
      <w:marBottom w:val="0"/>
      <w:divBdr>
        <w:top w:val="none" w:sz="0" w:space="0" w:color="auto"/>
        <w:left w:val="none" w:sz="0" w:space="0" w:color="auto"/>
        <w:bottom w:val="none" w:sz="0" w:space="0" w:color="auto"/>
        <w:right w:val="none" w:sz="0" w:space="0" w:color="auto"/>
      </w:divBdr>
    </w:div>
    <w:div w:id="1981769232">
      <w:bodyDiv w:val="1"/>
      <w:marLeft w:val="0"/>
      <w:marRight w:val="0"/>
      <w:marTop w:val="0"/>
      <w:marBottom w:val="0"/>
      <w:divBdr>
        <w:top w:val="none" w:sz="0" w:space="0" w:color="auto"/>
        <w:left w:val="none" w:sz="0" w:space="0" w:color="auto"/>
        <w:bottom w:val="none" w:sz="0" w:space="0" w:color="auto"/>
        <w:right w:val="none" w:sz="0" w:space="0" w:color="auto"/>
      </w:divBdr>
    </w:div>
    <w:div w:id="2004162472">
      <w:bodyDiv w:val="1"/>
      <w:marLeft w:val="0"/>
      <w:marRight w:val="0"/>
      <w:marTop w:val="0"/>
      <w:marBottom w:val="0"/>
      <w:divBdr>
        <w:top w:val="none" w:sz="0" w:space="0" w:color="auto"/>
        <w:left w:val="none" w:sz="0" w:space="0" w:color="auto"/>
        <w:bottom w:val="none" w:sz="0" w:space="0" w:color="auto"/>
        <w:right w:val="none" w:sz="0" w:space="0" w:color="auto"/>
      </w:divBdr>
    </w:div>
    <w:div w:id="2012951407">
      <w:bodyDiv w:val="1"/>
      <w:marLeft w:val="0"/>
      <w:marRight w:val="0"/>
      <w:marTop w:val="0"/>
      <w:marBottom w:val="0"/>
      <w:divBdr>
        <w:top w:val="none" w:sz="0" w:space="0" w:color="auto"/>
        <w:left w:val="none" w:sz="0" w:space="0" w:color="auto"/>
        <w:bottom w:val="none" w:sz="0" w:space="0" w:color="auto"/>
        <w:right w:val="none" w:sz="0" w:space="0" w:color="auto"/>
      </w:divBdr>
    </w:div>
    <w:div w:id="2083486993">
      <w:bodyDiv w:val="1"/>
      <w:marLeft w:val="0"/>
      <w:marRight w:val="0"/>
      <w:marTop w:val="0"/>
      <w:marBottom w:val="0"/>
      <w:divBdr>
        <w:top w:val="none" w:sz="0" w:space="0" w:color="auto"/>
        <w:left w:val="none" w:sz="0" w:space="0" w:color="auto"/>
        <w:bottom w:val="none" w:sz="0" w:space="0" w:color="auto"/>
        <w:right w:val="none" w:sz="0" w:space="0" w:color="auto"/>
      </w:divBdr>
    </w:div>
    <w:div w:id="2126777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baw.vba.va.gov/pensionandfiduciary/pact-act.asp" TargetMode="External"/><Relationship Id="rId18" Type="http://schemas.openxmlformats.org/officeDocument/2006/relationships/hyperlink" Target="https://gcc02.safelinks.protection.outlook.com/?url=https%3A%2F%2Fapps.gov.powerapps.us%2Fplay%2Fe%2Fdefault-e95f1b23-abaf-45ee-821d-b7ab251ab3bf%2Fa%2F0a333bae-1e5d-446f-b2d1-c25be963c99d%3FtenantId%3De95f1b23-abaf-45ee-821d-b7ab251ab3bf%26source%3Dportal&amp;data=05%7C01%7C%7C4001aa0a69394c00f80908db518a1cd8%7Ce95f1b23abaf45ee821db7ab251ab3bf%7C0%7C0%7C638193425846402036%7CUnknown%7CTWFpbGZsb3d8eyJWIjoiMC4wLjAwMDAiLCJQIjoiV2luMzIiLCJBTiI6Ik1haWwiLCJXVCI6Mn0%3D%7C3000%7C%7C%7C&amp;sdata=FkFpCbtdbRGl4EvZsKlCdLCum41gTxJ8pl8PJACuWJ4%3D&amp;reserved=0" TargetMode="External"/><Relationship Id="rId26" Type="http://schemas.openxmlformats.org/officeDocument/2006/relationships/hyperlink" Target="https://vaww.vrm.km.va.gov/system/templates/selfservice/va_kanew/help/agent/locale/en-US/portal/554400000001034/content/554400000174205/M21-1-Part-XI-Subpart-ii-Chapter-3-Section-B-Substitution-in-Case-of-Death-of-Claimant" TargetMode="External"/><Relationship Id="rId39" Type="http://schemas.openxmlformats.org/officeDocument/2006/relationships/hyperlink" Target="https://gcc02.safelinks.protection.outlook.com/?url=https%3A%2F%2Fvaww.vrm.km.va.gov%2Fsystem%2Ftemplates%2Fselfservice%2Fva_kanew%2Fhelp%2Fagent%2Flocale%2Fen-US%2Fportal%2F554400000001034%2Fcontent%2F554400000177977%2FM21-1-Part-X-Subpart-ii-Chapter-6-Section-D-Processing-Awards-to-Incompetent-Beneficiaries&amp;data=05%7C02%7C%7C9be5cca6fc7f4068407308dccc18a364%7Ce95f1b23abaf45ee821db7ab251ab3bf%7C0%7C0%7C638609653395588920%7CUnknown%7CTWFpbGZsb3d8eyJWIjoiMC4wLjAwMDAiLCJQIjoiV2luMzIiLCJBTiI6Ik1haWwiLCJXVCI6Mn0%3D%7C0%7C%7C%7C&amp;sdata=dFKq5EXHMhV9oH1MAdCPLj%2FVabjGX7wPXjfyWYivibQ%3D&amp;reserved=0" TargetMode="External"/><Relationship Id="rId21" Type="http://schemas.openxmlformats.org/officeDocument/2006/relationships/hyperlink" Target="https://vaww.vrm.km.va.gov/system/templates/selfservice/va_kanew/help/agent/locale/en-US/portal/554400000001034/content/554400000174869/M21-1-Part-II-Subpart-iii-Chapter-1-Section-A-Applications-for-Benefits" TargetMode="External"/><Relationship Id="rId34" Type="http://schemas.openxmlformats.org/officeDocument/2006/relationships/hyperlink" Target="https://gcc02.safelinks.protection.outlook.com/?url=https%3A%2F%2Fvaww.vrm.km.va.gov%2Fsystem%2Ftemplates%2Fselfservice%2Fva_kanew%2Fhelp%2Fagent%2Flocale%2Fen-US%2Fportal%2F554400000001034%2Fcontent%2F554400000179475%2FM21-1-Part-VI-Subpart-ii-Chapter-1-Section-A-General-Information-on-Elections&amp;data=05%7C02%7C%7C9be5cca6fc7f4068407308dccc18a364%7Ce95f1b23abaf45ee821db7ab251ab3bf%7C0%7C0%7C638609653395574290%7CUnknown%7CTWFpbGZsb3d8eyJWIjoiMC4wLjAwMDAiLCJQIjoiV2luMzIiLCJBTiI6Ik1haWwiLCJXVCI6Mn0%3D%7C0%7C%7C%7C&amp;sdata=VOvCSeww9HLUsc0LFX8HnFs%2F4rI35KXOCEFRiaFI%2FGw%3D&amp;reserved=0" TargetMode="External"/><Relationship Id="rId42" Type="http://schemas.openxmlformats.org/officeDocument/2006/relationships/hyperlink" Target="https://www.ecfr.gov/current/title-38/part-3" TargetMode="External"/><Relationship Id="rId47" Type="http://schemas.openxmlformats.org/officeDocument/2006/relationships/hyperlink" Target="mailto:PFTNGQUALOVRST.VBACO@va.gov"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baw.vba.va.gov/pensionandfiduciary/pact-act.asp" TargetMode="External"/><Relationship Id="rId29" Type="http://schemas.openxmlformats.org/officeDocument/2006/relationships/hyperlink" Target="https://www.ecfr.gov/current/title-38/part-3/section-3.2500" TargetMode="External"/><Relationship Id="rId11" Type="http://schemas.openxmlformats.org/officeDocument/2006/relationships/hyperlink" Target="https://va.lightning.force.com/lightning/r/Dashboard/01Z3d0000006l98EAA/view" TargetMode="External"/><Relationship Id="rId24" Type="http://schemas.openxmlformats.org/officeDocument/2006/relationships/hyperlink" Target="https://www.ecfr.gov/current/title-38/part-3/section-3.1000" TargetMode="External"/><Relationship Id="rId32" Type="http://schemas.openxmlformats.org/officeDocument/2006/relationships/image" Target="media/image4.png"/><Relationship Id="rId37" Type="http://schemas.openxmlformats.org/officeDocument/2006/relationships/hyperlink" Target="https://www.knowva.ebenefits.va.gov/system/templates/selfservice/va_ssnew/help/customer/locale/en-US/portal/554400000001018/content/554400000179475/M21-1-Part-VI-Subpart-ii-Chapter-1-Section-A-General-Information-on-Elections" TargetMode="External"/><Relationship Id="rId40" Type="http://schemas.openxmlformats.org/officeDocument/2006/relationships/hyperlink" Target="http://vbacoweb03.dva.va.gov/bl/21/Calendar/cal_Subscribe.asp" TargetMode="External"/><Relationship Id="rId45" Type="http://schemas.openxmlformats.org/officeDocument/2006/relationships/hyperlink" Target="https://vaww.vrm.km.va.gov/system/templates/selfservice/va_kanew/help/agent/locale/en-US/portal/554400000001034/content/554400000174205/M21-1-Part-XI-Subpart-ii-Chapter-3-Section-B-Substitution-in-Case-of-Death-of-Claimant?query=undefined" TargetMode="External"/><Relationship Id="rId5" Type="http://schemas.openxmlformats.org/officeDocument/2006/relationships/webSettings" Target="webSettings.xml"/><Relationship Id="rId15" Type="http://schemas.openxmlformats.org/officeDocument/2006/relationships/hyperlink" Target="https://vaww.vrm.km.va.gov/system/templates/selfservice/va_kanew/help/agent/locale/en-US/portal/554400000001034/content/554400000177423/M21-1-Part-VIII-Subpart-i-Chapter-1-Section-B-Ratings-for-Disabilities-Associated-with-Herbicide-Exposure" TargetMode="External"/><Relationship Id="rId23" Type="http://schemas.openxmlformats.org/officeDocument/2006/relationships/hyperlink" Target="https://vaww.vrm.km.va.gov/system/templates/selfservice/va_kanew/help/agent/locale/en-US/portal/554400000001034/content/554400000174192/M21-1-Part-XI-Subpart-ii-Chapter-3-Section-A-Entitlement-to-Accrued-Benefits-Under-38-USC-5121" TargetMode="External"/><Relationship Id="rId28" Type="http://schemas.openxmlformats.org/officeDocument/2006/relationships/hyperlink" Target="https://www.ecfr.gov/current/title-38/part-3" TargetMode="External"/><Relationship Id="rId36" Type="http://schemas.openxmlformats.org/officeDocument/2006/relationships/hyperlink" Target="https://gcc02.safelinks.protection.outlook.com/?url=https%3A%2F%2Fvaww.vrm.km.va.gov%2Fsystem%2Ftemplates%2Fselfservice%2Fva_kanew%2Fhelp%2Fagent%2Flocale%2Fen-US%2Fportal%2F554400000001034%2Fcontent%2F554400000177977%2FM21-1-Part-X-Subpart-ii-Chapter-6-Section-D-Processing-Awards-to-Incompetent-Beneficiaries&amp;data=05%7C02%7C%7C9be5cca6fc7f4068407308dccc18a364%7Ce95f1b23abaf45ee821db7ab251ab3bf%7C0%7C0%7C638609653395588920%7CUnknown%7CTWFpbGZsb3d8eyJWIjoiMC4wLjAwMDAiLCJQIjoiV2luMzIiLCJBTiI6Ik1haWwiLCJXVCI6Mn0%3D%7C0%7C%7C%7C&amp;sdata=dFKq5EXHMhV9oH1MAdCPLj%2FVabjGX7wPXjfyWYivibQ%3D&amp;reserved=0" TargetMode="External"/><Relationship Id="rId49" Type="http://schemas.openxmlformats.org/officeDocument/2006/relationships/footer" Target="footer1.xml"/><Relationship Id="rId10" Type="http://schemas.openxmlformats.org/officeDocument/2006/relationships/hyperlink" Target="https://vbaw.vba.va.gov/bl/21/star/reports/star_rptscurrent.htm" TargetMode="External"/><Relationship Id="rId19" Type="http://schemas.openxmlformats.org/officeDocument/2006/relationships/image" Target="media/image3.emf"/><Relationship Id="rId31" Type="http://schemas.openxmlformats.org/officeDocument/2006/relationships/hyperlink" Target="https://vaww.vrm.km.va.gov/system/templates/selfservice/va_kanew/help/agent/locale/en-US/portal/554400000001034/content/554400000174205/M21-1-Part-XI-Subpart-ii-Chapter-3-Section-B-Substitution-in-Case-of-Death-of-Claimant?query=undefined" TargetMode="External"/><Relationship Id="rId44" Type="http://schemas.openxmlformats.org/officeDocument/2006/relationships/hyperlink" Target="https://vaww.vrm.km.va.gov/system/templates/selfservice/va_kanew/help/agent/locale/en-US/portal/554400000001034/content/554400000174205/M21-1-Part-XI-Subpart-ii-Chapter-3-Section-B-Substitution-in-Case-of-Death-of-Claimant?query=undefine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baw.vba.va.gov/bl/21/pact.htm" TargetMode="External"/><Relationship Id="rId22" Type="http://schemas.openxmlformats.org/officeDocument/2006/relationships/hyperlink" Target="https://&#8203;/&#8203;www.ecfr.gov/&#8203;current/&#8203;title-38/&#8203;part-3/&#8203;subpart-A" TargetMode="External"/><Relationship Id="rId27" Type="http://schemas.openxmlformats.org/officeDocument/2006/relationships/hyperlink" Target="https://vaww.vrm.km.va.gov/system/templates/selfservice/va_kanew/help/agent/locale/en-US/portal/554400000001034/content/554400000174208/M21-1-Part-XI-Subpart-ii-Chapter-3-Section-E-Accrued-Authorization-and-Notification" TargetMode="External"/><Relationship Id="rId30" Type="http://schemas.openxmlformats.org/officeDocument/2006/relationships/hyperlink" Target="https://vaww.vrm.km.va.gov/system/templates/selfservice/va_kanew/help/agent/locale/en-US/portal/554400000001034/content/554400000174205/M21-1-Part-XI-Subpart-ii-Chapter-3-Section-B-Substitution-in-Case-of-Death-of-Claimant?query=undefined" TargetMode="External"/><Relationship Id="rId35" Type="http://schemas.openxmlformats.org/officeDocument/2006/relationships/hyperlink" Target="https://www.govinfo.gov/content/pkg/USCODE-2022-title38/pdf/USCODE-2022-title38-partIV-chap51-subchapI-sec5101.pdf" TargetMode="External"/><Relationship Id="rId43" Type="http://schemas.openxmlformats.org/officeDocument/2006/relationships/hyperlink" Target="https://vaww.vrm.km.va.gov/system/templates/selfservice/va_kanew/help/agent/locale/en-US/portal/554400000001034/content/554400000174205/M21-1-Part-XI-Subpart-ii-Chapter-3-Section-B-Substitution-in-Case-of-Death-of-Claimant?query=undefined" TargetMode="External"/><Relationship Id="rId48" Type="http://schemas.openxmlformats.org/officeDocument/2006/relationships/hyperlink" Target="https://apps.gov.powerapps.us/play/e/default-e95f1b23-abaf-45ee-821d-b7ab251ab3bf/a/020fd6a3-0920-4fdd-aa7f-b2738264218e?tenantId=e95f1b23-abaf-45ee-821d-b7ab251ab3bf&amp;hint=3033d727-bd9a-4996-ad9e-1dbd7ed2be3c&amp;sourcetime=1727662207701&amp;source=portal" TargetMode="Externa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vbaw.vba.va.gov/bl/21/pact.htm" TargetMode="External"/><Relationship Id="rId17" Type="http://schemas.openxmlformats.org/officeDocument/2006/relationships/hyperlink" Target="https://vbaw.vba.va.gov/bl/21/pact.htm" TargetMode="External"/><Relationship Id="rId25" Type="http://schemas.openxmlformats.org/officeDocument/2006/relationships/hyperlink" Target="https://vaww.vrm.km.va.gov/system/templates/selfservice/va_kanew/help/agent/locale/en-US/portal/554400000001034/content/554400000174206/M21-1-Part-XI-Subpart-ii-Chapter-3-Section-C-Development-for-Accrued-and-Requests-for-Substitution" TargetMode="External"/><Relationship Id="rId33" Type="http://schemas.openxmlformats.org/officeDocument/2006/relationships/image" Target="media/image5.png"/><Relationship Id="rId38" Type="http://schemas.openxmlformats.org/officeDocument/2006/relationships/hyperlink" Target="https://gcc02.safelinks.protection.outlook.com/?url=https%3A%2F%2Fvaww.vrm.km.va.gov%2Fsystem%2Ftemplates%2Fselfservice%2Fva_kanew%2Fhelp%2Fagent%2Flocale%2Fen-US%2Fportal%2F554400000001034%2Fcontent%2F554400000177977%2FM21-1-Part-X-Subpart-ii-Chapter-6-Section-D-Processing-Awards-to-Incompetent-Beneficiaries&amp;data=05%7C02%7C%7C9be5cca6fc7f4068407308dccc18a364%7Ce95f1b23abaf45ee821db7ab251ab3bf%7C0%7C0%7C638609653395588920%7CUnknown%7CTWFpbGZsb3d8eyJWIjoiMC4wLjAwMDAiLCJQIjoiV2luMzIiLCJBTiI6Ik1haWwiLCJXVCI6Mn0%3D%7C0%7C%7C%7C&amp;sdata=dFKq5EXHMhV9oH1MAdCPLj%2FVabjGX7wPXjfyWYivibQ%3D&amp;reserved=0" TargetMode="External"/><Relationship Id="rId46" Type="http://schemas.openxmlformats.org/officeDocument/2006/relationships/hyperlink" Target="https://www.ecfr.gov/current/title-38/part-3" TargetMode="External"/><Relationship Id="rId20" Type="http://schemas.openxmlformats.org/officeDocument/2006/relationships/oleObject" Target="embeddings/oleObject1.bin"/><Relationship Id="rId41" Type="http://schemas.openxmlformats.org/officeDocument/2006/relationships/hyperlink" Target="https://vaww.vrm.km.va.gov/system/templates/selfservice/va_kanew/help/agent/locale/en-US/portal/554400000001034/content/554400000174192/M21-1-Part-XI-Subpart-ii-Chapter-3-Section-A-Entitlement-to-Accrued-Benefits-Under-38-USC-512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DCOYL\AppData\Roaming\Microsoft\Templates\In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5DDF16B8D840B4B01294AF94A69C40"/>
        <w:category>
          <w:name w:val="General"/>
          <w:gallery w:val="placeholder"/>
        </w:category>
        <w:types>
          <w:type w:val="bbPlcHdr"/>
        </w:types>
        <w:behaviors>
          <w:behavior w:val="content"/>
        </w:behaviors>
        <w:guid w:val="{BE621820-A021-4478-B288-84D99DB3AFF9}"/>
      </w:docPartPr>
      <w:docPartBody>
        <w:p w:rsidR="00F91AC9" w:rsidRDefault="0050150A">
          <w:pPr>
            <w:pStyle w:val="0E5DDF16B8D840B4B01294AF94A69C40"/>
          </w:pPr>
          <w:r>
            <w:t>Date</w:t>
          </w:r>
        </w:p>
      </w:docPartBody>
    </w:docPart>
    <w:docPart>
      <w:docPartPr>
        <w:name w:val="20DE57C5D5E449D1A227C0884E237AD8"/>
        <w:category>
          <w:name w:val="General"/>
          <w:gallery w:val="placeholder"/>
        </w:category>
        <w:types>
          <w:type w:val="bbPlcHdr"/>
        </w:types>
        <w:behaviors>
          <w:behavior w:val="content"/>
        </w:behaviors>
        <w:guid w:val="{09008CE1-9DCF-4300-8643-5394F1432026}"/>
      </w:docPartPr>
      <w:docPartBody>
        <w:p w:rsidR="00F91AC9" w:rsidRDefault="0050150A">
          <w:pPr>
            <w:pStyle w:val="20DE57C5D5E449D1A227C0884E237AD8"/>
          </w:pPr>
          <w:r>
            <w:t>Agenda item:</w:t>
          </w:r>
        </w:p>
      </w:docPartBody>
    </w:docPart>
    <w:docPart>
      <w:docPartPr>
        <w:name w:val="5402C8556EC4435AA295548041816E7D"/>
        <w:category>
          <w:name w:val="General"/>
          <w:gallery w:val="placeholder"/>
        </w:category>
        <w:types>
          <w:type w:val="bbPlcHdr"/>
        </w:types>
        <w:behaviors>
          <w:behavior w:val="content"/>
        </w:behaviors>
        <w:guid w:val="{07F25147-A58C-4001-92F5-FC8970C6979A}"/>
      </w:docPartPr>
      <w:docPartBody>
        <w:p w:rsidR="00394691" w:rsidRDefault="00152701" w:rsidP="00152701">
          <w:pPr>
            <w:pStyle w:val="5402C8556EC4435AA295548041816E7D"/>
          </w:pPr>
          <w:r>
            <w:t>Agenda item:</w:t>
          </w:r>
        </w:p>
      </w:docPartBody>
    </w:docPart>
    <w:docPart>
      <w:docPartPr>
        <w:name w:val="2714517145D347F695C94755D08493EF"/>
        <w:category>
          <w:name w:val="General"/>
          <w:gallery w:val="placeholder"/>
        </w:category>
        <w:types>
          <w:type w:val="bbPlcHdr"/>
        </w:types>
        <w:behaviors>
          <w:behavior w:val="content"/>
        </w:behaviors>
        <w:guid w:val="{41351A1E-5B57-43E1-AF29-F99D881F50DE}"/>
      </w:docPartPr>
      <w:docPartBody>
        <w:p w:rsidR="00CF3DBD" w:rsidRDefault="00CF3DBD" w:rsidP="00CF3DBD">
          <w:pPr>
            <w:pStyle w:val="2714517145D347F695C94755D08493EF"/>
          </w:pPr>
          <w:r>
            <w:t>Agenda item:</w:t>
          </w:r>
        </w:p>
      </w:docPartBody>
    </w:docPart>
    <w:docPart>
      <w:docPartPr>
        <w:name w:val="0C0995C53DF6428D9AC4133D1F939690"/>
        <w:category>
          <w:name w:val="General"/>
          <w:gallery w:val="placeholder"/>
        </w:category>
        <w:types>
          <w:type w:val="bbPlcHdr"/>
        </w:types>
        <w:behaviors>
          <w:behavior w:val="content"/>
        </w:behaviors>
        <w:guid w:val="{E8872D7E-5090-41B0-A3E0-368E53F06EEF}"/>
      </w:docPartPr>
      <w:docPartBody>
        <w:p w:rsidR="00707550" w:rsidRDefault="00707550" w:rsidP="00707550">
          <w:pPr>
            <w:pStyle w:val="0C0995C53DF6428D9AC4133D1F939690"/>
          </w:pPr>
          <w:r>
            <w:t>Agenda item:</w:t>
          </w:r>
        </w:p>
      </w:docPartBody>
    </w:docPart>
    <w:docPart>
      <w:docPartPr>
        <w:name w:val="4750084EAE7146A68522E6C2C57343AD"/>
        <w:category>
          <w:name w:val="General"/>
          <w:gallery w:val="placeholder"/>
        </w:category>
        <w:types>
          <w:type w:val="bbPlcHdr"/>
        </w:types>
        <w:behaviors>
          <w:behavior w:val="content"/>
        </w:behaviors>
        <w:guid w:val="{67B347A6-3DC2-417A-A869-D36B4DDA314E}"/>
      </w:docPartPr>
      <w:docPartBody>
        <w:p w:rsidR="00F779C3" w:rsidRDefault="00F779C3" w:rsidP="00F779C3">
          <w:pPr>
            <w:pStyle w:val="4750084EAE7146A68522E6C2C57343AD"/>
          </w:pPr>
          <w:r>
            <w:t>Agenda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C6"/>
    <w:rsid w:val="00016946"/>
    <w:rsid w:val="00077B32"/>
    <w:rsid w:val="0009734D"/>
    <w:rsid w:val="000F41E3"/>
    <w:rsid w:val="001320E1"/>
    <w:rsid w:val="00152701"/>
    <w:rsid w:val="0016605E"/>
    <w:rsid w:val="00256208"/>
    <w:rsid w:val="00267A6F"/>
    <w:rsid w:val="00394691"/>
    <w:rsid w:val="0045273F"/>
    <w:rsid w:val="004C1215"/>
    <w:rsid w:val="0050150A"/>
    <w:rsid w:val="00524C78"/>
    <w:rsid w:val="0053511F"/>
    <w:rsid w:val="005419F0"/>
    <w:rsid w:val="005700D1"/>
    <w:rsid w:val="005C0B2A"/>
    <w:rsid w:val="005D434C"/>
    <w:rsid w:val="0068745F"/>
    <w:rsid w:val="00707550"/>
    <w:rsid w:val="00796F00"/>
    <w:rsid w:val="007D5AEC"/>
    <w:rsid w:val="00803873"/>
    <w:rsid w:val="008B42E8"/>
    <w:rsid w:val="008D7B18"/>
    <w:rsid w:val="009A11DC"/>
    <w:rsid w:val="009A1C09"/>
    <w:rsid w:val="00A935F8"/>
    <w:rsid w:val="00AB67BE"/>
    <w:rsid w:val="00B5634D"/>
    <w:rsid w:val="00B7079D"/>
    <w:rsid w:val="00B72C70"/>
    <w:rsid w:val="00BE53F0"/>
    <w:rsid w:val="00C07C96"/>
    <w:rsid w:val="00C66D9E"/>
    <w:rsid w:val="00CD1B07"/>
    <w:rsid w:val="00CE49C4"/>
    <w:rsid w:val="00CF3DBD"/>
    <w:rsid w:val="00CF7EE1"/>
    <w:rsid w:val="00D40E3A"/>
    <w:rsid w:val="00D574EF"/>
    <w:rsid w:val="00D9187D"/>
    <w:rsid w:val="00E86FB5"/>
    <w:rsid w:val="00ED13C6"/>
    <w:rsid w:val="00F779C3"/>
    <w:rsid w:val="00F801CD"/>
    <w:rsid w:val="00F91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5DDF16B8D840B4B01294AF94A69C40">
    <w:name w:val="0E5DDF16B8D840B4B01294AF94A69C40"/>
  </w:style>
  <w:style w:type="paragraph" w:customStyle="1" w:styleId="20DE57C5D5E449D1A227C0884E237AD8">
    <w:name w:val="20DE57C5D5E449D1A227C0884E237AD8"/>
  </w:style>
  <w:style w:type="paragraph" w:customStyle="1" w:styleId="5402C8556EC4435AA295548041816E7D">
    <w:name w:val="5402C8556EC4435AA295548041816E7D"/>
    <w:rsid w:val="00152701"/>
  </w:style>
  <w:style w:type="paragraph" w:customStyle="1" w:styleId="2714517145D347F695C94755D08493EF">
    <w:name w:val="2714517145D347F695C94755D08493EF"/>
    <w:rsid w:val="00CF3DBD"/>
    <w:rPr>
      <w:kern w:val="2"/>
      <w14:ligatures w14:val="standardContextual"/>
    </w:rPr>
  </w:style>
  <w:style w:type="paragraph" w:customStyle="1" w:styleId="0C0995C53DF6428D9AC4133D1F939690">
    <w:name w:val="0C0995C53DF6428D9AC4133D1F939690"/>
    <w:rsid w:val="00707550"/>
    <w:rPr>
      <w:kern w:val="2"/>
      <w14:ligatures w14:val="standardContextual"/>
    </w:rPr>
  </w:style>
  <w:style w:type="paragraph" w:customStyle="1" w:styleId="4750084EAE7146A68522E6C2C57343AD">
    <w:name w:val="4750084EAE7146A68522E6C2C57343AD"/>
    <w:rsid w:val="00F779C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271F3-0229-41A9-830E-142959DF6A3C}">
  <ds:schemaRefs>
    <ds:schemaRef ds:uri="http://schemas.openxmlformats.org/officeDocument/2006/bibliography"/>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Informal meeting minutes</Template>
  <TotalTime>5</TotalTime>
  <Pages>10</Pages>
  <Words>4064</Words>
  <Characters>23166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Pension &amp; Fiduciary Service Quality Call - Pension September 2024 Bulletin</vt:lpstr>
    </vt:vector>
  </TitlesOfParts>
  <Company>Veterans Benefits Administration</Company>
  <LinksUpToDate>false</LinksUpToDate>
  <CharactersWithSpaces>27176</CharactersWithSpaces>
  <SharedDoc>false</SharedDoc>
  <HLinks>
    <vt:vector size="48" baseType="variant">
      <vt:variant>
        <vt:i4>69</vt:i4>
      </vt:variant>
      <vt:variant>
        <vt:i4>21</vt:i4>
      </vt:variant>
      <vt:variant>
        <vt:i4>0</vt:i4>
      </vt:variant>
      <vt:variant>
        <vt:i4>5</vt:i4>
      </vt:variant>
      <vt:variant>
        <vt:lpwstr>https://vbaw.vba.va.gov/PENSIONANDFIDUCIARY/Quality_Call_Bulletins.asp</vt:lpwstr>
      </vt:variant>
      <vt:variant>
        <vt:lpwstr/>
      </vt:variant>
      <vt:variant>
        <vt:i4>5242933</vt:i4>
      </vt:variant>
      <vt:variant>
        <vt:i4>18</vt:i4>
      </vt:variant>
      <vt:variant>
        <vt:i4>0</vt:i4>
      </vt:variant>
      <vt:variant>
        <vt:i4>5</vt:i4>
      </vt:variant>
      <vt:variant>
        <vt:lpwstr>mailto:PFPOLPROC.VBACO@va.gov</vt:lpwstr>
      </vt:variant>
      <vt:variant>
        <vt:lpwstr/>
      </vt:variant>
      <vt:variant>
        <vt:i4>131188</vt:i4>
      </vt:variant>
      <vt:variant>
        <vt:i4>15</vt:i4>
      </vt:variant>
      <vt:variant>
        <vt:i4>0</vt:i4>
      </vt:variant>
      <vt:variant>
        <vt:i4>5</vt:i4>
      </vt:variant>
      <vt:variant>
        <vt:lpwstr>mailto:PFTNGQUALOVRST.VBACO@va.gov</vt:lpwstr>
      </vt:variant>
      <vt:variant>
        <vt:lpwstr/>
      </vt:variant>
      <vt:variant>
        <vt:i4>262205</vt:i4>
      </vt:variant>
      <vt:variant>
        <vt:i4>12</vt:i4>
      </vt:variant>
      <vt:variant>
        <vt:i4>0</vt:i4>
      </vt:variant>
      <vt:variant>
        <vt:i4>5</vt:i4>
      </vt:variant>
      <vt:variant>
        <vt:lpwstr>https://vbaw.vba.va.gov/bl/21/star/reports/star_rpts20.htm</vt:lpwstr>
      </vt:variant>
      <vt:variant>
        <vt:lpwstr/>
      </vt:variant>
      <vt:variant>
        <vt:i4>3014658</vt:i4>
      </vt:variant>
      <vt:variant>
        <vt:i4>9</vt:i4>
      </vt:variant>
      <vt:variant>
        <vt:i4>0</vt:i4>
      </vt:variant>
      <vt:variant>
        <vt:i4>5</vt:i4>
      </vt:variant>
      <vt:variant>
        <vt:lpwstr/>
      </vt:variant>
      <vt:variant>
        <vt:lpwstr>CLOSING_</vt:lpwstr>
      </vt:variant>
      <vt:variant>
        <vt:i4>1900563</vt:i4>
      </vt:variant>
      <vt:variant>
        <vt:i4>6</vt:i4>
      </vt:variant>
      <vt:variant>
        <vt:i4>0</vt:i4>
      </vt:variant>
      <vt:variant>
        <vt:i4>5</vt:i4>
      </vt:variant>
      <vt:variant>
        <vt:lpwstr/>
      </vt:variant>
      <vt:variant>
        <vt:lpwstr>FOUR_</vt:lpwstr>
      </vt:variant>
      <vt:variant>
        <vt:i4>5374051</vt:i4>
      </vt:variant>
      <vt:variant>
        <vt:i4>3</vt:i4>
      </vt:variant>
      <vt:variant>
        <vt:i4>0</vt:i4>
      </vt:variant>
      <vt:variant>
        <vt:i4>5</vt:i4>
      </vt:variant>
      <vt:variant>
        <vt:lpwstr/>
      </vt:variant>
      <vt:variant>
        <vt:lpwstr>THREE_</vt:lpwstr>
      </vt:variant>
      <vt:variant>
        <vt:i4>3211274</vt:i4>
      </vt:variant>
      <vt:variant>
        <vt:i4>0</vt:i4>
      </vt:variant>
      <vt:variant>
        <vt:i4>0</vt:i4>
      </vt:variant>
      <vt:variant>
        <vt:i4>5</vt:i4>
      </vt:variant>
      <vt:variant>
        <vt:lpwstr/>
      </vt:variant>
      <vt:variant>
        <vt:lpwstr>ONE_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 &amp; Fiduciary Service Quality Call - Pension September 2024 Bulletin</dc:title>
  <dc:subject/>
  <dc:creator>Department of Veterans Affairs, Veterans Benefits Administration, Pension and Fiduciary Service, STAFF</dc:creator>
  <cp:keywords/>
  <dc:description/>
  <cp:lastModifiedBy>Kathy Poole</cp:lastModifiedBy>
  <cp:revision>4</cp:revision>
  <cp:lastPrinted>2023-01-26T17:46:00Z</cp:lastPrinted>
  <dcterms:created xsi:type="dcterms:W3CDTF">2024-10-11T17:43:00Z</dcterms:created>
  <dcterms:modified xsi:type="dcterms:W3CDTF">2024-10-18T14:59:00Z</dcterms:modified>
  <cp:category>NTC Curriculum</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