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AC32A" w14:textId="09499CF2" w:rsidR="003448C9" w:rsidRPr="003448C9" w:rsidRDefault="003448C9" w:rsidP="003448C9">
      <w:pPr>
        <w:pStyle w:val="VBAILTCoverService"/>
        <w:rPr>
          <w:szCs w:val="40"/>
        </w:rPr>
      </w:pPr>
      <w:r w:rsidRPr="007910EE">
        <w:rPr>
          <w:szCs w:val="40"/>
        </w:rPr>
        <w:t>Pension and Fiduciary Service</w:t>
      </w:r>
    </w:p>
    <w:p w14:paraId="3F83134E" w14:textId="4C78B006" w:rsidR="00391B94" w:rsidRDefault="000B1CB7" w:rsidP="0074432F">
      <w:pPr>
        <w:pStyle w:val="VBAILTCoverdoctypecourse"/>
        <w:spacing w:after="0" w:line="720" w:lineRule="auto"/>
      </w:pPr>
      <w:r>
        <w:t>PMC VSR Core Course</w:t>
      </w:r>
    </w:p>
    <w:p w14:paraId="6AF687B5" w14:textId="73D4555E" w:rsidR="00C25B63" w:rsidRPr="00C25B63" w:rsidRDefault="00B47835" w:rsidP="0074432F">
      <w:pPr>
        <w:pStyle w:val="VBAILTCoverLessonTitle"/>
        <w:spacing w:before="0" w:line="360" w:lineRule="auto"/>
      </w:pPr>
      <w:r>
        <w:t xml:space="preserve">Upfront Verification </w:t>
      </w:r>
    </w:p>
    <w:p w14:paraId="1D6B7C0F" w14:textId="663EEBA7" w:rsidR="00391B94" w:rsidRDefault="00B93224" w:rsidP="005108CE">
      <w:pPr>
        <w:pStyle w:val="VBAILTCoverdoctypecourse"/>
        <w:spacing w:line="360" w:lineRule="auto"/>
      </w:pPr>
      <w:r>
        <w:t>Job Aid</w:t>
      </w:r>
    </w:p>
    <w:p w14:paraId="0DDB3A43" w14:textId="3C9214F7" w:rsidR="00732AD5" w:rsidRPr="009130E5" w:rsidRDefault="00B105C0" w:rsidP="009130E5">
      <w:pPr>
        <w:tabs>
          <w:tab w:val="left" w:pos="789"/>
        </w:tabs>
        <w:jc w:val="center"/>
        <w:rPr>
          <w:rFonts w:ascii="Verdana" w:hAnsi="Verdana"/>
          <w:sz w:val="28"/>
          <w:szCs w:val="28"/>
        </w:rPr>
        <w:sectPr w:rsidR="00732AD5" w:rsidRPr="009130E5" w:rsidSect="003448C9">
          <w:headerReference w:type="default" r:id="rId11"/>
          <w:footerReference w:type="default" r:id="rId12"/>
          <w:head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Verdana" w:hAnsi="Verdana"/>
          <w:sz w:val="28"/>
          <w:szCs w:val="28"/>
        </w:rPr>
        <w:t>June</w:t>
      </w:r>
      <w:r w:rsidR="004D4ADF" w:rsidRPr="009130E5">
        <w:rPr>
          <w:rFonts w:ascii="Verdana" w:hAnsi="Verdana"/>
          <w:sz w:val="28"/>
          <w:szCs w:val="28"/>
        </w:rPr>
        <w:t xml:space="preserve"> 202</w:t>
      </w:r>
      <w:r w:rsidR="000166C4">
        <w:rPr>
          <w:rFonts w:ascii="Verdana" w:hAnsi="Verdana"/>
          <w:sz w:val="28"/>
          <w:szCs w:val="28"/>
        </w:rPr>
        <w:t>4</w:t>
      </w:r>
    </w:p>
    <w:p w14:paraId="242D2F6C" w14:textId="23DA5660" w:rsidR="004E750A" w:rsidRPr="004E750A" w:rsidRDefault="004E750A" w:rsidP="00D001A8">
      <w:pPr>
        <w:pStyle w:val="VBAILTBody"/>
      </w:pPr>
      <w:r>
        <w:lastRenderedPageBreak/>
        <w:t xml:space="preserve">This job aid describes the steps for performing </w:t>
      </w:r>
      <w:r w:rsidR="00D45F61">
        <w:t>upfront verification</w:t>
      </w:r>
      <w:r>
        <w:t>. For more information</w:t>
      </w:r>
      <w:r w:rsidR="00D45F61">
        <w:t>,</w:t>
      </w:r>
      <w:r>
        <w:t xml:space="preserve"> refer to</w:t>
      </w:r>
      <w:r w:rsidR="00D001A8">
        <w:t xml:space="preserve"> M21-1 XIV.4.A.1.d.</w:t>
      </w:r>
      <w:r>
        <w:t>(</w:t>
      </w:r>
      <w:r w:rsidRPr="004E750A">
        <w:t>Upfront Verification</w:t>
      </w:r>
      <w:r>
        <w:t>)</w:t>
      </w:r>
      <w:r w:rsidR="00184F64">
        <w:t xml:space="preserve"> and M21-1 </w:t>
      </w:r>
      <w:r w:rsidR="00426485">
        <w:t>I</w:t>
      </w:r>
      <w:r w:rsidR="005623FA">
        <w:t>X</w:t>
      </w:r>
      <w:r w:rsidR="00184F64">
        <w:t>.iii.1.A.2.e</w:t>
      </w:r>
      <w:r>
        <w:t>.</w:t>
      </w:r>
      <w:r w:rsidR="005B4850">
        <w:t xml:space="preserve"> (Analyzing FTI)</w:t>
      </w:r>
      <w:r w:rsidR="00580DFD">
        <w:t>.</w:t>
      </w:r>
    </w:p>
    <w:p w14:paraId="141F49C4" w14:textId="6A182F3B" w:rsidR="00C21E36" w:rsidRPr="00C214A9" w:rsidRDefault="002F1AC0" w:rsidP="00C21E36">
      <w:pPr>
        <w:pStyle w:val="VBAILTHeading2"/>
      </w:pPr>
      <w:r>
        <w:t>P</w:t>
      </w:r>
      <w:r w:rsidR="00B47835">
        <w:t xml:space="preserve">erform </w:t>
      </w:r>
      <w:r w:rsidR="00BA77C6">
        <w:t>Upfront V</w:t>
      </w:r>
      <w:r w:rsidR="00D45F61">
        <w:t>erification</w:t>
      </w:r>
    </w:p>
    <w:tbl>
      <w:tblPr>
        <w:tblStyle w:val="TableGrid"/>
        <w:tblW w:w="12955" w:type="dxa"/>
        <w:tblLayout w:type="fixed"/>
        <w:tblLook w:val="04A0" w:firstRow="1" w:lastRow="0" w:firstColumn="1" w:lastColumn="0" w:noHBand="0" w:noVBand="1"/>
        <w:tblCaption w:val="Performing upfront verification"/>
        <w:tblDescription w:val="Steps list for performing upfront verification. Left column is Steps and right column is details of each step."/>
      </w:tblPr>
      <w:tblGrid>
        <w:gridCol w:w="2605"/>
        <w:gridCol w:w="10350"/>
      </w:tblGrid>
      <w:tr w:rsidR="00C21E36" w14:paraId="1FF0CC8A" w14:textId="77777777" w:rsidTr="002F1AC0">
        <w:trPr>
          <w:cantSplit/>
          <w:tblHeader/>
        </w:trPr>
        <w:tc>
          <w:tcPr>
            <w:tcW w:w="2605" w:type="dxa"/>
            <w:shd w:val="clear" w:color="auto" w:fill="BDD6EE" w:themeFill="accent1" w:themeFillTint="66"/>
          </w:tcPr>
          <w:p w14:paraId="0F5D94E9" w14:textId="632B89D0" w:rsidR="00C21E36" w:rsidRDefault="005108CE" w:rsidP="00E02F12">
            <w:pPr>
              <w:pStyle w:val="VBAILTTableHeading1"/>
            </w:pPr>
            <w:r>
              <w:t>Steps</w:t>
            </w:r>
          </w:p>
        </w:tc>
        <w:tc>
          <w:tcPr>
            <w:tcW w:w="10350" w:type="dxa"/>
            <w:shd w:val="clear" w:color="auto" w:fill="BDD6EE" w:themeFill="accent1" w:themeFillTint="66"/>
          </w:tcPr>
          <w:p w14:paraId="142664AC" w14:textId="29A1089B" w:rsidR="00C21E36" w:rsidRDefault="00C21E36" w:rsidP="005108CE">
            <w:pPr>
              <w:pStyle w:val="VBAILTTableHeading1"/>
            </w:pPr>
            <w:r>
              <w:t>De</w:t>
            </w:r>
            <w:r w:rsidR="005108CE">
              <w:t>tails</w:t>
            </w:r>
          </w:p>
        </w:tc>
      </w:tr>
      <w:tr w:rsidR="006E1045" w14:paraId="12B0C270" w14:textId="77777777" w:rsidTr="002F1AC0">
        <w:trPr>
          <w:cantSplit/>
        </w:trPr>
        <w:tc>
          <w:tcPr>
            <w:tcW w:w="2605" w:type="dxa"/>
          </w:tcPr>
          <w:p w14:paraId="7096CF5B" w14:textId="6D34E351" w:rsidR="006E1045" w:rsidRPr="002F1AC0" w:rsidRDefault="005108CE" w:rsidP="00B47835">
            <w:pPr>
              <w:pStyle w:val="VBAILTBody"/>
              <w:rPr>
                <w:b/>
              </w:rPr>
            </w:pPr>
            <w:r w:rsidRPr="002F1AC0">
              <w:rPr>
                <w:b/>
              </w:rPr>
              <w:t>Step 1</w:t>
            </w:r>
            <w:r w:rsidR="000A43C7" w:rsidRPr="002F1AC0">
              <w:rPr>
                <w:b/>
              </w:rPr>
              <w:t>—</w:t>
            </w:r>
            <w:r w:rsidR="00B47835" w:rsidRPr="002F1AC0">
              <w:rPr>
                <w:b/>
              </w:rPr>
              <w:t>Access SHARE</w:t>
            </w:r>
            <w:r w:rsidR="005E6A13" w:rsidRPr="002F1AC0">
              <w:rPr>
                <w:b/>
              </w:rPr>
              <w:t xml:space="preserve"> </w:t>
            </w:r>
          </w:p>
        </w:tc>
        <w:tc>
          <w:tcPr>
            <w:tcW w:w="10350" w:type="dxa"/>
          </w:tcPr>
          <w:p w14:paraId="649DBEE2" w14:textId="77777777" w:rsidR="000A43C7" w:rsidRDefault="00B47835" w:rsidP="0036345D">
            <w:pPr>
              <w:pStyle w:val="VBAILTBody"/>
            </w:pPr>
            <w:r>
              <w:t xml:space="preserve">Access the </w:t>
            </w:r>
            <w:r w:rsidR="007B4971" w:rsidRPr="007B4971">
              <w:t>Corporate&gt;Claims/Denials&gt;Benefit Claim Information (for desired EP)</w:t>
            </w:r>
          </w:p>
        </w:tc>
      </w:tr>
      <w:tr w:rsidR="00251E7C" w14:paraId="2DE98935" w14:textId="77777777" w:rsidTr="002F1AC0">
        <w:trPr>
          <w:cantSplit/>
        </w:trPr>
        <w:tc>
          <w:tcPr>
            <w:tcW w:w="2605" w:type="dxa"/>
          </w:tcPr>
          <w:p w14:paraId="6DBB604C" w14:textId="0D25F13B" w:rsidR="00251E7C" w:rsidRPr="002F1AC0" w:rsidRDefault="00251E7C" w:rsidP="00B47835">
            <w:pPr>
              <w:pStyle w:val="VBAILTBody"/>
              <w:rPr>
                <w:b/>
              </w:rPr>
            </w:pPr>
            <w:r w:rsidRPr="002F1AC0">
              <w:rPr>
                <w:b/>
              </w:rPr>
              <w:t>Step 2—</w:t>
            </w:r>
            <w:r w:rsidR="00B47835" w:rsidRPr="002F1AC0">
              <w:rPr>
                <w:b/>
              </w:rPr>
              <w:t>Check IRS tab</w:t>
            </w:r>
          </w:p>
        </w:tc>
        <w:tc>
          <w:tcPr>
            <w:tcW w:w="10350" w:type="dxa"/>
          </w:tcPr>
          <w:p w14:paraId="3E1D5DE4" w14:textId="569B3BED" w:rsidR="00B47835" w:rsidRDefault="00B47835" w:rsidP="00251E7C">
            <w:pPr>
              <w:pStyle w:val="VBAILTBody"/>
            </w:pPr>
            <w:r w:rsidRPr="00B47835">
              <w:t xml:space="preserve">Check IRS tab for FTI listed benefit information. </w:t>
            </w:r>
            <w:r w:rsidR="002F1AC0">
              <w:t xml:space="preserve">Once the </w:t>
            </w:r>
            <w:r w:rsidR="00347C94">
              <w:t xml:space="preserve">claim has been </w:t>
            </w:r>
            <w:proofErr w:type="spellStart"/>
            <w:r>
              <w:t>CESTed</w:t>
            </w:r>
            <w:proofErr w:type="spellEnd"/>
            <w:r>
              <w:t>,</w:t>
            </w:r>
            <w:r w:rsidR="00347C94">
              <w:t xml:space="preserve"> the IRS has a set time allowed to provide the information.</w:t>
            </w:r>
          </w:p>
          <w:p w14:paraId="486A37C0" w14:textId="4A1C78B4" w:rsidR="00251E7C" w:rsidRPr="009D604D" w:rsidRDefault="00B47835" w:rsidP="00251E7C">
            <w:pPr>
              <w:pStyle w:val="VBAILTBody"/>
            </w:pPr>
            <w:r>
              <w:rPr>
                <w:rStyle w:val="Strong"/>
              </w:rPr>
              <w:t>NOTE:</w:t>
            </w:r>
            <w:r>
              <w:t xml:space="preserve"> If information is not received within the time allowed, proceed without the information</w:t>
            </w:r>
            <w:r w:rsidR="007B4971">
              <w:t xml:space="preserve"> and annotate accordingly</w:t>
            </w:r>
            <w:r>
              <w:t>.</w:t>
            </w:r>
            <w:r w:rsidR="00400292" w:rsidRPr="00E41953">
              <w:rPr>
                <w:b/>
                <w:bCs/>
              </w:rPr>
              <w:t xml:space="preserve"> </w:t>
            </w:r>
            <w:r w:rsidR="00400292" w:rsidRPr="00400292">
              <w:rPr>
                <w:b/>
                <w:bCs/>
              </w:rPr>
              <w:t xml:space="preserve">Do not use the IRS/SSA return data for </w:t>
            </w:r>
            <w:proofErr w:type="gramStart"/>
            <w:r w:rsidR="00400292" w:rsidRPr="00400292">
              <w:rPr>
                <w:b/>
                <w:bCs/>
              </w:rPr>
              <w:t>an end product</w:t>
            </w:r>
            <w:proofErr w:type="gramEnd"/>
            <w:r w:rsidR="00400292" w:rsidRPr="00400292">
              <w:rPr>
                <w:b/>
                <w:bCs/>
              </w:rPr>
              <w:t xml:space="preserve"> 040 that was previously denied for service-connected death or DIC</w:t>
            </w:r>
            <w:r w:rsidR="00400292" w:rsidRPr="00E41953">
              <w:t>.</w:t>
            </w:r>
          </w:p>
        </w:tc>
      </w:tr>
      <w:tr w:rsidR="00C21E36" w14:paraId="21E17DB4" w14:textId="77777777" w:rsidTr="002F1AC0">
        <w:trPr>
          <w:cantSplit/>
        </w:trPr>
        <w:tc>
          <w:tcPr>
            <w:tcW w:w="2605" w:type="dxa"/>
          </w:tcPr>
          <w:p w14:paraId="73E38A7E" w14:textId="05B7997C" w:rsidR="00C21E36" w:rsidRPr="002F1AC0" w:rsidRDefault="000A43C7" w:rsidP="00B47835">
            <w:pPr>
              <w:pStyle w:val="VBAILTBody"/>
              <w:rPr>
                <w:b/>
              </w:rPr>
            </w:pPr>
            <w:r w:rsidRPr="002F1AC0">
              <w:rPr>
                <w:b/>
              </w:rPr>
              <w:t xml:space="preserve">Step </w:t>
            </w:r>
            <w:r w:rsidR="00251E7C" w:rsidRPr="002F1AC0">
              <w:rPr>
                <w:b/>
              </w:rPr>
              <w:t>3</w:t>
            </w:r>
            <w:r w:rsidRPr="002F1AC0">
              <w:rPr>
                <w:b/>
              </w:rPr>
              <w:t>—</w:t>
            </w:r>
            <w:r w:rsidR="00B47835" w:rsidRPr="002F1AC0">
              <w:rPr>
                <w:b/>
              </w:rPr>
              <w:t>Determine Unearned Income</w:t>
            </w:r>
          </w:p>
        </w:tc>
        <w:tc>
          <w:tcPr>
            <w:tcW w:w="10350" w:type="dxa"/>
          </w:tcPr>
          <w:p w14:paraId="674E74A2" w14:textId="2DA43351" w:rsidR="002F1AC0" w:rsidRDefault="00B47835" w:rsidP="002F1AC0">
            <w:pPr>
              <w:pStyle w:val="VBAILTBody"/>
              <w:numPr>
                <w:ilvl w:val="0"/>
                <w:numId w:val="27"/>
              </w:numPr>
            </w:pPr>
            <w:r w:rsidRPr="00B47835">
              <w:t xml:space="preserve">Determine unearned income information provided by the IRS. All income must be both countable and dated within the previous year of the </w:t>
            </w:r>
            <w:proofErr w:type="spellStart"/>
            <w:r w:rsidRPr="00B47835">
              <w:t>CESTed</w:t>
            </w:r>
            <w:proofErr w:type="spellEnd"/>
            <w:r w:rsidRPr="00B47835">
              <w:t xml:space="preserve"> date (e.g., </w:t>
            </w:r>
            <w:r w:rsidR="00D45F61">
              <w:t>i</w:t>
            </w:r>
            <w:r w:rsidR="00D45F61" w:rsidRPr="00B47835">
              <w:t xml:space="preserve">f </w:t>
            </w:r>
            <w:r w:rsidRPr="00B47835">
              <w:t>the CEST date was in 20</w:t>
            </w:r>
            <w:r w:rsidR="00B961B7">
              <w:t>20</w:t>
            </w:r>
            <w:r w:rsidRPr="00B47835">
              <w:t>, view only 20</w:t>
            </w:r>
            <w:r w:rsidR="00B961B7">
              <w:t>19</w:t>
            </w:r>
            <w:r w:rsidRPr="00B47835">
              <w:t xml:space="preserve"> income). </w:t>
            </w:r>
          </w:p>
          <w:p w14:paraId="5BD725DF" w14:textId="47DD5A0C" w:rsidR="00B47835" w:rsidRDefault="00B47835" w:rsidP="002F1AC0">
            <w:pPr>
              <w:pStyle w:val="VBAILTBody"/>
              <w:numPr>
                <w:ilvl w:val="0"/>
                <w:numId w:val="27"/>
              </w:numPr>
            </w:pPr>
            <w:r w:rsidRPr="00B47835">
              <w:t xml:space="preserve">Determine countable income by doing the following: </w:t>
            </w:r>
          </w:p>
          <w:p w14:paraId="53C123DA" w14:textId="7B79EE5B" w:rsidR="0074432F" w:rsidRDefault="00B47835" w:rsidP="002F1AC0">
            <w:pPr>
              <w:pStyle w:val="VBAILTBullet2"/>
            </w:pPr>
            <w:r>
              <w:t>Match</w:t>
            </w:r>
            <w:r w:rsidRPr="006C4201">
              <w:t xml:space="preserve"> the source of income and the income types on the IRS SHARE screen to the source of income and the income types listed on the</w:t>
            </w:r>
            <w:r w:rsidR="004D4ADF">
              <w:t xml:space="preserve"> FTI Income Reference Spreadsheet located on the Pension and </w:t>
            </w:r>
            <w:r w:rsidR="00426485">
              <w:t>Fiduciary</w:t>
            </w:r>
            <w:r w:rsidR="004D4ADF">
              <w:t xml:space="preserve"> Service homepage.</w:t>
            </w:r>
            <w:r w:rsidRPr="006C4201">
              <w:t xml:space="preserve"> Determine whether the source of income and the type of income reported in the IRS screen is countable for purposes of income verification by using the</w:t>
            </w:r>
            <w:r w:rsidR="004D4ADF">
              <w:t xml:space="preserve"> FTI Income Reference Spreadsheet.</w:t>
            </w:r>
            <w:r w:rsidRPr="006C4201">
              <w:t xml:space="preserve"> </w:t>
            </w:r>
          </w:p>
          <w:p w14:paraId="7B450519" w14:textId="0D12C85B" w:rsidR="008A6B86" w:rsidRDefault="008A6B86" w:rsidP="005B4850">
            <w:pPr>
              <w:pStyle w:val="VBAILTBullet2"/>
            </w:pPr>
            <w:r>
              <w:t>Social Security income should be verified through the Social Security data exchange in Share/VBMS.</w:t>
            </w:r>
            <w:r w:rsidR="005B4850">
              <w:t xml:space="preserve"> Refer to M21-1 IX.iii.1.A.2.f.</w:t>
            </w:r>
          </w:p>
        </w:tc>
      </w:tr>
      <w:tr w:rsidR="005E6A13" w14:paraId="0C1F3C21" w14:textId="77777777" w:rsidTr="002F1AC0">
        <w:trPr>
          <w:cantSplit/>
        </w:trPr>
        <w:tc>
          <w:tcPr>
            <w:tcW w:w="2605" w:type="dxa"/>
          </w:tcPr>
          <w:p w14:paraId="10DB458B" w14:textId="32AE1E6A" w:rsidR="005E6A13" w:rsidRPr="002F1AC0" w:rsidRDefault="005E6A13" w:rsidP="00B80129">
            <w:pPr>
              <w:pStyle w:val="VBAILTBody"/>
              <w:rPr>
                <w:b/>
              </w:rPr>
            </w:pPr>
            <w:r w:rsidRPr="002F1AC0">
              <w:rPr>
                <w:b/>
              </w:rPr>
              <w:lastRenderedPageBreak/>
              <w:t xml:space="preserve">Step </w:t>
            </w:r>
            <w:r w:rsidR="00B80129" w:rsidRPr="002F1AC0">
              <w:rPr>
                <w:b/>
              </w:rPr>
              <w:t>4</w:t>
            </w:r>
            <w:r w:rsidR="00132228" w:rsidRPr="002F1AC0">
              <w:rPr>
                <w:b/>
              </w:rPr>
              <w:t>—</w:t>
            </w:r>
            <w:r w:rsidR="00B80129" w:rsidRPr="002F1AC0">
              <w:rPr>
                <w:b/>
              </w:rPr>
              <w:t>Check SSA tab</w:t>
            </w:r>
          </w:p>
        </w:tc>
        <w:tc>
          <w:tcPr>
            <w:tcW w:w="10350" w:type="dxa"/>
          </w:tcPr>
          <w:p w14:paraId="1664C458" w14:textId="6E4F8F29" w:rsidR="00B80129" w:rsidRDefault="00B80129" w:rsidP="00B80129">
            <w:pPr>
              <w:pStyle w:val="VBAILTBody"/>
              <w:rPr>
                <w:rStyle w:val="Strong"/>
                <w:b w:val="0"/>
                <w:bCs w:val="0"/>
              </w:rPr>
            </w:pPr>
            <w:r w:rsidRPr="006C4201">
              <w:rPr>
                <w:rStyle w:val="Strong"/>
                <w:b w:val="0"/>
                <w:bCs w:val="0"/>
              </w:rPr>
              <w:t>Check SSA tab for FTI listed benefit information.</w:t>
            </w:r>
            <w:r>
              <w:rPr>
                <w:rStyle w:val="Strong"/>
                <w:b w:val="0"/>
                <w:bCs w:val="0"/>
              </w:rPr>
              <w:t xml:space="preserve"> </w:t>
            </w:r>
            <w:r w:rsidR="002F1AC0">
              <w:t xml:space="preserve">Once the </w:t>
            </w:r>
            <w:r w:rsidR="00347C94">
              <w:t xml:space="preserve">claim has been </w:t>
            </w:r>
            <w:proofErr w:type="spellStart"/>
            <w:r>
              <w:t>CESTed</w:t>
            </w:r>
            <w:proofErr w:type="spellEnd"/>
            <w:r>
              <w:t>,</w:t>
            </w:r>
            <w:r w:rsidR="00347C94">
              <w:t xml:space="preserve"> the SSA has a set time allowed </w:t>
            </w:r>
            <w:r>
              <w:t>to provide the infor</w:t>
            </w:r>
            <w:r w:rsidR="00347C94">
              <w:t>mation.</w:t>
            </w:r>
          </w:p>
          <w:p w14:paraId="4707AA5B" w14:textId="43F0E5C5" w:rsidR="005E6A13" w:rsidRDefault="00B80129" w:rsidP="001B234E">
            <w:pPr>
              <w:pStyle w:val="VBAILTBody"/>
            </w:pPr>
            <w:r>
              <w:rPr>
                <w:rStyle w:val="Strong"/>
              </w:rPr>
              <w:t>NOTE:</w:t>
            </w:r>
            <w:r>
              <w:t xml:space="preserve"> If information is not received within the time allowed, proceed without the information.</w:t>
            </w:r>
            <w:r w:rsidR="00E41953">
              <w:t xml:space="preserve"> </w:t>
            </w:r>
          </w:p>
        </w:tc>
      </w:tr>
      <w:tr w:rsidR="00500068" w14:paraId="4506F49F" w14:textId="77777777" w:rsidTr="002F1AC0">
        <w:trPr>
          <w:cantSplit/>
        </w:trPr>
        <w:tc>
          <w:tcPr>
            <w:tcW w:w="2605" w:type="dxa"/>
          </w:tcPr>
          <w:p w14:paraId="4D23C3DD" w14:textId="090C9A01" w:rsidR="00500068" w:rsidRDefault="00500068" w:rsidP="002F1AC0">
            <w:pPr>
              <w:pStyle w:val="VBAILTBodyStrong"/>
            </w:pPr>
            <w:r>
              <w:t>Step 5—</w:t>
            </w:r>
            <w:r w:rsidR="00B80129">
              <w:t>Determine Earned Income</w:t>
            </w:r>
            <w:r>
              <w:t xml:space="preserve"> </w:t>
            </w:r>
          </w:p>
        </w:tc>
        <w:tc>
          <w:tcPr>
            <w:tcW w:w="10350" w:type="dxa"/>
          </w:tcPr>
          <w:p w14:paraId="437CE012" w14:textId="097CE85B" w:rsidR="00B80129" w:rsidRDefault="00B80129" w:rsidP="00500068">
            <w:pPr>
              <w:pStyle w:val="VBAILTBody"/>
            </w:pPr>
            <w:r w:rsidRPr="00B80129">
              <w:t xml:space="preserve">Determine earned income information provided by SSA. All income must be both countable and dated within the previous year of the </w:t>
            </w:r>
            <w:proofErr w:type="spellStart"/>
            <w:r w:rsidRPr="00B80129">
              <w:t>CESTed</w:t>
            </w:r>
            <w:proofErr w:type="spellEnd"/>
            <w:r w:rsidRPr="00B80129">
              <w:t xml:space="preserve"> date (e.g.</w:t>
            </w:r>
            <w:r w:rsidR="00347C94">
              <w:t>,</w:t>
            </w:r>
            <w:r w:rsidRPr="00B80129">
              <w:t xml:space="preserve"> </w:t>
            </w:r>
            <w:r w:rsidR="00D45F61">
              <w:t>i</w:t>
            </w:r>
            <w:r w:rsidR="00D45F61" w:rsidRPr="00B80129">
              <w:t xml:space="preserve">f </w:t>
            </w:r>
            <w:r w:rsidRPr="00B80129">
              <w:t>the CEST date was in 20</w:t>
            </w:r>
            <w:r w:rsidR="008305F1">
              <w:t>20</w:t>
            </w:r>
            <w:r w:rsidRPr="00B80129">
              <w:t>, view only 20</w:t>
            </w:r>
            <w:r w:rsidR="008305F1">
              <w:t>19</w:t>
            </w:r>
            <w:r w:rsidRPr="00B80129">
              <w:t xml:space="preserve"> income). </w:t>
            </w:r>
          </w:p>
          <w:p w14:paraId="701DDF28" w14:textId="28ACE5DC" w:rsidR="00500068" w:rsidRDefault="00B80129" w:rsidP="00500068">
            <w:pPr>
              <w:pStyle w:val="VBAILTBody"/>
            </w:pPr>
            <w:r w:rsidRPr="00B80129">
              <w:rPr>
                <w:b/>
              </w:rPr>
              <w:t>NOTE:</w:t>
            </w:r>
            <w:r w:rsidRPr="00B80129">
              <w:t xml:space="preserve"> If SSA reports significant wages for the claimant in the most recent year, determine whether the claimant is still employed.</w:t>
            </w:r>
          </w:p>
        </w:tc>
      </w:tr>
      <w:tr w:rsidR="00500068" w14:paraId="077D3D5A" w14:textId="77777777" w:rsidTr="002F1AC0">
        <w:trPr>
          <w:cantSplit/>
        </w:trPr>
        <w:tc>
          <w:tcPr>
            <w:tcW w:w="2605" w:type="dxa"/>
          </w:tcPr>
          <w:p w14:paraId="02A6D3E1" w14:textId="34931ED0" w:rsidR="00500068" w:rsidRDefault="002F1AC0" w:rsidP="002F1AC0">
            <w:pPr>
              <w:pStyle w:val="VBAILTBodyStrong"/>
            </w:pPr>
            <w:r>
              <w:t>Step 6—</w:t>
            </w:r>
            <w:r w:rsidR="00B80129">
              <w:t xml:space="preserve">Add IRS and SSA </w:t>
            </w:r>
          </w:p>
        </w:tc>
        <w:tc>
          <w:tcPr>
            <w:tcW w:w="10350" w:type="dxa"/>
          </w:tcPr>
          <w:p w14:paraId="551AFD88" w14:textId="3FAD0B6F" w:rsidR="00500068" w:rsidRDefault="00B80129" w:rsidP="00500068">
            <w:pPr>
              <w:pStyle w:val="VBAILTBody"/>
            </w:pPr>
            <w:r>
              <w:t>Add the IRS and SSA benefit information that is countable for purposes of upfront verification determined in steps 3 and 5.</w:t>
            </w:r>
          </w:p>
        </w:tc>
      </w:tr>
      <w:tr w:rsidR="007B4971" w14:paraId="70F5C289" w14:textId="77777777" w:rsidTr="002F1AC0">
        <w:trPr>
          <w:cantSplit/>
        </w:trPr>
        <w:tc>
          <w:tcPr>
            <w:tcW w:w="2605" w:type="dxa"/>
          </w:tcPr>
          <w:p w14:paraId="58A7FA6D" w14:textId="32B797F4" w:rsidR="007B4971" w:rsidRDefault="007B4971" w:rsidP="007B4971">
            <w:pPr>
              <w:pStyle w:val="VBAILTBodyStrong"/>
            </w:pPr>
            <w:r>
              <w:t>Step 7—Subtract Medical Expenses</w:t>
            </w:r>
          </w:p>
        </w:tc>
        <w:tc>
          <w:tcPr>
            <w:tcW w:w="10350" w:type="dxa"/>
          </w:tcPr>
          <w:p w14:paraId="3F3F0D80" w14:textId="783931F3" w:rsidR="007B4971" w:rsidRDefault="007B4971" w:rsidP="00500068">
            <w:pPr>
              <w:pStyle w:val="VBAILTBody"/>
            </w:pPr>
            <w:r>
              <w:t>Subtr</w:t>
            </w:r>
            <w:r w:rsidR="00542B5C">
              <w:t>act the totaled medical expense amount</w:t>
            </w:r>
            <w:r>
              <w:t xml:space="preserve"> to acquire the upfront verification IVAP.</w:t>
            </w:r>
          </w:p>
        </w:tc>
      </w:tr>
      <w:tr w:rsidR="00500068" w14:paraId="4C3E0CF6" w14:textId="77777777" w:rsidTr="002F1AC0">
        <w:trPr>
          <w:cantSplit/>
        </w:trPr>
        <w:tc>
          <w:tcPr>
            <w:tcW w:w="2605" w:type="dxa"/>
          </w:tcPr>
          <w:p w14:paraId="5C117463" w14:textId="163F723F" w:rsidR="00500068" w:rsidRDefault="00500068" w:rsidP="007B4971">
            <w:pPr>
              <w:pStyle w:val="VBAILTBodyStrong"/>
            </w:pPr>
            <w:r>
              <w:t xml:space="preserve">Step </w:t>
            </w:r>
            <w:r w:rsidR="007B4971">
              <w:t>8</w:t>
            </w:r>
            <w:r>
              <w:t>—</w:t>
            </w:r>
            <w:r w:rsidR="00B80129">
              <w:t>Calculate IVAP</w:t>
            </w:r>
            <w:r>
              <w:t xml:space="preserve"> </w:t>
            </w:r>
          </w:p>
        </w:tc>
        <w:tc>
          <w:tcPr>
            <w:tcW w:w="10350" w:type="dxa"/>
          </w:tcPr>
          <w:p w14:paraId="24AAEC75" w14:textId="2A305829" w:rsidR="00500068" w:rsidRDefault="00B80129" w:rsidP="00B80129">
            <w:pPr>
              <w:pStyle w:val="VBAILTBody"/>
            </w:pPr>
            <w:r>
              <w:t>Calculate the Income for VA Purposes (IVAP) using the countable income reported on the claimant’s application</w:t>
            </w:r>
            <w:r w:rsidR="008A6B86">
              <w:t xml:space="preserve"> and the Social Security income verified through the Social Security data exchange in Share/VBMS.</w:t>
            </w:r>
            <w:r w:rsidR="005B4850">
              <w:t xml:space="preserve"> </w:t>
            </w:r>
            <w:r w:rsidR="005B4850" w:rsidRPr="005B4850">
              <w:t>Refer to M21-1 IX.iii.1.A.2.f.</w:t>
            </w:r>
          </w:p>
        </w:tc>
      </w:tr>
      <w:tr w:rsidR="00B80129" w14:paraId="3F29D92D" w14:textId="77777777" w:rsidTr="002F1AC0">
        <w:trPr>
          <w:cantSplit/>
        </w:trPr>
        <w:tc>
          <w:tcPr>
            <w:tcW w:w="2605" w:type="dxa"/>
          </w:tcPr>
          <w:p w14:paraId="37C0F76A" w14:textId="4D8DD8E6" w:rsidR="00B80129" w:rsidRDefault="00B80129" w:rsidP="007B4971">
            <w:pPr>
              <w:pStyle w:val="VBAILTBodyStrong"/>
            </w:pPr>
            <w:r>
              <w:t xml:space="preserve">Step </w:t>
            </w:r>
            <w:r w:rsidR="007B4971">
              <w:t>9</w:t>
            </w:r>
            <w:r>
              <w:t>—Compare Income</w:t>
            </w:r>
          </w:p>
        </w:tc>
        <w:tc>
          <w:tcPr>
            <w:tcW w:w="10350" w:type="dxa"/>
          </w:tcPr>
          <w:p w14:paraId="00E07D0C" w14:textId="1E74C395" w:rsidR="00B80129" w:rsidRDefault="00B80129" w:rsidP="00D45F61">
            <w:pPr>
              <w:pStyle w:val="VBAILTBody"/>
            </w:pPr>
            <w:r>
              <w:t xml:space="preserve">Compare the IRS and SSA income sums determined in step 6 to the application income sum determined in step </w:t>
            </w:r>
            <w:r w:rsidR="008A6B86">
              <w:t>8</w:t>
            </w:r>
            <w:r>
              <w:t xml:space="preserve"> and take the higher income (e.g.</w:t>
            </w:r>
            <w:r w:rsidR="00347C94">
              <w:t>,</w:t>
            </w:r>
            <w:r>
              <w:t xml:space="preserve"> </w:t>
            </w:r>
            <w:r w:rsidR="00D45F61">
              <w:t xml:space="preserve">if </w:t>
            </w:r>
            <w:r>
              <w:t>the IRS and SSA income is $1</w:t>
            </w:r>
            <w:r w:rsidR="00D45F61">
              <w:t>,</w:t>
            </w:r>
            <w:r>
              <w:t>250 and the application shows $1</w:t>
            </w:r>
            <w:r w:rsidR="00D45F61">
              <w:t>,</w:t>
            </w:r>
            <w:r>
              <w:t>000</w:t>
            </w:r>
            <w:r w:rsidR="00D45F61">
              <w:t xml:space="preserve">, </w:t>
            </w:r>
            <w:r>
              <w:t>the higher income would be $1</w:t>
            </w:r>
            <w:r w:rsidR="00D45F61">
              <w:t>,</w:t>
            </w:r>
            <w:r>
              <w:t>250).</w:t>
            </w:r>
          </w:p>
        </w:tc>
      </w:tr>
    </w:tbl>
    <w:p w14:paraId="4CBCC00B" w14:textId="70B10D2B" w:rsidR="00F03064" w:rsidRPr="00F03064" w:rsidRDefault="00F03064" w:rsidP="00347C94">
      <w:pPr>
        <w:pStyle w:val="VBAILTBody"/>
      </w:pPr>
    </w:p>
    <w:sectPr w:rsidR="00F03064" w:rsidRPr="00F03064" w:rsidSect="003448C9">
      <w:head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CB094" w14:textId="77777777" w:rsidR="00C62C25" w:rsidRDefault="00C62C25" w:rsidP="00C214A9">
      <w:pPr>
        <w:spacing w:after="0" w:line="240" w:lineRule="auto"/>
      </w:pPr>
      <w:r>
        <w:separator/>
      </w:r>
    </w:p>
  </w:endnote>
  <w:endnote w:type="continuationSeparator" w:id="0">
    <w:p w14:paraId="250F86D6" w14:textId="77777777" w:rsidR="00C62C25" w:rsidRDefault="00C62C25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8438A" w14:textId="60BDC507" w:rsidR="00C310D8" w:rsidRDefault="00B105C0" w:rsidP="00347C94">
    <w:pPr>
      <w:pStyle w:val="VBAILTFooter"/>
      <w:tabs>
        <w:tab w:val="clear" w:pos="9360"/>
        <w:tab w:val="right" w:pos="12960"/>
      </w:tabs>
    </w:pPr>
    <w:r>
      <w:t>June</w:t>
    </w:r>
    <w:r w:rsidR="004D4ADF">
      <w:t xml:space="preserve"> 202</w:t>
    </w:r>
    <w:r w:rsidR="001E6D91">
      <w:t>4</w:t>
    </w:r>
    <w:r w:rsidR="00C310D8">
      <w:tab/>
    </w:r>
    <w:r w:rsidR="00C310D8" w:rsidRPr="00C214A9">
      <w:fldChar w:fldCharType="begin"/>
    </w:r>
    <w:r w:rsidR="00C310D8" w:rsidRPr="00C214A9">
      <w:instrText xml:space="preserve"> PAGE   \* MERGEFORMAT </w:instrText>
    </w:r>
    <w:r w:rsidR="00C310D8" w:rsidRPr="00C214A9">
      <w:fldChar w:fldCharType="separate"/>
    </w:r>
    <w:r w:rsidR="00BE184A" w:rsidRPr="00BE184A">
      <w:rPr>
        <w:b/>
        <w:bCs/>
        <w:noProof/>
      </w:rPr>
      <w:t>2</w:t>
    </w:r>
    <w:r w:rsidR="00C310D8" w:rsidRPr="00C214A9">
      <w:rPr>
        <w:b/>
        <w:bCs/>
        <w:noProof/>
      </w:rPr>
      <w:fldChar w:fldCharType="end"/>
    </w:r>
    <w:r w:rsidR="00C310D8" w:rsidRPr="00C214A9">
      <w:rPr>
        <w:b/>
        <w:bCs/>
      </w:rPr>
      <w:t xml:space="preserve"> </w:t>
    </w:r>
    <w:r w:rsidR="00C310D8" w:rsidRPr="00C214A9">
      <w:t>|</w:t>
    </w:r>
    <w:r w:rsidR="00C310D8" w:rsidRPr="00C214A9">
      <w:rPr>
        <w:b/>
        <w:bCs/>
      </w:rPr>
      <w:t xml:space="preserve"> </w:t>
    </w:r>
    <w:r w:rsidR="00C310D8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0557A" w14:textId="77777777" w:rsidR="00C62C25" w:rsidRDefault="00C62C25" w:rsidP="00C214A9">
      <w:pPr>
        <w:spacing w:after="0" w:line="240" w:lineRule="auto"/>
      </w:pPr>
      <w:r>
        <w:separator/>
      </w:r>
    </w:p>
  </w:footnote>
  <w:footnote w:type="continuationSeparator" w:id="0">
    <w:p w14:paraId="014CE52A" w14:textId="77777777" w:rsidR="00C62C25" w:rsidRDefault="00C62C25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7FE81" w14:textId="41725FF8" w:rsidR="00C310D8" w:rsidRPr="002D1DCE" w:rsidRDefault="00B47835" w:rsidP="000B1CB7">
    <w:pPr>
      <w:pStyle w:val="VBAILTHeader"/>
    </w:pPr>
    <w:r>
      <w:t xml:space="preserve">Upfront Verification </w:t>
    </w:r>
  </w:p>
  <w:p w14:paraId="75D2B5F4" w14:textId="0AB35ED4" w:rsidR="00C310D8" w:rsidRDefault="00B93224" w:rsidP="002F1AC0">
    <w:pPr>
      <w:pStyle w:val="VBAILTHeader"/>
      <w:pBdr>
        <w:bottom w:val="single" w:sz="4" w:space="2" w:color="auto"/>
      </w:pBdr>
    </w:pPr>
    <w:r>
      <w:t>Job Aid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7FE85" w14:textId="2DA56A28" w:rsidR="00C310D8" w:rsidRDefault="003448C9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DE63E0C" wp14:editId="238EC74D">
          <wp:simplePos x="0" y="0"/>
          <wp:positionH relativeFrom="column">
            <wp:posOffset>-914400</wp:posOffset>
          </wp:positionH>
          <wp:positionV relativeFrom="paragraph">
            <wp:posOffset>-461175</wp:posOffset>
          </wp:positionV>
          <wp:extent cx="7780020" cy="5836920"/>
          <wp:effectExtent l="0" t="0" r="0" b="0"/>
          <wp:wrapNone/>
          <wp:docPr id="4" name="Picture 4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4D174" w14:textId="77777777" w:rsidR="00732AD5" w:rsidRDefault="00732AD5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D241978" wp14:editId="02EB394F">
          <wp:simplePos x="0" y="0"/>
          <wp:positionH relativeFrom="column">
            <wp:posOffset>-906450</wp:posOffset>
          </wp:positionH>
          <wp:positionV relativeFrom="paragraph">
            <wp:posOffset>-449250</wp:posOffset>
          </wp:positionV>
          <wp:extent cx="10047169" cy="7537837"/>
          <wp:effectExtent l="0" t="0" r="0" b="6350"/>
          <wp:wrapNone/>
          <wp:docPr id="14" name="Picture 14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7169" cy="75378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73DB4"/>
    <w:multiLevelType w:val="hybridMultilevel"/>
    <w:tmpl w:val="D694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E6E20"/>
    <w:multiLevelType w:val="hybridMultilevel"/>
    <w:tmpl w:val="F4B684F0"/>
    <w:lvl w:ilvl="0" w:tplc="838AAF1E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321296"/>
    <w:multiLevelType w:val="multilevel"/>
    <w:tmpl w:val="76BC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06C23"/>
    <w:multiLevelType w:val="hybridMultilevel"/>
    <w:tmpl w:val="2C7ACBCC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E2FBA"/>
    <w:multiLevelType w:val="multilevel"/>
    <w:tmpl w:val="4832F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23F1F"/>
    <w:multiLevelType w:val="hybridMultilevel"/>
    <w:tmpl w:val="8F0E6FFE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7616B"/>
    <w:multiLevelType w:val="hybridMultilevel"/>
    <w:tmpl w:val="2462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ECC3A4D"/>
    <w:multiLevelType w:val="hybridMultilevel"/>
    <w:tmpl w:val="E5FCA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7F0A1D"/>
    <w:multiLevelType w:val="hybridMultilevel"/>
    <w:tmpl w:val="40242D76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44AFD"/>
    <w:multiLevelType w:val="hybridMultilevel"/>
    <w:tmpl w:val="2B6C5600"/>
    <w:lvl w:ilvl="0" w:tplc="A8F09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43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AA1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23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65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E62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C9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AC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EB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9C1597B"/>
    <w:multiLevelType w:val="hybridMultilevel"/>
    <w:tmpl w:val="01BC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05381"/>
    <w:multiLevelType w:val="multilevel"/>
    <w:tmpl w:val="7A3C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390D5C"/>
    <w:multiLevelType w:val="hybridMultilevel"/>
    <w:tmpl w:val="4DF07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145D56"/>
    <w:multiLevelType w:val="hybridMultilevel"/>
    <w:tmpl w:val="F2B22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0F768B"/>
    <w:multiLevelType w:val="hybridMultilevel"/>
    <w:tmpl w:val="E646A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E05EC"/>
    <w:multiLevelType w:val="multilevel"/>
    <w:tmpl w:val="ABF8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CC0615"/>
    <w:multiLevelType w:val="hybridMultilevel"/>
    <w:tmpl w:val="BEAA2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D5EC8"/>
    <w:multiLevelType w:val="hybridMultilevel"/>
    <w:tmpl w:val="81168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74186D"/>
    <w:multiLevelType w:val="multilevel"/>
    <w:tmpl w:val="9698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B86585"/>
    <w:multiLevelType w:val="hybridMultilevel"/>
    <w:tmpl w:val="E1063DCC"/>
    <w:lvl w:ilvl="0" w:tplc="3A846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00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28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01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A7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0C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20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4D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6A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C3B59D6"/>
    <w:multiLevelType w:val="multilevel"/>
    <w:tmpl w:val="55C0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9002D5"/>
    <w:multiLevelType w:val="hybridMultilevel"/>
    <w:tmpl w:val="AD4E35A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735602CD"/>
    <w:multiLevelType w:val="multilevel"/>
    <w:tmpl w:val="6028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A40D00"/>
    <w:multiLevelType w:val="hybridMultilevel"/>
    <w:tmpl w:val="D61A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974F3"/>
    <w:multiLevelType w:val="hybridMultilevel"/>
    <w:tmpl w:val="CBC4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582967">
    <w:abstractNumId w:val="1"/>
  </w:num>
  <w:num w:numId="2" w16cid:durableId="49153676">
    <w:abstractNumId w:val="7"/>
  </w:num>
  <w:num w:numId="3" w16cid:durableId="903872698">
    <w:abstractNumId w:val="13"/>
  </w:num>
  <w:num w:numId="4" w16cid:durableId="275334611">
    <w:abstractNumId w:val="18"/>
  </w:num>
  <w:num w:numId="5" w16cid:durableId="90201299">
    <w:abstractNumId w:val="0"/>
  </w:num>
  <w:num w:numId="6" w16cid:durableId="1955096459">
    <w:abstractNumId w:val="14"/>
  </w:num>
  <w:num w:numId="7" w16cid:durableId="349458451">
    <w:abstractNumId w:val="10"/>
  </w:num>
  <w:num w:numId="8" w16cid:durableId="1787698644">
    <w:abstractNumId w:val="11"/>
  </w:num>
  <w:num w:numId="9" w16cid:durableId="1123843480">
    <w:abstractNumId w:val="18"/>
  </w:num>
  <w:num w:numId="10" w16cid:durableId="283272114">
    <w:abstractNumId w:val="2"/>
  </w:num>
  <w:num w:numId="11" w16cid:durableId="1294214476">
    <w:abstractNumId w:val="25"/>
  </w:num>
  <w:num w:numId="12" w16cid:durableId="2000035019">
    <w:abstractNumId w:val="6"/>
  </w:num>
  <w:num w:numId="13" w16cid:durableId="2108503668">
    <w:abstractNumId w:val="22"/>
  </w:num>
  <w:num w:numId="14" w16cid:durableId="658390643">
    <w:abstractNumId w:val="20"/>
  </w:num>
  <w:num w:numId="15" w16cid:durableId="910584069">
    <w:abstractNumId w:val="24"/>
  </w:num>
  <w:num w:numId="16" w16cid:durableId="1346127434">
    <w:abstractNumId w:val="5"/>
  </w:num>
  <w:num w:numId="17" w16cid:durableId="639530731">
    <w:abstractNumId w:val="3"/>
  </w:num>
  <w:num w:numId="18" w16cid:durableId="1093625727">
    <w:abstractNumId w:val="9"/>
  </w:num>
  <w:num w:numId="19" w16cid:durableId="236286977">
    <w:abstractNumId w:val="15"/>
  </w:num>
  <w:num w:numId="20" w16cid:durableId="1924102857">
    <w:abstractNumId w:val="21"/>
  </w:num>
  <w:num w:numId="21" w16cid:durableId="792022298">
    <w:abstractNumId w:val="4"/>
  </w:num>
  <w:num w:numId="22" w16cid:durableId="443695368">
    <w:abstractNumId w:val="12"/>
  </w:num>
  <w:num w:numId="23" w16cid:durableId="310327110">
    <w:abstractNumId w:val="16"/>
  </w:num>
  <w:num w:numId="24" w16cid:durableId="1415787127">
    <w:abstractNumId w:val="19"/>
  </w:num>
  <w:num w:numId="25" w16cid:durableId="2095466734">
    <w:abstractNumId w:val="23"/>
  </w:num>
  <w:num w:numId="26" w16cid:durableId="1703169111">
    <w:abstractNumId w:val="17"/>
  </w:num>
  <w:num w:numId="27" w16cid:durableId="4077758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F1"/>
    <w:rsid w:val="00000DE2"/>
    <w:rsid w:val="00005B04"/>
    <w:rsid w:val="000108CF"/>
    <w:rsid w:val="00012148"/>
    <w:rsid w:val="000166C4"/>
    <w:rsid w:val="000238B5"/>
    <w:rsid w:val="0003215F"/>
    <w:rsid w:val="00040C79"/>
    <w:rsid w:val="0004215F"/>
    <w:rsid w:val="000425AA"/>
    <w:rsid w:val="00044177"/>
    <w:rsid w:val="00046868"/>
    <w:rsid w:val="00047608"/>
    <w:rsid w:val="000565F5"/>
    <w:rsid w:val="000571BF"/>
    <w:rsid w:val="00061335"/>
    <w:rsid w:val="00067C4C"/>
    <w:rsid w:val="000779BE"/>
    <w:rsid w:val="00077BE7"/>
    <w:rsid w:val="000A43C7"/>
    <w:rsid w:val="000A4B66"/>
    <w:rsid w:val="000A54F3"/>
    <w:rsid w:val="000B198E"/>
    <w:rsid w:val="000B1CB7"/>
    <w:rsid w:val="000B77A5"/>
    <w:rsid w:val="000F3DE0"/>
    <w:rsid w:val="000F6A22"/>
    <w:rsid w:val="000F7AFE"/>
    <w:rsid w:val="001014EF"/>
    <w:rsid w:val="00104968"/>
    <w:rsid w:val="00105E15"/>
    <w:rsid w:val="00110335"/>
    <w:rsid w:val="00114B51"/>
    <w:rsid w:val="00116035"/>
    <w:rsid w:val="00121205"/>
    <w:rsid w:val="001262F7"/>
    <w:rsid w:val="001314D3"/>
    <w:rsid w:val="0013179E"/>
    <w:rsid w:val="00132228"/>
    <w:rsid w:val="00135734"/>
    <w:rsid w:val="001435AF"/>
    <w:rsid w:val="00143788"/>
    <w:rsid w:val="00143CCF"/>
    <w:rsid w:val="00151235"/>
    <w:rsid w:val="0015330F"/>
    <w:rsid w:val="00154EF8"/>
    <w:rsid w:val="00157348"/>
    <w:rsid w:val="001573B5"/>
    <w:rsid w:val="001604CC"/>
    <w:rsid w:val="00170AE6"/>
    <w:rsid w:val="0017361D"/>
    <w:rsid w:val="00176879"/>
    <w:rsid w:val="001809E4"/>
    <w:rsid w:val="00183926"/>
    <w:rsid w:val="00184241"/>
    <w:rsid w:val="00184F64"/>
    <w:rsid w:val="00194ADF"/>
    <w:rsid w:val="00195225"/>
    <w:rsid w:val="0019576C"/>
    <w:rsid w:val="001967C8"/>
    <w:rsid w:val="00197C3F"/>
    <w:rsid w:val="001A0D8A"/>
    <w:rsid w:val="001A195A"/>
    <w:rsid w:val="001B234E"/>
    <w:rsid w:val="001B268A"/>
    <w:rsid w:val="001B3D91"/>
    <w:rsid w:val="001B59CD"/>
    <w:rsid w:val="001C4C67"/>
    <w:rsid w:val="001D02B4"/>
    <w:rsid w:val="001D2E6A"/>
    <w:rsid w:val="001D5A75"/>
    <w:rsid w:val="001D66B9"/>
    <w:rsid w:val="001D694C"/>
    <w:rsid w:val="001E1D6B"/>
    <w:rsid w:val="001E6D91"/>
    <w:rsid w:val="001F02C7"/>
    <w:rsid w:val="001F153F"/>
    <w:rsid w:val="001F197E"/>
    <w:rsid w:val="001F4BBB"/>
    <w:rsid w:val="001F4BBE"/>
    <w:rsid w:val="001F6F2D"/>
    <w:rsid w:val="00200847"/>
    <w:rsid w:val="002015F3"/>
    <w:rsid w:val="00203A43"/>
    <w:rsid w:val="00214913"/>
    <w:rsid w:val="002243AA"/>
    <w:rsid w:val="00230888"/>
    <w:rsid w:val="00231AD0"/>
    <w:rsid w:val="00231E43"/>
    <w:rsid w:val="00231E6E"/>
    <w:rsid w:val="00232A01"/>
    <w:rsid w:val="002366D9"/>
    <w:rsid w:val="002375B7"/>
    <w:rsid w:val="00237CCD"/>
    <w:rsid w:val="0024084E"/>
    <w:rsid w:val="0024209B"/>
    <w:rsid w:val="00246659"/>
    <w:rsid w:val="0025051B"/>
    <w:rsid w:val="00250FEF"/>
    <w:rsid w:val="00251859"/>
    <w:rsid w:val="00251997"/>
    <w:rsid w:val="00251E7C"/>
    <w:rsid w:val="00261E47"/>
    <w:rsid w:val="00267BA2"/>
    <w:rsid w:val="00267F5A"/>
    <w:rsid w:val="00270F9F"/>
    <w:rsid w:val="00271DAD"/>
    <w:rsid w:val="002830DA"/>
    <w:rsid w:val="002869D3"/>
    <w:rsid w:val="002912BA"/>
    <w:rsid w:val="00291824"/>
    <w:rsid w:val="00293F59"/>
    <w:rsid w:val="002A598F"/>
    <w:rsid w:val="002A5CA8"/>
    <w:rsid w:val="002A6BC9"/>
    <w:rsid w:val="002B2AE2"/>
    <w:rsid w:val="002B62BB"/>
    <w:rsid w:val="002C213B"/>
    <w:rsid w:val="002C3FE7"/>
    <w:rsid w:val="002C4F06"/>
    <w:rsid w:val="002C61E2"/>
    <w:rsid w:val="002D1DCE"/>
    <w:rsid w:val="002D261E"/>
    <w:rsid w:val="002D7C4C"/>
    <w:rsid w:val="002E3812"/>
    <w:rsid w:val="002E4AD8"/>
    <w:rsid w:val="002E638E"/>
    <w:rsid w:val="002E75D8"/>
    <w:rsid w:val="002E7DB7"/>
    <w:rsid w:val="002E7FD3"/>
    <w:rsid w:val="002F1AC0"/>
    <w:rsid w:val="002F331B"/>
    <w:rsid w:val="00310238"/>
    <w:rsid w:val="00310870"/>
    <w:rsid w:val="00315AE5"/>
    <w:rsid w:val="00316176"/>
    <w:rsid w:val="00320EEC"/>
    <w:rsid w:val="0034231A"/>
    <w:rsid w:val="003448C9"/>
    <w:rsid w:val="003470FF"/>
    <w:rsid w:val="00347C76"/>
    <w:rsid w:val="00347C94"/>
    <w:rsid w:val="00351657"/>
    <w:rsid w:val="00360F79"/>
    <w:rsid w:val="0036345D"/>
    <w:rsid w:val="00367203"/>
    <w:rsid w:val="00367398"/>
    <w:rsid w:val="00374966"/>
    <w:rsid w:val="00376739"/>
    <w:rsid w:val="00384166"/>
    <w:rsid w:val="00384703"/>
    <w:rsid w:val="00386438"/>
    <w:rsid w:val="003908F3"/>
    <w:rsid w:val="00391B94"/>
    <w:rsid w:val="00393476"/>
    <w:rsid w:val="00397146"/>
    <w:rsid w:val="00397735"/>
    <w:rsid w:val="003A5D5B"/>
    <w:rsid w:val="003A7622"/>
    <w:rsid w:val="003B118F"/>
    <w:rsid w:val="003B2EE7"/>
    <w:rsid w:val="003B3180"/>
    <w:rsid w:val="003D0760"/>
    <w:rsid w:val="003D3E5B"/>
    <w:rsid w:val="003D6564"/>
    <w:rsid w:val="003E0BAD"/>
    <w:rsid w:val="003E2AA2"/>
    <w:rsid w:val="003E3D02"/>
    <w:rsid w:val="003F3BC8"/>
    <w:rsid w:val="003F6032"/>
    <w:rsid w:val="003F7DF5"/>
    <w:rsid w:val="00400292"/>
    <w:rsid w:val="00414618"/>
    <w:rsid w:val="0041549E"/>
    <w:rsid w:val="00416682"/>
    <w:rsid w:val="004171F8"/>
    <w:rsid w:val="0041750F"/>
    <w:rsid w:val="004214D4"/>
    <w:rsid w:val="00426485"/>
    <w:rsid w:val="004356BB"/>
    <w:rsid w:val="0043691F"/>
    <w:rsid w:val="00437E75"/>
    <w:rsid w:val="00437EF1"/>
    <w:rsid w:val="00440BED"/>
    <w:rsid w:val="00441BA5"/>
    <w:rsid w:val="00450A98"/>
    <w:rsid w:val="00454C4F"/>
    <w:rsid w:val="004612F1"/>
    <w:rsid w:val="004704EF"/>
    <w:rsid w:val="004709E8"/>
    <w:rsid w:val="004736EF"/>
    <w:rsid w:val="00474080"/>
    <w:rsid w:val="00487A64"/>
    <w:rsid w:val="004919B9"/>
    <w:rsid w:val="00493BA9"/>
    <w:rsid w:val="00493FE6"/>
    <w:rsid w:val="00494920"/>
    <w:rsid w:val="00497D73"/>
    <w:rsid w:val="004A774D"/>
    <w:rsid w:val="004B5F8E"/>
    <w:rsid w:val="004C2968"/>
    <w:rsid w:val="004C43AB"/>
    <w:rsid w:val="004C6628"/>
    <w:rsid w:val="004D094D"/>
    <w:rsid w:val="004D4ADF"/>
    <w:rsid w:val="004E0EBE"/>
    <w:rsid w:val="004E11E4"/>
    <w:rsid w:val="004E750A"/>
    <w:rsid w:val="004F2756"/>
    <w:rsid w:val="004F5084"/>
    <w:rsid w:val="00500068"/>
    <w:rsid w:val="00503817"/>
    <w:rsid w:val="005108CE"/>
    <w:rsid w:val="00510F85"/>
    <w:rsid w:val="00512A7D"/>
    <w:rsid w:val="0051555C"/>
    <w:rsid w:val="005216C2"/>
    <w:rsid w:val="00522B2F"/>
    <w:rsid w:val="0052735B"/>
    <w:rsid w:val="00532E5A"/>
    <w:rsid w:val="00537156"/>
    <w:rsid w:val="00540CAD"/>
    <w:rsid w:val="00542B5C"/>
    <w:rsid w:val="005536FC"/>
    <w:rsid w:val="00554001"/>
    <w:rsid w:val="005622D8"/>
    <w:rsid w:val="005623FA"/>
    <w:rsid w:val="00563D94"/>
    <w:rsid w:val="00572389"/>
    <w:rsid w:val="00576D49"/>
    <w:rsid w:val="00580DFD"/>
    <w:rsid w:val="00581FED"/>
    <w:rsid w:val="00585B88"/>
    <w:rsid w:val="005907AA"/>
    <w:rsid w:val="00590F38"/>
    <w:rsid w:val="00596EB2"/>
    <w:rsid w:val="005A66E2"/>
    <w:rsid w:val="005A6A4E"/>
    <w:rsid w:val="005B350B"/>
    <w:rsid w:val="005B4850"/>
    <w:rsid w:val="005B6642"/>
    <w:rsid w:val="005B6A52"/>
    <w:rsid w:val="005D2227"/>
    <w:rsid w:val="005D4632"/>
    <w:rsid w:val="005D5F99"/>
    <w:rsid w:val="005D6B9B"/>
    <w:rsid w:val="005E6A13"/>
    <w:rsid w:val="005E7963"/>
    <w:rsid w:val="005F3E8C"/>
    <w:rsid w:val="00602646"/>
    <w:rsid w:val="00606B6D"/>
    <w:rsid w:val="00612D9E"/>
    <w:rsid w:val="00622460"/>
    <w:rsid w:val="0063039C"/>
    <w:rsid w:val="00633856"/>
    <w:rsid w:val="006347DF"/>
    <w:rsid w:val="00650BD5"/>
    <w:rsid w:val="00650E31"/>
    <w:rsid w:val="00654B54"/>
    <w:rsid w:val="00655B0D"/>
    <w:rsid w:val="00656277"/>
    <w:rsid w:val="00660811"/>
    <w:rsid w:val="00661A61"/>
    <w:rsid w:val="00665125"/>
    <w:rsid w:val="00686145"/>
    <w:rsid w:val="006A4FBF"/>
    <w:rsid w:val="006B75CF"/>
    <w:rsid w:val="006B7C72"/>
    <w:rsid w:val="006C3091"/>
    <w:rsid w:val="006C37CF"/>
    <w:rsid w:val="006C50FB"/>
    <w:rsid w:val="006E1045"/>
    <w:rsid w:val="006E1367"/>
    <w:rsid w:val="006E54AE"/>
    <w:rsid w:val="006F255A"/>
    <w:rsid w:val="006F367C"/>
    <w:rsid w:val="007024C4"/>
    <w:rsid w:val="007028E7"/>
    <w:rsid w:val="0070502F"/>
    <w:rsid w:val="007058F3"/>
    <w:rsid w:val="00705C97"/>
    <w:rsid w:val="00712AD3"/>
    <w:rsid w:val="0071558A"/>
    <w:rsid w:val="00725C79"/>
    <w:rsid w:val="00726546"/>
    <w:rsid w:val="00726B3D"/>
    <w:rsid w:val="00731C06"/>
    <w:rsid w:val="00732AD5"/>
    <w:rsid w:val="007350D2"/>
    <w:rsid w:val="0074291C"/>
    <w:rsid w:val="007431A7"/>
    <w:rsid w:val="0074432F"/>
    <w:rsid w:val="00750D38"/>
    <w:rsid w:val="00750F4F"/>
    <w:rsid w:val="00753A11"/>
    <w:rsid w:val="0075410E"/>
    <w:rsid w:val="007547EB"/>
    <w:rsid w:val="00755E94"/>
    <w:rsid w:val="00756D64"/>
    <w:rsid w:val="00761B43"/>
    <w:rsid w:val="007655E2"/>
    <w:rsid w:val="00766CC3"/>
    <w:rsid w:val="00767E13"/>
    <w:rsid w:val="00771D7B"/>
    <w:rsid w:val="0077679F"/>
    <w:rsid w:val="00791555"/>
    <w:rsid w:val="007A20BA"/>
    <w:rsid w:val="007A2B5C"/>
    <w:rsid w:val="007B3B14"/>
    <w:rsid w:val="007B4971"/>
    <w:rsid w:val="007C1C9C"/>
    <w:rsid w:val="007C7288"/>
    <w:rsid w:val="007D47CB"/>
    <w:rsid w:val="007D483F"/>
    <w:rsid w:val="007D74F6"/>
    <w:rsid w:val="007E122C"/>
    <w:rsid w:val="007E1F58"/>
    <w:rsid w:val="007E4510"/>
    <w:rsid w:val="007E75B2"/>
    <w:rsid w:val="007F0B92"/>
    <w:rsid w:val="007F17EA"/>
    <w:rsid w:val="007F3FE1"/>
    <w:rsid w:val="007F4916"/>
    <w:rsid w:val="008034FD"/>
    <w:rsid w:val="00812762"/>
    <w:rsid w:val="008133EE"/>
    <w:rsid w:val="008177CD"/>
    <w:rsid w:val="0082202C"/>
    <w:rsid w:val="00825730"/>
    <w:rsid w:val="008305F1"/>
    <w:rsid w:val="00832DA8"/>
    <w:rsid w:val="00835A12"/>
    <w:rsid w:val="00836FF8"/>
    <w:rsid w:val="00840607"/>
    <w:rsid w:val="00841182"/>
    <w:rsid w:val="00842DA9"/>
    <w:rsid w:val="00843302"/>
    <w:rsid w:val="00843385"/>
    <w:rsid w:val="00844086"/>
    <w:rsid w:val="00846DD5"/>
    <w:rsid w:val="008508A5"/>
    <w:rsid w:val="0085638C"/>
    <w:rsid w:val="00866154"/>
    <w:rsid w:val="008704BF"/>
    <w:rsid w:val="008715F0"/>
    <w:rsid w:val="00872478"/>
    <w:rsid w:val="00892C34"/>
    <w:rsid w:val="00896BA4"/>
    <w:rsid w:val="008A4949"/>
    <w:rsid w:val="008A6B86"/>
    <w:rsid w:val="008C0917"/>
    <w:rsid w:val="008C2B5C"/>
    <w:rsid w:val="008E62C4"/>
    <w:rsid w:val="00905E73"/>
    <w:rsid w:val="009077C3"/>
    <w:rsid w:val="00911423"/>
    <w:rsid w:val="009114F2"/>
    <w:rsid w:val="009124DF"/>
    <w:rsid w:val="009130E5"/>
    <w:rsid w:val="0091339C"/>
    <w:rsid w:val="009179F0"/>
    <w:rsid w:val="00921141"/>
    <w:rsid w:val="00922474"/>
    <w:rsid w:val="0093154E"/>
    <w:rsid w:val="009453B7"/>
    <w:rsid w:val="009517E7"/>
    <w:rsid w:val="009543DA"/>
    <w:rsid w:val="00954E8B"/>
    <w:rsid w:val="00955506"/>
    <w:rsid w:val="00955DA5"/>
    <w:rsid w:val="00963A53"/>
    <w:rsid w:val="00963E61"/>
    <w:rsid w:val="009875BA"/>
    <w:rsid w:val="009940C0"/>
    <w:rsid w:val="00994C3A"/>
    <w:rsid w:val="00994FFF"/>
    <w:rsid w:val="009A2863"/>
    <w:rsid w:val="009A3FC0"/>
    <w:rsid w:val="009A612D"/>
    <w:rsid w:val="009B0C49"/>
    <w:rsid w:val="009B4B7C"/>
    <w:rsid w:val="009C5271"/>
    <w:rsid w:val="009C73DB"/>
    <w:rsid w:val="009D591A"/>
    <w:rsid w:val="009D604D"/>
    <w:rsid w:val="009E03F2"/>
    <w:rsid w:val="009E28E4"/>
    <w:rsid w:val="009F361E"/>
    <w:rsid w:val="009F5ECA"/>
    <w:rsid w:val="00A032E4"/>
    <w:rsid w:val="00A037E4"/>
    <w:rsid w:val="00A03870"/>
    <w:rsid w:val="00A070B6"/>
    <w:rsid w:val="00A07C66"/>
    <w:rsid w:val="00A10326"/>
    <w:rsid w:val="00A12772"/>
    <w:rsid w:val="00A13F82"/>
    <w:rsid w:val="00A15DB2"/>
    <w:rsid w:val="00A21524"/>
    <w:rsid w:val="00A242CE"/>
    <w:rsid w:val="00A31F03"/>
    <w:rsid w:val="00A35BCE"/>
    <w:rsid w:val="00A3668B"/>
    <w:rsid w:val="00A427EE"/>
    <w:rsid w:val="00A479C3"/>
    <w:rsid w:val="00A51279"/>
    <w:rsid w:val="00A54219"/>
    <w:rsid w:val="00A544EE"/>
    <w:rsid w:val="00A66DFB"/>
    <w:rsid w:val="00A85DA1"/>
    <w:rsid w:val="00A85E58"/>
    <w:rsid w:val="00A91DC1"/>
    <w:rsid w:val="00A931C0"/>
    <w:rsid w:val="00A95EA3"/>
    <w:rsid w:val="00AA2171"/>
    <w:rsid w:val="00AA4992"/>
    <w:rsid w:val="00AC0E32"/>
    <w:rsid w:val="00AC520D"/>
    <w:rsid w:val="00AC5A4D"/>
    <w:rsid w:val="00AC5BB1"/>
    <w:rsid w:val="00AD35A3"/>
    <w:rsid w:val="00AD5D43"/>
    <w:rsid w:val="00AD723B"/>
    <w:rsid w:val="00AD7F7C"/>
    <w:rsid w:val="00AE092D"/>
    <w:rsid w:val="00AE0EFF"/>
    <w:rsid w:val="00AE6ACA"/>
    <w:rsid w:val="00B01DE0"/>
    <w:rsid w:val="00B04004"/>
    <w:rsid w:val="00B05432"/>
    <w:rsid w:val="00B06967"/>
    <w:rsid w:val="00B07337"/>
    <w:rsid w:val="00B07F32"/>
    <w:rsid w:val="00B105C0"/>
    <w:rsid w:val="00B1473E"/>
    <w:rsid w:val="00B16FED"/>
    <w:rsid w:val="00B22BBA"/>
    <w:rsid w:val="00B24CD7"/>
    <w:rsid w:val="00B25325"/>
    <w:rsid w:val="00B33908"/>
    <w:rsid w:val="00B362F0"/>
    <w:rsid w:val="00B4196F"/>
    <w:rsid w:val="00B4234A"/>
    <w:rsid w:val="00B47835"/>
    <w:rsid w:val="00B66372"/>
    <w:rsid w:val="00B7067F"/>
    <w:rsid w:val="00B76E7A"/>
    <w:rsid w:val="00B77BA1"/>
    <w:rsid w:val="00B80129"/>
    <w:rsid w:val="00B86E34"/>
    <w:rsid w:val="00B8759A"/>
    <w:rsid w:val="00B93224"/>
    <w:rsid w:val="00B961B7"/>
    <w:rsid w:val="00BA2245"/>
    <w:rsid w:val="00BA2283"/>
    <w:rsid w:val="00BA47E9"/>
    <w:rsid w:val="00BA77C6"/>
    <w:rsid w:val="00BB0C67"/>
    <w:rsid w:val="00BB2611"/>
    <w:rsid w:val="00BB380B"/>
    <w:rsid w:val="00BC0A56"/>
    <w:rsid w:val="00BD4578"/>
    <w:rsid w:val="00BE184A"/>
    <w:rsid w:val="00BE1D51"/>
    <w:rsid w:val="00BE43A9"/>
    <w:rsid w:val="00BF09ED"/>
    <w:rsid w:val="00BF31F0"/>
    <w:rsid w:val="00BF4C17"/>
    <w:rsid w:val="00BF4D0A"/>
    <w:rsid w:val="00BF512B"/>
    <w:rsid w:val="00BF6ADA"/>
    <w:rsid w:val="00BF7CE8"/>
    <w:rsid w:val="00C03D9E"/>
    <w:rsid w:val="00C04313"/>
    <w:rsid w:val="00C04D12"/>
    <w:rsid w:val="00C07C7B"/>
    <w:rsid w:val="00C13750"/>
    <w:rsid w:val="00C14F08"/>
    <w:rsid w:val="00C15433"/>
    <w:rsid w:val="00C16E15"/>
    <w:rsid w:val="00C214A9"/>
    <w:rsid w:val="00C21E36"/>
    <w:rsid w:val="00C23969"/>
    <w:rsid w:val="00C23A82"/>
    <w:rsid w:val="00C255E8"/>
    <w:rsid w:val="00C25B63"/>
    <w:rsid w:val="00C30F06"/>
    <w:rsid w:val="00C310D8"/>
    <w:rsid w:val="00C40AB2"/>
    <w:rsid w:val="00C4515C"/>
    <w:rsid w:val="00C45EA0"/>
    <w:rsid w:val="00C510F6"/>
    <w:rsid w:val="00C523A5"/>
    <w:rsid w:val="00C60536"/>
    <w:rsid w:val="00C61FA9"/>
    <w:rsid w:val="00C62C25"/>
    <w:rsid w:val="00C76107"/>
    <w:rsid w:val="00C764DB"/>
    <w:rsid w:val="00C80D5C"/>
    <w:rsid w:val="00C86FFD"/>
    <w:rsid w:val="00C8779F"/>
    <w:rsid w:val="00C90127"/>
    <w:rsid w:val="00C924EC"/>
    <w:rsid w:val="00C92DB3"/>
    <w:rsid w:val="00C930A3"/>
    <w:rsid w:val="00CA02A8"/>
    <w:rsid w:val="00CA1216"/>
    <w:rsid w:val="00CB5D0F"/>
    <w:rsid w:val="00CB6018"/>
    <w:rsid w:val="00CB73E1"/>
    <w:rsid w:val="00CC2A69"/>
    <w:rsid w:val="00CC4652"/>
    <w:rsid w:val="00CC5F8B"/>
    <w:rsid w:val="00CC7CC9"/>
    <w:rsid w:val="00CD6E9E"/>
    <w:rsid w:val="00CE1159"/>
    <w:rsid w:val="00CF0FE9"/>
    <w:rsid w:val="00CF29AA"/>
    <w:rsid w:val="00CF50B0"/>
    <w:rsid w:val="00CF6923"/>
    <w:rsid w:val="00D001A8"/>
    <w:rsid w:val="00D068D0"/>
    <w:rsid w:val="00D06950"/>
    <w:rsid w:val="00D1227C"/>
    <w:rsid w:val="00D13E17"/>
    <w:rsid w:val="00D20B43"/>
    <w:rsid w:val="00D2311C"/>
    <w:rsid w:val="00D242F1"/>
    <w:rsid w:val="00D26B14"/>
    <w:rsid w:val="00D31CBB"/>
    <w:rsid w:val="00D372D4"/>
    <w:rsid w:val="00D37C3E"/>
    <w:rsid w:val="00D43BE7"/>
    <w:rsid w:val="00D45F61"/>
    <w:rsid w:val="00D47C0F"/>
    <w:rsid w:val="00D50092"/>
    <w:rsid w:val="00D600D0"/>
    <w:rsid w:val="00D60D79"/>
    <w:rsid w:val="00D70ADE"/>
    <w:rsid w:val="00D77B6C"/>
    <w:rsid w:val="00D83C75"/>
    <w:rsid w:val="00D92BA3"/>
    <w:rsid w:val="00D94905"/>
    <w:rsid w:val="00D9579B"/>
    <w:rsid w:val="00D9734F"/>
    <w:rsid w:val="00DA3D68"/>
    <w:rsid w:val="00DA4CA8"/>
    <w:rsid w:val="00DA5C2D"/>
    <w:rsid w:val="00DA6BBF"/>
    <w:rsid w:val="00DD51C7"/>
    <w:rsid w:val="00DE2607"/>
    <w:rsid w:val="00DE45FE"/>
    <w:rsid w:val="00DE4ADB"/>
    <w:rsid w:val="00DE63D5"/>
    <w:rsid w:val="00DF6115"/>
    <w:rsid w:val="00E06FC8"/>
    <w:rsid w:val="00E226F4"/>
    <w:rsid w:val="00E22C71"/>
    <w:rsid w:val="00E26296"/>
    <w:rsid w:val="00E332C4"/>
    <w:rsid w:val="00E365AD"/>
    <w:rsid w:val="00E4103C"/>
    <w:rsid w:val="00E4130E"/>
    <w:rsid w:val="00E41953"/>
    <w:rsid w:val="00E43C51"/>
    <w:rsid w:val="00E4567C"/>
    <w:rsid w:val="00E61A1A"/>
    <w:rsid w:val="00E62AF5"/>
    <w:rsid w:val="00E729FD"/>
    <w:rsid w:val="00E73091"/>
    <w:rsid w:val="00E75EC8"/>
    <w:rsid w:val="00E77D10"/>
    <w:rsid w:val="00E81F93"/>
    <w:rsid w:val="00E83954"/>
    <w:rsid w:val="00E90283"/>
    <w:rsid w:val="00E90B62"/>
    <w:rsid w:val="00E92181"/>
    <w:rsid w:val="00E927DA"/>
    <w:rsid w:val="00E94AEA"/>
    <w:rsid w:val="00E9740D"/>
    <w:rsid w:val="00EA2881"/>
    <w:rsid w:val="00EA2BC0"/>
    <w:rsid w:val="00EA351F"/>
    <w:rsid w:val="00EC5C59"/>
    <w:rsid w:val="00ED1FC5"/>
    <w:rsid w:val="00ED314A"/>
    <w:rsid w:val="00ED4432"/>
    <w:rsid w:val="00EE059E"/>
    <w:rsid w:val="00EE458F"/>
    <w:rsid w:val="00EF0B51"/>
    <w:rsid w:val="00EF0F1E"/>
    <w:rsid w:val="00EF36A9"/>
    <w:rsid w:val="00EF4CDB"/>
    <w:rsid w:val="00EF569B"/>
    <w:rsid w:val="00EF5FF1"/>
    <w:rsid w:val="00EF648B"/>
    <w:rsid w:val="00F013C8"/>
    <w:rsid w:val="00F03064"/>
    <w:rsid w:val="00F0544B"/>
    <w:rsid w:val="00F105D4"/>
    <w:rsid w:val="00F11C5F"/>
    <w:rsid w:val="00F15316"/>
    <w:rsid w:val="00F1614F"/>
    <w:rsid w:val="00F17E40"/>
    <w:rsid w:val="00F2031A"/>
    <w:rsid w:val="00F34071"/>
    <w:rsid w:val="00F356D3"/>
    <w:rsid w:val="00F37551"/>
    <w:rsid w:val="00F463E0"/>
    <w:rsid w:val="00F55452"/>
    <w:rsid w:val="00F55CCD"/>
    <w:rsid w:val="00F6311F"/>
    <w:rsid w:val="00F64180"/>
    <w:rsid w:val="00F82D06"/>
    <w:rsid w:val="00F848BB"/>
    <w:rsid w:val="00F8667C"/>
    <w:rsid w:val="00F87F7C"/>
    <w:rsid w:val="00F942CA"/>
    <w:rsid w:val="00FA065C"/>
    <w:rsid w:val="00FA248F"/>
    <w:rsid w:val="00FA6F7F"/>
    <w:rsid w:val="00FC1976"/>
    <w:rsid w:val="00FC2C7D"/>
    <w:rsid w:val="00FC359C"/>
    <w:rsid w:val="00FC5245"/>
    <w:rsid w:val="00FC714D"/>
    <w:rsid w:val="00FC7588"/>
    <w:rsid w:val="00FD126B"/>
    <w:rsid w:val="00FD1630"/>
    <w:rsid w:val="00FD37B9"/>
    <w:rsid w:val="00FD3F67"/>
    <w:rsid w:val="00FD6C9A"/>
    <w:rsid w:val="00FE37A9"/>
    <w:rsid w:val="00FF47FE"/>
    <w:rsid w:val="00FF722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7FCED"/>
  <w15:docId w15:val="{255D323A-FF7D-4063-ADB7-43C7BFEB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F7C"/>
  </w:style>
  <w:style w:type="paragraph" w:styleId="Heading1">
    <w:name w:val="heading 1"/>
    <w:next w:val="Normal"/>
    <w:link w:val="Heading1Char"/>
    <w:uiPriority w:val="9"/>
    <w:unhideWhenUsed/>
    <w:qFormat/>
    <w:rsid w:val="00A85E58"/>
    <w:pPr>
      <w:keepNext/>
      <w:keepLines/>
      <w:spacing w:after="0"/>
      <w:ind w:left="101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7C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  <w:color w:val="00B050"/>
    </w:rPr>
  </w:style>
  <w:style w:type="paragraph" w:customStyle="1" w:styleId="VBAILTAnswerbullet1">
    <w:name w:val="VBAILT Answer bullet 1"/>
    <w:basedOn w:val="VBAILTbullet1"/>
    <w:next w:val="VBAILTBody"/>
    <w:qFormat/>
    <w:rsid w:val="00A51279"/>
    <w:rPr>
      <w:i/>
      <w:color w:val="00B050"/>
    </w:rPr>
  </w:style>
  <w:style w:type="paragraph" w:customStyle="1" w:styleId="VBAILTAnswersbullet2">
    <w:name w:val="VBAILT Answers bullet2"/>
    <w:basedOn w:val="VBAILTBullet2"/>
    <w:next w:val="VBAILTBody"/>
    <w:qFormat/>
    <w:rsid w:val="00A51279"/>
    <w:rPr>
      <w:i/>
      <w:color w:val="00B050"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0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86"/>
    <w:rPr>
      <w:b/>
      <w:bCs/>
      <w:sz w:val="20"/>
      <w:szCs w:val="20"/>
    </w:rPr>
  </w:style>
  <w:style w:type="character" w:styleId="Hyperlink">
    <w:name w:val="Hyperlink"/>
    <w:rsid w:val="00271DA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E58"/>
    <w:rPr>
      <w:rFonts w:ascii="Arial" w:eastAsia="Arial" w:hAnsi="Arial" w:cs="Arial"/>
      <w:b/>
      <w:color w:val="000000"/>
      <w:sz w:val="18"/>
    </w:rPr>
  </w:style>
  <w:style w:type="character" w:styleId="Emphasis">
    <w:name w:val="Emphasis"/>
    <w:basedOn w:val="DefaultParagraphFont"/>
    <w:uiPriority w:val="20"/>
    <w:qFormat/>
    <w:rsid w:val="007F0B9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1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F7C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F7C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01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7ec34b5-d637-4aef-8083-e887a6537c45" xsi:nil="true"/>
    <_ip_UnifiedCompliancePolicyProperties xmlns="http://schemas.microsoft.com/sharepoint/v3" xsi:nil="true"/>
    <lcf76f155ced4ddcb4097134ff3c332f xmlns="b4647670-8a1a-4303-bfca-411bbc0da688">
      <Terms xmlns="http://schemas.microsoft.com/office/infopath/2007/PartnerControls"/>
    </lcf76f155ced4ddcb4097134ff3c332f>
    <Reviewed xmlns="b4647670-8a1a-4303-bfca-411bbc0da688">false</Reviewed>
    <PeerReviewComplete xmlns="b4647670-8a1a-4303-bfca-411bbc0da68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9" ma:contentTypeDescription="Create a new document." ma:contentTypeScope="" ma:versionID="f3daa43f69663f89edec2a701fff034f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e32e54890011c45380e903898627e137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viewed" minOccurs="0"/>
                <xsd:element ref="ns2:PeerReviewComple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3" nillable="true" ma:displayName="Reviewed" ma:default="0" ma:format="Dropdown" ma:internalName="Reviewed">
      <xsd:simpleType>
        <xsd:restriction base="dms:Boolean"/>
      </xsd:simpleType>
    </xsd:element>
    <xsd:element name="PeerReviewComplete" ma:index="24" nillable="true" ma:displayName="Peer Review Complete " ma:format="Dropdown" ma:internalName="PeerReviewComplete">
      <xsd:simpleType>
        <xsd:restriction base="dms:Choice">
          <xsd:enumeration value="Pending"/>
          <xsd:enumeration value="Complete"/>
          <xsd:enumeration value="Under Review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8cde8c-367c-4415-bbfb-b1d916b5c03e}" ma:internalName="TaxCatchAll" ma:showField="CatchAllData" ma:web="c7ec34b5-d637-4aef-8083-e887a6537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543EAA-7159-4B9E-A1A5-D8C34F86F6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ec34b5-d637-4aef-8083-e887a6537c45"/>
    <ds:schemaRef ds:uri="b4647670-8a1a-4303-bfca-411bbc0da688"/>
  </ds:schemaRefs>
</ds:datastoreItem>
</file>

<file path=customXml/itemProps4.xml><?xml version="1.0" encoding="utf-8"?>
<ds:datastoreItem xmlns:ds="http://schemas.openxmlformats.org/officeDocument/2006/customXml" ds:itemID="{7EEA9D54-2AC0-424E-8F19-E8148B1BC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Upfront Verification Job Aid</vt:lpstr>
    </vt:vector>
  </TitlesOfParts>
  <Company>Veterans Benefits Administration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Upfront Verification Job Aid</dc:title>
  <dc:creator>Department of Veterans Affairs, Veterans Benefits Administration, Pension and Fiduciary Service, STAFF</dc:creator>
  <cp:lastModifiedBy>Kathy Poole</cp:lastModifiedBy>
  <cp:revision>3</cp:revision>
  <dcterms:created xsi:type="dcterms:W3CDTF">2024-06-05T12:17:00Z</dcterms:created>
  <dcterms:modified xsi:type="dcterms:W3CDTF">2024-06-24T18:47:00Z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Type">
    <vt:lpwstr>Reference</vt:lpwstr>
  </property>
  <property fmtid="{D5CDD505-2E9C-101B-9397-08002B2CF9AE}" pid="4" name="Language">
    <vt:lpwstr>en</vt:lpwstr>
  </property>
</Properties>
</file>