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CEF5E" w14:textId="77777777" w:rsidR="003F0654" w:rsidRDefault="003F0654" w:rsidP="003F0654">
      <w:pPr>
        <w:pStyle w:val="VBAILTCoverService"/>
      </w:pPr>
      <w:r>
        <w:t>Pension and Fiduciary Service</w:t>
      </w:r>
    </w:p>
    <w:p w14:paraId="6DF7D617" w14:textId="77777777" w:rsidR="003F0654" w:rsidRDefault="003F0654" w:rsidP="003F0654">
      <w:pPr>
        <w:pStyle w:val="VBAILTCoverdoctypecourse"/>
      </w:pPr>
      <w:r w:rsidRPr="00B302DB">
        <w:t xml:space="preserve">PMC VSR Core Course </w:t>
      </w:r>
    </w:p>
    <w:p w14:paraId="63BBFB4F" w14:textId="77777777" w:rsidR="0049707E" w:rsidRDefault="0049707E" w:rsidP="003F0654">
      <w:pPr>
        <w:pStyle w:val="VBAILTCoverLessonTitle"/>
      </w:pPr>
      <w:r>
        <w:t xml:space="preserve">Introduction to </w:t>
      </w:r>
      <w:r w:rsidR="003F0654">
        <w:t>PACT Act</w:t>
      </w:r>
      <w:r>
        <w:t xml:space="preserve">-Related Claims </w:t>
      </w:r>
    </w:p>
    <w:p w14:paraId="5C37E8B6" w14:textId="77777777" w:rsidR="003F0654" w:rsidRPr="00C214A9" w:rsidRDefault="003F0654" w:rsidP="003F0654">
      <w:pPr>
        <w:pStyle w:val="VBAILTCoverdoctypecourse"/>
      </w:pPr>
      <w:r>
        <w:t>Job Aid</w:t>
      </w:r>
    </w:p>
    <w:p w14:paraId="67E7761E" w14:textId="4310D574" w:rsidR="003F0654" w:rsidRDefault="00EA1356" w:rsidP="003F0654">
      <w:pPr>
        <w:pStyle w:val="VBAILTCoverMisc"/>
      </w:pPr>
      <w:r>
        <w:t>June 2024</w:t>
      </w:r>
    </w:p>
    <w:p w14:paraId="35AB3B3C" w14:textId="77777777" w:rsidR="003F0654" w:rsidRDefault="003F0654" w:rsidP="003F0654">
      <w:pPr>
        <w:pStyle w:val="VBAILTCoverMisc"/>
        <w:rPr>
          <w:sz w:val="72"/>
          <w:szCs w:val="72"/>
        </w:rPr>
      </w:pPr>
      <w:r>
        <w:br w:type="page"/>
      </w:r>
    </w:p>
    <w:sdt>
      <w:sdtPr>
        <w:rPr>
          <w:rFonts w:asciiTheme="minorHAnsi" w:hAnsiTheme="minorHAnsi"/>
          <w:b w:val="0"/>
          <w:bCs/>
          <w:sz w:val="18"/>
          <w:szCs w:val="18"/>
        </w:rPr>
        <w:id w:val="-1157305152"/>
        <w:docPartObj>
          <w:docPartGallery w:val="Table of Contents"/>
          <w:docPartUnique/>
        </w:docPartObj>
      </w:sdtPr>
      <w:sdtEndPr>
        <w:rPr>
          <w:rFonts w:ascii="Arial" w:hAnsi="Arial" w:cs="Arial"/>
          <w:bCs w:val="0"/>
          <w:noProof/>
          <w:sz w:val="24"/>
          <w:szCs w:val="24"/>
        </w:rPr>
      </w:sdtEndPr>
      <w:sdtContent>
        <w:p w14:paraId="4CEB33D3" w14:textId="77777777" w:rsidR="00FF65C4" w:rsidRPr="00FC1087" w:rsidRDefault="00FF65C4" w:rsidP="00FF65C4">
          <w:pPr>
            <w:pStyle w:val="TOCHeading"/>
            <w:rPr>
              <w:sz w:val="20"/>
              <w:szCs w:val="20"/>
            </w:rPr>
          </w:pPr>
          <w:r w:rsidRPr="105F732E">
            <w:rPr>
              <w:sz w:val="20"/>
              <w:szCs w:val="20"/>
            </w:rPr>
            <w:t>Table of Contents</w:t>
          </w:r>
        </w:p>
        <w:p w14:paraId="3E176A8D" w14:textId="391E83CD" w:rsidR="00BA1639" w:rsidRDefault="00FF65C4">
          <w:pPr>
            <w:pStyle w:val="TOC2"/>
            <w:tabs>
              <w:tab w:val="right" w:leader="dot" w:pos="9350"/>
            </w:tabs>
            <w:rPr>
              <w:rFonts w:asciiTheme="minorHAnsi" w:eastAsiaTheme="minorEastAsia" w:hAnsiTheme="minorHAnsi"/>
              <w:noProof/>
              <w:kern w:val="2"/>
              <w:sz w:val="22"/>
              <w:szCs w:val="22"/>
              <w14:ligatures w14:val="standardContextual"/>
            </w:rPr>
          </w:pPr>
          <w:r w:rsidRPr="0049707E">
            <w:rPr>
              <w:rFonts w:ascii="Arial" w:hAnsi="Arial" w:cs="Arial"/>
              <w:sz w:val="24"/>
              <w:szCs w:val="24"/>
            </w:rPr>
            <w:fldChar w:fldCharType="begin"/>
          </w:r>
          <w:r w:rsidRPr="0049707E">
            <w:rPr>
              <w:rFonts w:ascii="Arial" w:hAnsi="Arial" w:cs="Arial"/>
              <w:sz w:val="24"/>
              <w:szCs w:val="24"/>
            </w:rPr>
            <w:instrText xml:space="preserve"> TOC \o "1-3" \h \z \u </w:instrText>
          </w:r>
          <w:r w:rsidRPr="0049707E">
            <w:rPr>
              <w:rFonts w:ascii="Arial" w:hAnsi="Arial" w:cs="Arial"/>
              <w:sz w:val="24"/>
              <w:szCs w:val="24"/>
            </w:rPr>
            <w:fldChar w:fldCharType="separate"/>
          </w:r>
          <w:hyperlink w:anchor="_Toc169247166" w:history="1">
            <w:r w:rsidR="00BA1639" w:rsidRPr="000A38F5">
              <w:rPr>
                <w:rStyle w:val="Hyperlink"/>
                <w:rFonts w:ascii="Arial" w:hAnsi="Arial" w:cs="Arial"/>
                <w:noProof/>
              </w:rPr>
              <w:t>References</w:t>
            </w:r>
            <w:r w:rsidR="00BA1639">
              <w:rPr>
                <w:noProof/>
                <w:webHidden/>
              </w:rPr>
              <w:tab/>
            </w:r>
            <w:r w:rsidR="00BA1639">
              <w:rPr>
                <w:noProof/>
                <w:webHidden/>
              </w:rPr>
              <w:fldChar w:fldCharType="begin"/>
            </w:r>
            <w:r w:rsidR="00BA1639">
              <w:rPr>
                <w:noProof/>
                <w:webHidden/>
              </w:rPr>
              <w:instrText xml:space="preserve"> PAGEREF _Toc169247166 \h </w:instrText>
            </w:r>
            <w:r w:rsidR="00BA1639">
              <w:rPr>
                <w:noProof/>
                <w:webHidden/>
              </w:rPr>
            </w:r>
            <w:r w:rsidR="00BA1639">
              <w:rPr>
                <w:noProof/>
                <w:webHidden/>
              </w:rPr>
              <w:fldChar w:fldCharType="separate"/>
            </w:r>
            <w:r w:rsidR="00BA1639">
              <w:rPr>
                <w:noProof/>
                <w:webHidden/>
              </w:rPr>
              <w:t>3</w:t>
            </w:r>
            <w:r w:rsidR="00BA1639">
              <w:rPr>
                <w:noProof/>
                <w:webHidden/>
              </w:rPr>
              <w:fldChar w:fldCharType="end"/>
            </w:r>
          </w:hyperlink>
        </w:p>
        <w:p w14:paraId="235F6E01" w14:textId="02C21034" w:rsidR="00BA1639" w:rsidRDefault="00000000">
          <w:pPr>
            <w:pStyle w:val="TOC1"/>
            <w:tabs>
              <w:tab w:val="right" w:leader="dot" w:pos="9350"/>
            </w:tabs>
            <w:rPr>
              <w:rFonts w:asciiTheme="minorHAnsi" w:eastAsiaTheme="minorEastAsia" w:hAnsiTheme="minorHAnsi"/>
              <w:bCs w:val="0"/>
              <w:noProof/>
              <w:kern w:val="2"/>
              <w:szCs w:val="22"/>
              <w14:ligatures w14:val="standardContextual"/>
            </w:rPr>
          </w:pPr>
          <w:hyperlink w:anchor="_Toc169247167" w:history="1">
            <w:r w:rsidR="00BA1639" w:rsidRPr="000A38F5">
              <w:rPr>
                <w:rStyle w:val="Hyperlink"/>
                <w:rFonts w:ascii="Arial" w:hAnsi="Arial" w:cs="Arial"/>
                <w:noProof/>
              </w:rPr>
              <w:t>Overview of the PACT Act</w:t>
            </w:r>
            <w:r w:rsidR="00BA1639">
              <w:rPr>
                <w:noProof/>
                <w:webHidden/>
              </w:rPr>
              <w:tab/>
            </w:r>
            <w:r w:rsidR="00BA1639">
              <w:rPr>
                <w:noProof/>
                <w:webHidden/>
              </w:rPr>
              <w:fldChar w:fldCharType="begin"/>
            </w:r>
            <w:r w:rsidR="00BA1639">
              <w:rPr>
                <w:noProof/>
                <w:webHidden/>
              </w:rPr>
              <w:instrText xml:space="preserve"> PAGEREF _Toc169247167 \h </w:instrText>
            </w:r>
            <w:r w:rsidR="00BA1639">
              <w:rPr>
                <w:noProof/>
                <w:webHidden/>
              </w:rPr>
            </w:r>
            <w:r w:rsidR="00BA1639">
              <w:rPr>
                <w:noProof/>
                <w:webHidden/>
              </w:rPr>
              <w:fldChar w:fldCharType="separate"/>
            </w:r>
            <w:r w:rsidR="00BA1639">
              <w:rPr>
                <w:noProof/>
                <w:webHidden/>
              </w:rPr>
              <w:t>4</w:t>
            </w:r>
            <w:r w:rsidR="00BA1639">
              <w:rPr>
                <w:noProof/>
                <w:webHidden/>
              </w:rPr>
              <w:fldChar w:fldCharType="end"/>
            </w:r>
          </w:hyperlink>
        </w:p>
        <w:p w14:paraId="1F0BDA7B" w14:textId="192F4E36" w:rsidR="00BA1639" w:rsidRDefault="00000000">
          <w:pPr>
            <w:pStyle w:val="TOC2"/>
            <w:tabs>
              <w:tab w:val="right" w:leader="dot" w:pos="9350"/>
            </w:tabs>
            <w:rPr>
              <w:rFonts w:asciiTheme="minorHAnsi" w:eastAsiaTheme="minorEastAsia" w:hAnsiTheme="minorHAnsi"/>
              <w:noProof/>
              <w:kern w:val="2"/>
              <w:sz w:val="22"/>
              <w:szCs w:val="22"/>
              <w14:ligatures w14:val="standardContextual"/>
            </w:rPr>
          </w:pPr>
          <w:hyperlink w:anchor="_Toc169247168" w:history="1">
            <w:r w:rsidR="00BA1639" w:rsidRPr="000A38F5">
              <w:rPr>
                <w:rStyle w:val="Hyperlink"/>
                <w:rFonts w:ascii="Arial" w:hAnsi="Arial" w:cs="Arial"/>
                <w:noProof/>
              </w:rPr>
              <w:t>Background</w:t>
            </w:r>
            <w:r w:rsidR="00BA1639">
              <w:rPr>
                <w:noProof/>
                <w:webHidden/>
              </w:rPr>
              <w:tab/>
            </w:r>
            <w:r w:rsidR="00BA1639">
              <w:rPr>
                <w:noProof/>
                <w:webHidden/>
              </w:rPr>
              <w:fldChar w:fldCharType="begin"/>
            </w:r>
            <w:r w:rsidR="00BA1639">
              <w:rPr>
                <w:noProof/>
                <w:webHidden/>
              </w:rPr>
              <w:instrText xml:space="preserve"> PAGEREF _Toc169247168 \h </w:instrText>
            </w:r>
            <w:r w:rsidR="00BA1639">
              <w:rPr>
                <w:noProof/>
                <w:webHidden/>
              </w:rPr>
            </w:r>
            <w:r w:rsidR="00BA1639">
              <w:rPr>
                <w:noProof/>
                <w:webHidden/>
              </w:rPr>
              <w:fldChar w:fldCharType="separate"/>
            </w:r>
            <w:r w:rsidR="00BA1639">
              <w:rPr>
                <w:noProof/>
                <w:webHidden/>
              </w:rPr>
              <w:t>4</w:t>
            </w:r>
            <w:r w:rsidR="00BA1639">
              <w:rPr>
                <w:noProof/>
                <w:webHidden/>
              </w:rPr>
              <w:fldChar w:fldCharType="end"/>
            </w:r>
          </w:hyperlink>
        </w:p>
        <w:p w14:paraId="24C96A6A" w14:textId="65555593" w:rsidR="00BA1639" w:rsidRDefault="00000000">
          <w:pPr>
            <w:pStyle w:val="TOC2"/>
            <w:tabs>
              <w:tab w:val="right" w:leader="dot" w:pos="9350"/>
            </w:tabs>
            <w:rPr>
              <w:rFonts w:asciiTheme="minorHAnsi" w:eastAsiaTheme="minorEastAsia" w:hAnsiTheme="minorHAnsi"/>
              <w:noProof/>
              <w:kern w:val="2"/>
              <w:sz w:val="22"/>
              <w:szCs w:val="22"/>
              <w14:ligatures w14:val="standardContextual"/>
            </w:rPr>
          </w:pPr>
          <w:hyperlink w:anchor="_Toc169247169" w:history="1">
            <w:r w:rsidR="00BA1639" w:rsidRPr="000A38F5">
              <w:rPr>
                <w:rStyle w:val="Hyperlink"/>
                <w:rFonts w:ascii="Arial" w:hAnsi="Arial" w:cs="Arial"/>
                <w:noProof/>
              </w:rPr>
              <w:t xml:space="preserve">Terms and Definitions – </w:t>
            </w:r>
            <w:r w:rsidR="00BA1639" w:rsidRPr="000A38F5">
              <w:rPr>
                <w:rStyle w:val="Hyperlink"/>
                <w:rFonts w:ascii="Arial" w:hAnsi="Arial" w:cs="Arial"/>
                <w:i/>
                <w:iCs/>
                <w:noProof/>
              </w:rPr>
              <w:t>in no particular order and not all-inclusive</w:t>
            </w:r>
            <w:r w:rsidR="00BA1639">
              <w:rPr>
                <w:noProof/>
                <w:webHidden/>
              </w:rPr>
              <w:tab/>
            </w:r>
            <w:r w:rsidR="00BA1639">
              <w:rPr>
                <w:noProof/>
                <w:webHidden/>
              </w:rPr>
              <w:fldChar w:fldCharType="begin"/>
            </w:r>
            <w:r w:rsidR="00BA1639">
              <w:rPr>
                <w:noProof/>
                <w:webHidden/>
              </w:rPr>
              <w:instrText xml:space="preserve"> PAGEREF _Toc169247169 \h </w:instrText>
            </w:r>
            <w:r w:rsidR="00BA1639">
              <w:rPr>
                <w:noProof/>
                <w:webHidden/>
              </w:rPr>
            </w:r>
            <w:r w:rsidR="00BA1639">
              <w:rPr>
                <w:noProof/>
                <w:webHidden/>
              </w:rPr>
              <w:fldChar w:fldCharType="separate"/>
            </w:r>
            <w:r w:rsidR="00BA1639">
              <w:rPr>
                <w:noProof/>
                <w:webHidden/>
              </w:rPr>
              <w:t>4</w:t>
            </w:r>
            <w:r w:rsidR="00BA1639">
              <w:rPr>
                <w:noProof/>
                <w:webHidden/>
              </w:rPr>
              <w:fldChar w:fldCharType="end"/>
            </w:r>
          </w:hyperlink>
        </w:p>
        <w:p w14:paraId="5E043428" w14:textId="6F58329E" w:rsidR="00BA1639" w:rsidRDefault="00000000">
          <w:pPr>
            <w:pStyle w:val="TOC2"/>
            <w:tabs>
              <w:tab w:val="right" w:leader="dot" w:pos="9350"/>
            </w:tabs>
            <w:rPr>
              <w:rFonts w:asciiTheme="minorHAnsi" w:eastAsiaTheme="minorEastAsia" w:hAnsiTheme="minorHAnsi"/>
              <w:noProof/>
              <w:kern w:val="2"/>
              <w:sz w:val="22"/>
              <w:szCs w:val="22"/>
              <w14:ligatures w14:val="standardContextual"/>
            </w:rPr>
          </w:pPr>
          <w:hyperlink w:anchor="_Toc169247170" w:history="1">
            <w:r w:rsidR="00BA1639" w:rsidRPr="000A38F5">
              <w:rPr>
                <w:rStyle w:val="Hyperlink"/>
                <w:rFonts w:ascii="Arial" w:hAnsi="Arial" w:cs="Arial"/>
                <w:noProof/>
              </w:rPr>
              <w:t>Effective Dates – Service-Connected Death Benefits</w:t>
            </w:r>
            <w:r w:rsidR="00BA1639">
              <w:rPr>
                <w:noProof/>
                <w:webHidden/>
              </w:rPr>
              <w:tab/>
            </w:r>
            <w:r w:rsidR="00BA1639">
              <w:rPr>
                <w:noProof/>
                <w:webHidden/>
              </w:rPr>
              <w:fldChar w:fldCharType="begin"/>
            </w:r>
            <w:r w:rsidR="00BA1639">
              <w:rPr>
                <w:noProof/>
                <w:webHidden/>
              </w:rPr>
              <w:instrText xml:space="preserve"> PAGEREF _Toc169247170 \h </w:instrText>
            </w:r>
            <w:r w:rsidR="00BA1639">
              <w:rPr>
                <w:noProof/>
                <w:webHidden/>
              </w:rPr>
            </w:r>
            <w:r w:rsidR="00BA1639">
              <w:rPr>
                <w:noProof/>
                <w:webHidden/>
              </w:rPr>
              <w:fldChar w:fldCharType="separate"/>
            </w:r>
            <w:r w:rsidR="00BA1639">
              <w:rPr>
                <w:noProof/>
                <w:webHidden/>
              </w:rPr>
              <w:t>5</w:t>
            </w:r>
            <w:r w:rsidR="00BA1639">
              <w:rPr>
                <w:noProof/>
                <w:webHidden/>
              </w:rPr>
              <w:fldChar w:fldCharType="end"/>
            </w:r>
          </w:hyperlink>
        </w:p>
        <w:p w14:paraId="6251BF97" w14:textId="1B8B730D" w:rsidR="00BA1639" w:rsidRDefault="00000000">
          <w:pPr>
            <w:pStyle w:val="TOC2"/>
            <w:tabs>
              <w:tab w:val="right" w:leader="dot" w:pos="9350"/>
            </w:tabs>
            <w:rPr>
              <w:rFonts w:asciiTheme="minorHAnsi" w:eastAsiaTheme="minorEastAsia" w:hAnsiTheme="minorHAnsi"/>
              <w:noProof/>
              <w:kern w:val="2"/>
              <w:sz w:val="22"/>
              <w:szCs w:val="22"/>
              <w14:ligatures w14:val="standardContextual"/>
            </w:rPr>
          </w:pPr>
          <w:hyperlink w:anchor="_Toc169247171" w:history="1">
            <w:r w:rsidR="00BA1639" w:rsidRPr="000A38F5">
              <w:rPr>
                <w:rStyle w:val="Hyperlink"/>
                <w:rFonts w:ascii="Arial" w:hAnsi="Arial" w:cs="Arial"/>
                <w:noProof/>
              </w:rPr>
              <w:t>Qualifying Service</w:t>
            </w:r>
            <w:r w:rsidR="00BA1639">
              <w:rPr>
                <w:noProof/>
                <w:webHidden/>
              </w:rPr>
              <w:tab/>
            </w:r>
            <w:r w:rsidR="00BA1639">
              <w:rPr>
                <w:noProof/>
                <w:webHidden/>
              </w:rPr>
              <w:fldChar w:fldCharType="begin"/>
            </w:r>
            <w:r w:rsidR="00BA1639">
              <w:rPr>
                <w:noProof/>
                <w:webHidden/>
              </w:rPr>
              <w:instrText xml:space="preserve"> PAGEREF _Toc169247171 \h </w:instrText>
            </w:r>
            <w:r w:rsidR="00BA1639">
              <w:rPr>
                <w:noProof/>
                <w:webHidden/>
              </w:rPr>
            </w:r>
            <w:r w:rsidR="00BA1639">
              <w:rPr>
                <w:noProof/>
                <w:webHidden/>
              </w:rPr>
              <w:fldChar w:fldCharType="separate"/>
            </w:r>
            <w:r w:rsidR="00BA1639">
              <w:rPr>
                <w:noProof/>
                <w:webHidden/>
              </w:rPr>
              <w:t>6</w:t>
            </w:r>
            <w:r w:rsidR="00BA1639">
              <w:rPr>
                <w:noProof/>
                <w:webHidden/>
              </w:rPr>
              <w:fldChar w:fldCharType="end"/>
            </w:r>
          </w:hyperlink>
        </w:p>
        <w:p w14:paraId="752FF49F" w14:textId="4E010133" w:rsidR="00BA1639" w:rsidRDefault="00000000">
          <w:pPr>
            <w:pStyle w:val="TOC2"/>
            <w:tabs>
              <w:tab w:val="right" w:leader="dot" w:pos="9350"/>
            </w:tabs>
            <w:rPr>
              <w:rFonts w:asciiTheme="minorHAnsi" w:eastAsiaTheme="minorEastAsia" w:hAnsiTheme="minorHAnsi"/>
              <w:noProof/>
              <w:kern w:val="2"/>
              <w:sz w:val="22"/>
              <w:szCs w:val="22"/>
              <w14:ligatures w14:val="standardContextual"/>
            </w:rPr>
          </w:pPr>
          <w:hyperlink w:anchor="_Toc169247172" w:history="1">
            <w:r w:rsidR="00BA1639" w:rsidRPr="000A38F5">
              <w:rPr>
                <w:rStyle w:val="Hyperlink"/>
                <w:rFonts w:ascii="Arial" w:hAnsi="Arial" w:cs="Arial"/>
                <w:noProof/>
              </w:rPr>
              <w:t>Herbicide Exposure and Effective Dates</w:t>
            </w:r>
            <w:r w:rsidR="00BA1639">
              <w:rPr>
                <w:noProof/>
                <w:webHidden/>
              </w:rPr>
              <w:tab/>
            </w:r>
            <w:r w:rsidR="00BA1639">
              <w:rPr>
                <w:noProof/>
                <w:webHidden/>
              </w:rPr>
              <w:fldChar w:fldCharType="begin"/>
            </w:r>
            <w:r w:rsidR="00BA1639">
              <w:rPr>
                <w:noProof/>
                <w:webHidden/>
              </w:rPr>
              <w:instrText xml:space="preserve"> PAGEREF _Toc169247172 \h </w:instrText>
            </w:r>
            <w:r w:rsidR="00BA1639">
              <w:rPr>
                <w:noProof/>
                <w:webHidden/>
              </w:rPr>
            </w:r>
            <w:r w:rsidR="00BA1639">
              <w:rPr>
                <w:noProof/>
                <w:webHidden/>
              </w:rPr>
              <w:fldChar w:fldCharType="separate"/>
            </w:r>
            <w:r w:rsidR="00BA1639">
              <w:rPr>
                <w:noProof/>
                <w:webHidden/>
              </w:rPr>
              <w:t>8</w:t>
            </w:r>
            <w:r w:rsidR="00BA1639">
              <w:rPr>
                <w:noProof/>
                <w:webHidden/>
              </w:rPr>
              <w:fldChar w:fldCharType="end"/>
            </w:r>
          </w:hyperlink>
        </w:p>
        <w:p w14:paraId="4BC85FC3" w14:textId="5E8CCDED" w:rsidR="00BA1639" w:rsidRDefault="00000000">
          <w:pPr>
            <w:pStyle w:val="TOC2"/>
            <w:tabs>
              <w:tab w:val="right" w:leader="dot" w:pos="9350"/>
            </w:tabs>
            <w:rPr>
              <w:rFonts w:asciiTheme="minorHAnsi" w:eastAsiaTheme="minorEastAsia" w:hAnsiTheme="minorHAnsi"/>
              <w:noProof/>
              <w:kern w:val="2"/>
              <w:sz w:val="22"/>
              <w:szCs w:val="22"/>
              <w14:ligatures w14:val="standardContextual"/>
            </w:rPr>
          </w:pPr>
          <w:hyperlink w:anchor="_Toc169247173" w:history="1">
            <w:r w:rsidR="00BA1639" w:rsidRPr="000A38F5">
              <w:rPr>
                <w:rStyle w:val="Hyperlink"/>
                <w:rFonts w:ascii="Arial" w:hAnsi="Arial" w:cs="Arial"/>
                <w:noProof/>
              </w:rPr>
              <w:t>Requirement to Identify Service-Connected Death PACT Act-Related Claims</w:t>
            </w:r>
            <w:r w:rsidR="00BA1639">
              <w:rPr>
                <w:noProof/>
                <w:webHidden/>
              </w:rPr>
              <w:tab/>
            </w:r>
            <w:r w:rsidR="00BA1639">
              <w:rPr>
                <w:noProof/>
                <w:webHidden/>
              </w:rPr>
              <w:fldChar w:fldCharType="begin"/>
            </w:r>
            <w:r w:rsidR="00BA1639">
              <w:rPr>
                <w:noProof/>
                <w:webHidden/>
              </w:rPr>
              <w:instrText xml:space="preserve"> PAGEREF _Toc169247173 \h </w:instrText>
            </w:r>
            <w:r w:rsidR="00BA1639">
              <w:rPr>
                <w:noProof/>
                <w:webHidden/>
              </w:rPr>
            </w:r>
            <w:r w:rsidR="00BA1639">
              <w:rPr>
                <w:noProof/>
                <w:webHidden/>
              </w:rPr>
              <w:fldChar w:fldCharType="separate"/>
            </w:r>
            <w:r w:rsidR="00BA1639">
              <w:rPr>
                <w:noProof/>
                <w:webHidden/>
              </w:rPr>
              <w:t>9</w:t>
            </w:r>
            <w:r w:rsidR="00BA1639">
              <w:rPr>
                <w:noProof/>
                <w:webHidden/>
              </w:rPr>
              <w:fldChar w:fldCharType="end"/>
            </w:r>
          </w:hyperlink>
        </w:p>
        <w:p w14:paraId="610E9A2C" w14:textId="38534188" w:rsidR="00BA1639" w:rsidRDefault="00000000">
          <w:pPr>
            <w:pStyle w:val="TOC2"/>
            <w:tabs>
              <w:tab w:val="right" w:leader="dot" w:pos="9350"/>
            </w:tabs>
            <w:rPr>
              <w:rFonts w:asciiTheme="minorHAnsi" w:eastAsiaTheme="minorEastAsia" w:hAnsiTheme="minorHAnsi"/>
              <w:noProof/>
              <w:kern w:val="2"/>
              <w:sz w:val="22"/>
              <w:szCs w:val="22"/>
              <w14:ligatures w14:val="standardContextual"/>
            </w:rPr>
          </w:pPr>
          <w:hyperlink w:anchor="_Toc169247174" w:history="1">
            <w:r w:rsidR="00BA1639" w:rsidRPr="000A38F5">
              <w:rPr>
                <w:rStyle w:val="Hyperlink"/>
                <w:rFonts w:ascii="Arial" w:hAnsi="Arial" w:cs="Arial"/>
                <w:noProof/>
              </w:rPr>
              <w:t>Development - Requesting Additional Evidence from the Claimant</w:t>
            </w:r>
            <w:r w:rsidR="00BA1639">
              <w:rPr>
                <w:noProof/>
                <w:webHidden/>
              </w:rPr>
              <w:tab/>
            </w:r>
            <w:r w:rsidR="00BA1639">
              <w:rPr>
                <w:noProof/>
                <w:webHidden/>
              </w:rPr>
              <w:fldChar w:fldCharType="begin"/>
            </w:r>
            <w:r w:rsidR="00BA1639">
              <w:rPr>
                <w:noProof/>
                <w:webHidden/>
              </w:rPr>
              <w:instrText xml:space="preserve"> PAGEREF _Toc169247174 \h </w:instrText>
            </w:r>
            <w:r w:rsidR="00BA1639">
              <w:rPr>
                <w:noProof/>
                <w:webHidden/>
              </w:rPr>
            </w:r>
            <w:r w:rsidR="00BA1639">
              <w:rPr>
                <w:noProof/>
                <w:webHidden/>
              </w:rPr>
              <w:fldChar w:fldCharType="separate"/>
            </w:r>
            <w:r w:rsidR="00BA1639">
              <w:rPr>
                <w:noProof/>
                <w:webHidden/>
              </w:rPr>
              <w:t>9</w:t>
            </w:r>
            <w:r w:rsidR="00BA1639">
              <w:rPr>
                <w:noProof/>
                <w:webHidden/>
              </w:rPr>
              <w:fldChar w:fldCharType="end"/>
            </w:r>
          </w:hyperlink>
        </w:p>
        <w:p w14:paraId="083D7E21" w14:textId="111F674F" w:rsidR="00BA1639" w:rsidRDefault="00000000">
          <w:pPr>
            <w:pStyle w:val="TOC2"/>
            <w:tabs>
              <w:tab w:val="right" w:leader="dot" w:pos="9350"/>
            </w:tabs>
            <w:rPr>
              <w:rFonts w:asciiTheme="minorHAnsi" w:eastAsiaTheme="minorEastAsia" w:hAnsiTheme="minorHAnsi"/>
              <w:noProof/>
              <w:kern w:val="2"/>
              <w:sz w:val="22"/>
              <w:szCs w:val="22"/>
              <w14:ligatures w14:val="standardContextual"/>
            </w:rPr>
          </w:pPr>
          <w:hyperlink w:anchor="_Toc169247175" w:history="1">
            <w:r w:rsidR="00BA1639" w:rsidRPr="000A38F5">
              <w:rPr>
                <w:rStyle w:val="Hyperlink"/>
                <w:rFonts w:ascii="Arial" w:hAnsi="Arial" w:cs="Arial"/>
                <w:noProof/>
              </w:rPr>
              <w:t>Claims Establishment</w:t>
            </w:r>
            <w:r w:rsidR="00BA1639">
              <w:rPr>
                <w:noProof/>
                <w:webHidden/>
              </w:rPr>
              <w:tab/>
            </w:r>
            <w:r w:rsidR="00BA1639">
              <w:rPr>
                <w:noProof/>
                <w:webHidden/>
              </w:rPr>
              <w:fldChar w:fldCharType="begin"/>
            </w:r>
            <w:r w:rsidR="00BA1639">
              <w:rPr>
                <w:noProof/>
                <w:webHidden/>
              </w:rPr>
              <w:instrText xml:space="preserve"> PAGEREF _Toc169247175 \h </w:instrText>
            </w:r>
            <w:r w:rsidR="00BA1639">
              <w:rPr>
                <w:noProof/>
                <w:webHidden/>
              </w:rPr>
            </w:r>
            <w:r w:rsidR="00BA1639">
              <w:rPr>
                <w:noProof/>
                <w:webHidden/>
              </w:rPr>
              <w:fldChar w:fldCharType="separate"/>
            </w:r>
            <w:r w:rsidR="00BA1639">
              <w:rPr>
                <w:noProof/>
                <w:webHidden/>
              </w:rPr>
              <w:t>10</w:t>
            </w:r>
            <w:r w:rsidR="00BA1639">
              <w:rPr>
                <w:noProof/>
                <w:webHidden/>
              </w:rPr>
              <w:fldChar w:fldCharType="end"/>
            </w:r>
          </w:hyperlink>
        </w:p>
        <w:p w14:paraId="3A1C59EE" w14:textId="7934B716" w:rsidR="00BA1639" w:rsidRDefault="00000000">
          <w:pPr>
            <w:pStyle w:val="TOC2"/>
            <w:tabs>
              <w:tab w:val="right" w:leader="dot" w:pos="9350"/>
            </w:tabs>
            <w:rPr>
              <w:rFonts w:asciiTheme="minorHAnsi" w:eastAsiaTheme="minorEastAsia" w:hAnsiTheme="minorHAnsi"/>
              <w:noProof/>
              <w:kern w:val="2"/>
              <w:sz w:val="22"/>
              <w:szCs w:val="22"/>
              <w14:ligatures w14:val="standardContextual"/>
            </w:rPr>
          </w:pPr>
          <w:hyperlink w:anchor="_Toc169247176" w:history="1">
            <w:r w:rsidR="00BA1639" w:rsidRPr="000A38F5">
              <w:rPr>
                <w:rStyle w:val="Hyperlink"/>
                <w:rFonts w:ascii="Arial" w:hAnsi="Arial" w:cs="Arial"/>
                <w:noProof/>
              </w:rPr>
              <w:t>Processing New DIC Claims Related to PACT Act</w:t>
            </w:r>
            <w:r w:rsidR="00BA1639">
              <w:rPr>
                <w:noProof/>
                <w:webHidden/>
              </w:rPr>
              <w:tab/>
            </w:r>
            <w:r w:rsidR="00BA1639">
              <w:rPr>
                <w:noProof/>
                <w:webHidden/>
              </w:rPr>
              <w:fldChar w:fldCharType="begin"/>
            </w:r>
            <w:r w:rsidR="00BA1639">
              <w:rPr>
                <w:noProof/>
                <w:webHidden/>
              </w:rPr>
              <w:instrText xml:space="preserve"> PAGEREF _Toc169247176 \h </w:instrText>
            </w:r>
            <w:r w:rsidR="00BA1639">
              <w:rPr>
                <w:noProof/>
                <w:webHidden/>
              </w:rPr>
            </w:r>
            <w:r w:rsidR="00BA1639">
              <w:rPr>
                <w:noProof/>
                <w:webHidden/>
              </w:rPr>
              <w:fldChar w:fldCharType="separate"/>
            </w:r>
            <w:r w:rsidR="00BA1639">
              <w:rPr>
                <w:noProof/>
                <w:webHidden/>
              </w:rPr>
              <w:t>12</w:t>
            </w:r>
            <w:r w:rsidR="00BA1639">
              <w:rPr>
                <w:noProof/>
                <w:webHidden/>
              </w:rPr>
              <w:fldChar w:fldCharType="end"/>
            </w:r>
          </w:hyperlink>
        </w:p>
        <w:p w14:paraId="6CB2E42A" w14:textId="08D813F7" w:rsidR="00BA1639" w:rsidRDefault="00000000">
          <w:pPr>
            <w:pStyle w:val="TOC2"/>
            <w:tabs>
              <w:tab w:val="right" w:leader="dot" w:pos="9350"/>
            </w:tabs>
            <w:rPr>
              <w:rFonts w:asciiTheme="minorHAnsi" w:eastAsiaTheme="minorEastAsia" w:hAnsiTheme="minorHAnsi"/>
              <w:noProof/>
              <w:kern w:val="2"/>
              <w:sz w:val="22"/>
              <w:szCs w:val="22"/>
              <w14:ligatures w14:val="standardContextual"/>
            </w:rPr>
          </w:pPr>
          <w:hyperlink w:anchor="_Toc169247177" w:history="1">
            <w:r w:rsidR="00BA1639" w:rsidRPr="000A38F5">
              <w:rPr>
                <w:rStyle w:val="Hyperlink"/>
                <w:rFonts w:ascii="Arial" w:hAnsi="Arial" w:cs="Arial"/>
                <w:noProof/>
              </w:rPr>
              <w:t>Processing DIC Claims for Reevaluation of Previously Denied DIC</w:t>
            </w:r>
            <w:r w:rsidR="00BA1639">
              <w:rPr>
                <w:noProof/>
                <w:webHidden/>
              </w:rPr>
              <w:tab/>
            </w:r>
            <w:r w:rsidR="00BA1639">
              <w:rPr>
                <w:noProof/>
                <w:webHidden/>
              </w:rPr>
              <w:fldChar w:fldCharType="begin"/>
            </w:r>
            <w:r w:rsidR="00BA1639">
              <w:rPr>
                <w:noProof/>
                <w:webHidden/>
              </w:rPr>
              <w:instrText xml:space="preserve"> PAGEREF _Toc169247177 \h </w:instrText>
            </w:r>
            <w:r w:rsidR="00BA1639">
              <w:rPr>
                <w:noProof/>
                <w:webHidden/>
              </w:rPr>
            </w:r>
            <w:r w:rsidR="00BA1639">
              <w:rPr>
                <w:noProof/>
                <w:webHidden/>
              </w:rPr>
              <w:fldChar w:fldCharType="separate"/>
            </w:r>
            <w:r w:rsidR="00BA1639">
              <w:rPr>
                <w:noProof/>
                <w:webHidden/>
              </w:rPr>
              <w:t>13</w:t>
            </w:r>
            <w:r w:rsidR="00BA1639">
              <w:rPr>
                <w:noProof/>
                <w:webHidden/>
              </w:rPr>
              <w:fldChar w:fldCharType="end"/>
            </w:r>
          </w:hyperlink>
        </w:p>
        <w:p w14:paraId="25E7FDE5" w14:textId="2DBD13FF" w:rsidR="00BA1639" w:rsidRDefault="00000000">
          <w:pPr>
            <w:pStyle w:val="TOC2"/>
            <w:tabs>
              <w:tab w:val="right" w:leader="dot" w:pos="9350"/>
            </w:tabs>
            <w:rPr>
              <w:rFonts w:asciiTheme="minorHAnsi" w:eastAsiaTheme="minorEastAsia" w:hAnsiTheme="minorHAnsi"/>
              <w:noProof/>
              <w:kern w:val="2"/>
              <w:sz w:val="22"/>
              <w:szCs w:val="22"/>
              <w14:ligatures w14:val="standardContextual"/>
            </w:rPr>
          </w:pPr>
          <w:hyperlink w:anchor="_Toc169247178" w:history="1">
            <w:r w:rsidR="00BA1639" w:rsidRPr="000A38F5">
              <w:rPr>
                <w:rStyle w:val="Hyperlink"/>
                <w:rFonts w:ascii="Arial" w:hAnsi="Arial" w:cs="Arial"/>
                <w:noProof/>
              </w:rPr>
              <w:t>Processing Service-Connected Burial Claims Related to PACT Act</w:t>
            </w:r>
            <w:r w:rsidR="00BA1639">
              <w:rPr>
                <w:noProof/>
                <w:webHidden/>
              </w:rPr>
              <w:tab/>
            </w:r>
            <w:r w:rsidR="00BA1639">
              <w:rPr>
                <w:noProof/>
                <w:webHidden/>
              </w:rPr>
              <w:fldChar w:fldCharType="begin"/>
            </w:r>
            <w:r w:rsidR="00BA1639">
              <w:rPr>
                <w:noProof/>
                <w:webHidden/>
              </w:rPr>
              <w:instrText xml:space="preserve"> PAGEREF _Toc169247178 \h </w:instrText>
            </w:r>
            <w:r w:rsidR="00BA1639">
              <w:rPr>
                <w:noProof/>
                <w:webHidden/>
              </w:rPr>
            </w:r>
            <w:r w:rsidR="00BA1639">
              <w:rPr>
                <w:noProof/>
                <w:webHidden/>
              </w:rPr>
              <w:fldChar w:fldCharType="separate"/>
            </w:r>
            <w:r w:rsidR="00BA1639">
              <w:rPr>
                <w:noProof/>
                <w:webHidden/>
              </w:rPr>
              <w:t>15</w:t>
            </w:r>
            <w:r w:rsidR="00BA1639">
              <w:rPr>
                <w:noProof/>
                <w:webHidden/>
              </w:rPr>
              <w:fldChar w:fldCharType="end"/>
            </w:r>
          </w:hyperlink>
        </w:p>
        <w:p w14:paraId="5003FD8D" w14:textId="1367291B" w:rsidR="00BA1639" w:rsidRDefault="00000000">
          <w:pPr>
            <w:pStyle w:val="TOC2"/>
            <w:tabs>
              <w:tab w:val="right" w:leader="dot" w:pos="9350"/>
            </w:tabs>
            <w:rPr>
              <w:rFonts w:asciiTheme="minorHAnsi" w:eastAsiaTheme="minorEastAsia" w:hAnsiTheme="minorHAnsi"/>
              <w:noProof/>
              <w:kern w:val="2"/>
              <w:sz w:val="22"/>
              <w:szCs w:val="22"/>
              <w14:ligatures w14:val="standardContextual"/>
            </w:rPr>
          </w:pPr>
          <w:hyperlink w:anchor="_Toc169247179" w:history="1">
            <w:r w:rsidR="00BA1639" w:rsidRPr="000A38F5">
              <w:rPr>
                <w:rStyle w:val="Hyperlink"/>
                <w:rFonts w:ascii="Arial" w:hAnsi="Arial" w:cs="Arial"/>
                <w:noProof/>
              </w:rPr>
              <w:t>Processing Accrued Claims and Requests for Substitution Related to PACT Act</w:t>
            </w:r>
            <w:r w:rsidR="00BA1639">
              <w:rPr>
                <w:noProof/>
                <w:webHidden/>
              </w:rPr>
              <w:tab/>
            </w:r>
            <w:r w:rsidR="00BA1639">
              <w:rPr>
                <w:noProof/>
                <w:webHidden/>
              </w:rPr>
              <w:fldChar w:fldCharType="begin"/>
            </w:r>
            <w:r w:rsidR="00BA1639">
              <w:rPr>
                <w:noProof/>
                <w:webHidden/>
              </w:rPr>
              <w:instrText xml:space="preserve"> PAGEREF _Toc169247179 \h </w:instrText>
            </w:r>
            <w:r w:rsidR="00BA1639">
              <w:rPr>
                <w:noProof/>
                <w:webHidden/>
              </w:rPr>
            </w:r>
            <w:r w:rsidR="00BA1639">
              <w:rPr>
                <w:noProof/>
                <w:webHidden/>
              </w:rPr>
              <w:fldChar w:fldCharType="separate"/>
            </w:r>
            <w:r w:rsidR="00BA1639">
              <w:rPr>
                <w:noProof/>
                <w:webHidden/>
              </w:rPr>
              <w:t>15</w:t>
            </w:r>
            <w:r w:rsidR="00BA1639">
              <w:rPr>
                <w:noProof/>
                <w:webHidden/>
              </w:rPr>
              <w:fldChar w:fldCharType="end"/>
            </w:r>
          </w:hyperlink>
        </w:p>
        <w:p w14:paraId="4422EF60" w14:textId="7F299B68" w:rsidR="00BA1639" w:rsidRDefault="00000000">
          <w:pPr>
            <w:pStyle w:val="TOC2"/>
            <w:tabs>
              <w:tab w:val="right" w:leader="dot" w:pos="9350"/>
            </w:tabs>
            <w:rPr>
              <w:rFonts w:asciiTheme="minorHAnsi" w:eastAsiaTheme="minorEastAsia" w:hAnsiTheme="minorHAnsi"/>
              <w:noProof/>
              <w:kern w:val="2"/>
              <w:sz w:val="22"/>
              <w:szCs w:val="22"/>
              <w14:ligatures w14:val="standardContextual"/>
            </w:rPr>
          </w:pPr>
          <w:hyperlink w:anchor="_Toc169247180" w:history="1">
            <w:r w:rsidR="00BA1639" w:rsidRPr="000A38F5">
              <w:rPr>
                <w:rStyle w:val="Hyperlink"/>
                <w:rFonts w:ascii="Arial" w:hAnsi="Arial" w:cs="Arial"/>
                <w:noProof/>
              </w:rPr>
              <w:t>Processing Supplemental Claims Requesting DIC</w:t>
            </w:r>
            <w:r w:rsidR="00BA1639">
              <w:rPr>
                <w:noProof/>
                <w:webHidden/>
              </w:rPr>
              <w:tab/>
            </w:r>
            <w:r w:rsidR="00BA1639">
              <w:rPr>
                <w:noProof/>
                <w:webHidden/>
              </w:rPr>
              <w:fldChar w:fldCharType="begin"/>
            </w:r>
            <w:r w:rsidR="00BA1639">
              <w:rPr>
                <w:noProof/>
                <w:webHidden/>
              </w:rPr>
              <w:instrText xml:space="preserve"> PAGEREF _Toc169247180 \h </w:instrText>
            </w:r>
            <w:r w:rsidR="00BA1639">
              <w:rPr>
                <w:noProof/>
                <w:webHidden/>
              </w:rPr>
            </w:r>
            <w:r w:rsidR="00BA1639">
              <w:rPr>
                <w:noProof/>
                <w:webHidden/>
              </w:rPr>
              <w:fldChar w:fldCharType="separate"/>
            </w:r>
            <w:r w:rsidR="00BA1639">
              <w:rPr>
                <w:noProof/>
                <w:webHidden/>
              </w:rPr>
              <w:t>15</w:t>
            </w:r>
            <w:r w:rsidR="00BA1639">
              <w:rPr>
                <w:noProof/>
                <w:webHidden/>
              </w:rPr>
              <w:fldChar w:fldCharType="end"/>
            </w:r>
          </w:hyperlink>
        </w:p>
        <w:p w14:paraId="0B4617F6" w14:textId="3790E297" w:rsidR="00BA1639" w:rsidRDefault="00000000">
          <w:pPr>
            <w:pStyle w:val="TOC2"/>
            <w:tabs>
              <w:tab w:val="right" w:leader="dot" w:pos="9350"/>
            </w:tabs>
            <w:rPr>
              <w:rFonts w:asciiTheme="minorHAnsi" w:eastAsiaTheme="minorEastAsia" w:hAnsiTheme="minorHAnsi"/>
              <w:noProof/>
              <w:kern w:val="2"/>
              <w:sz w:val="22"/>
              <w:szCs w:val="22"/>
              <w14:ligatures w14:val="standardContextual"/>
            </w:rPr>
          </w:pPr>
          <w:hyperlink w:anchor="_Toc169247181" w:history="1">
            <w:r w:rsidR="00BA1639" w:rsidRPr="000A38F5">
              <w:rPr>
                <w:rStyle w:val="Hyperlink"/>
                <w:rFonts w:ascii="Arial" w:hAnsi="Arial" w:cs="Arial"/>
                <w:noProof/>
              </w:rPr>
              <w:t>Processing HLRs and Supplemental Claims Requesting Reevaluation of a Previously Denied DIC Claim</w:t>
            </w:r>
            <w:r w:rsidR="00BA1639">
              <w:rPr>
                <w:noProof/>
                <w:webHidden/>
              </w:rPr>
              <w:tab/>
            </w:r>
            <w:r w:rsidR="00BA1639">
              <w:rPr>
                <w:noProof/>
                <w:webHidden/>
              </w:rPr>
              <w:fldChar w:fldCharType="begin"/>
            </w:r>
            <w:r w:rsidR="00BA1639">
              <w:rPr>
                <w:noProof/>
                <w:webHidden/>
              </w:rPr>
              <w:instrText xml:space="preserve"> PAGEREF _Toc169247181 \h </w:instrText>
            </w:r>
            <w:r w:rsidR="00BA1639">
              <w:rPr>
                <w:noProof/>
                <w:webHidden/>
              </w:rPr>
            </w:r>
            <w:r w:rsidR="00BA1639">
              <w:rPr>
                <w:noProof/>
                <w:webHidden/>
              </w:rPr>
              <w:fldChar w:fldCharType="separate"/>
            </w:r>
            <w:r w:rsidR="00BA1639">
              <w:rPr>
                <w:noProof/>
                <w:webHidden/>
              </w:rPr>
              <w:t>16</w:t>
            </w:r>
            <w:r w:rsidR="00BA1639">
              <w:rPr>
                <w:noProof/>
                <w:webHidden/>
              </w:rPr>
              <w:fldChar w:fldCharType="end"/>
            </w:r>
          </w:hyperlink>
        </w:p>
        <w:p w14:paraId="1B11E2EE" w14:textId="08E4E1AF" w:rsidR="00BA1639" w:rsidRDefault="00000000">
          <w:pPr>
            <w:pStyle w:val="TOC2"/>
            <w:tabs>
              <w:tab w:val="right" w:leader="dot" w:pos="9350"/>
            </w:tabs>
            <w:rPr>
              <w:rFonts w:asciiTheme="minorHAnsi" w:eastAsiaTheme="minorEastAsia" w:hAnsiTheme="minorHAnsi"/>
              <w:noProof/>
              <w:kern w:val="2"/>
              <w:sz w:val="22"/>
              <w:szCs w:val="22"/>
              <w14:ligatures w14:val="standardContextual"/>
            </w:rPr>
          </w:pPr>
          <w:hyperlink w:anchor="_Toc169247182" w:history="1">
            <w:r w:rsidR="00BA1639" w:rsidRPr="000A38F5">
              <w:rPr>
                <w:rStyle w:val="Hyperlink"/>
                <w:rFonts w:ascii="Arial" w:hAnsi="Arial" w:cs="Arial"/>
                <w:noProof/>
              </w:rPr>
              <w:t>Processing HLRs and Supplemental Claims Requesting Reevaluation of a Previously Denied DIC Claim</w:t>
            </w:r>
            <w:r w:rsidR="00BA1639">
              <w:rPr>
                <w:noProof/>
                <w:webHidden/>
              </w:rPr>
              <w:tab/>
            </w:r>
            <w:r w:rsidR="00BA1639">
              <w:rPr>
                <w:noProof/>
                <w:webHidden/>
              </w:rPr>
              <w:fldChar w:fldCharType="begin"/>
            </w:r>
            <w:r w:rsidR="00BA1639">
              <w:rPr>
                <w:noProof/>
                <w:webHidden/>
              </w:rPr>
              <w:instrText xml:space="preserve"> PAGEREF _Toc169247182 \h </w:instrText>
            </w:r>
            <w:r w:rsidR="00BA1639">
              <w:rPr>
                <w:noProof/>
                <w:webHidden/>
              </w:rPr>
            </w:r>
            <w:r w:rsidR="00BA1639">
              <w:rPr>
                <w:noProof/>
                <w:webHidden/>
              </w:rPr>
              <w:fldChar w:fldCharType="separate"/>
            </w:r>
            <w:r w:rsidR="00BA1639">
              <w:rPr>
                <w:noProof/>
                <w:webHidden/>
              </w:rPr>
              <w:t>17</w:t>
            </w:r>
            <w:r w:rsidR="00BA1639">
              <w:rPr>
                <w:noProof/>
                <w:webHidden/>
              </w:rPr>
              <w:fldChar w:fldCharType="end"/>
            </w:r>
          </w:hyperlink>
        </w:p>
        <w:p w14:paraId="183B7E88" w14:textId="53DA6444" w:rsidR="00BA1639" w:rsidRDefault="00000000">
          <w:pPr>
            <w:pStyle w:val="TOC2"/>
            <w:tabs>
              <w:tab w:val="right" w:leader="dot" w:pos="9350"/>
            </w:tabs>
            <w:rPr>
              <w:rFonts w:asciiTheme="minorHAnsi" w:eastAsiaTheme="minorEastAsia" w:hAnsiTheme="minorHAnsi"/>
              <w:noProof/>
              <w:kern w:val="2"/>
              <w:sz w:val="22"/>
              <w:szCs w:val="22"/>
              <w14:ligatures w14:val="standardContextual"/>
            </w:rPr>
          </w:pPr>
          <w:hyperlink w:anchor="_Toc169247183" w:history="1">
            <w:r w:rsidR="00BA1639" w:rsidRPr="000A38F5">
              <w:rPr>
                <w:rStyle w:val="Hyperlink"/>
                <w:rFonts w:ascii="Arial" w:hAnsi="Arial" w:cs="Arial"/>
                <w:noProof/>
              </w:rPr>
              <w:t>Individual Longitudinal Exposure Record (ILER)</w:t>
            </w:r>
            <w:r w:rsidR="00BA1639">
              <w:rPr>
                <w:noProof/>
                <w:webHidden/>
              </w:rPr>
              <w:tab/>
            </w:r>
            <w:r w:rsidR="00BA1639">
              <w:rPr>
                <w:noProof/>
                <w:webHidden/>
              </w:rPr>
              <w:fldChar w:fldCharType="begin"/>
            </w:r>
            <w:r w:rsidR="00BA1639">
              <w:rPr>
                <w:noProof/>
                <w:webHidden/>
              </w:rPr>
              <w:instrText xml:space="preserve"> PAGEREF _Toc169247183 \h </w:instrText>
            </w:r>
            <w:r w:rsidR="00BA1639">
              <w:rPr>
                <w:noProof/>
                <w:webHidden/>
              </w:rPr>
            </w:r>
            <w:r w:rsidR="00BA1639">
              <w:rPr>
                <w:noProof/>
                <w:webHidden/>
              </w:rPr>
              <w:fldChar w:fldCharType="separate"/>
            </w:r>
            <w:r w:rsidR="00BA1639">
              <w:rPr>
                <w:noProof/>
                <w:webHidden/>
              </w:rPr>
              <w:t>17</w:t>
            </w:r>
            <w:r w:rsidR="00BA1639">
              <w:rPr>
                <w:noProof/>
                <w:webHidden/>
              </w:rPr>
              <w:fldChar w:fldCharType="end"/>
            </w:r>
          </w:hyperlink>
        </w:p>
        <w:p w14:paraId="3D71F87B" w14:textId="147DB4FD" w:rsidR="00BA1639" w:rsidRDefault="00000000">
          <w:pPr>
            <w:pStyle w:val="TOC1"/>
            <w:tabs>
              <w:tab w:val="right" w:leader="dot" w:pos="9350"/>
            </w:tabs>
            <w:rPr>
              <w:rFonts w:asciiTheme="minorHAnsi" w:eastAsiaTheme="minorEastAsia" w:hAnsiTheme="minorHAnsi"/>
              <w:bCs w:val="0"/>
              <w:noProof/>
              <w:kern w:val="2"/>
              <w:szCs w:val="22"/>
              <w14:ligatures w14:val="standardContextual"/>
            </w:rPr>
          </w:pPr>
          <w:hyperlink w:anchor="_Toc169247184" w:history="1">
            <w:r w:rsidR="00BA1639" w:rsidRPr="000A38F5">
              <w:rPr>
                <w:rStyle w:val="Hyperlink"/>
                <w:rFonts w:ascii="Arial" w:hAnsi="Arial" w:cs="Arial"/>
                <w:noProof/>
              </w:rPr>
              <w:t>Using the TERA Tool</w:t>
            </w:r>
            <w:r w:rsidR="00BA1639">
              <w:rPr>
                <w:noProof/>
                <w:webHidden/>
              </w:rPr>
              <w:tab/>
            </w:r>
            <w:r w:rsidR="00BA1639">
              <w:rPr>
                <w:noProof/>
                <w:webHidden/>
              </w:rPr>
              <w:fldChar w:fldCharType="begin"/>
            </w:r>
            <w:r w:rsidR="00BA1639">
              <w:rPr>
                <w:noProof/>
                <w:webHidden/>
              </w:rPr>
              <w:instrText xml:space="preserve"> PAGEREF _Toc169247184 \h </w:instrText>
            </w:r>
            <w:r w:rsidR="00BA1639">
              <w:rPr>
                <w:noProof/>
                <w:webHidden/>
              </w:rPr>
            </w:r>
            <w:r w:rsidR="00BA1639">
              <w:rPr>
                <w:noProof/>
                <w:webHidden/>
              </w:rPr>
              <w:fldChar w:fldCharType="separate"/>
            </w:r>
            <w:r w:rsidR="00BA1639">
              <w:rPr>
                <w:noProof/>
                <w:webHidden/>
              </w:rPr>
              <w:t>18</w:t>
            </w:r>
            <w:r w:rsidR="00BA1639">
              <w:rPr>
                <w:noProof/>
                <w:webHidden/>
              </w:rPr>
              <w:fldChar w:fldCharType="end"/>
            </w:r>
          </w:hyperlink>
        </w:p>
        <w:p w14:paraId="58564EB0" w14:textId="1A720AD9" w:rsidR="00BA1639" w:rsidRDefault="00000000">
          <w:pPr>
            <w:pStyle w:val="TOC1"/>
            <w:tabs>
              <w:tab w:val="right" w:leader="dot" w:pos="9350"/>
            </w:tabs>
            <w:rPr>
              <w:rFonts w:asciiTheme="minorHAnsi" w:eastAsiaTheme="minorEastAsia" w:hAnsiTheme="minorHAnsi"/>
              <w:bCs w:val="0"/>
              <w:noProof/>
              <w:kern w:val="2"/>
              <w:szCs w:val="22"/>
              <w14:ligatures w14:val="standardContextual"/>
            </w:rPr>
          </w:pPr>
          <w:hyperlink w:anchor="_Toc169247185" w:history="1">
            <w:r w:rsidR="00BA1639" w:rsidRPr="000A38F5">
              <w:rPr>
                <w:rStyle w:val="Hyperlink"/>
                <w:rFonts w:ascii="Arial" w:hAnsi="Arial" w:cs="Arial"/>
                <w:noProof/>
              </w:rPr>
              <w:t>Exceptions to Ordering TERA Examinations</w:t>
            </w:r>
            <w:r w:rsidR="00BA1639">
              <w:rPr>
                <w:noProof/>
                <w:webHidden/>
              </w:rPr>
              <w:tab/>
            </w:r>
            <w:r w:rsidR="00BA1639">
              <w:rPr>
                <w:noProof/>
                <w:webHidden/>
              </w:rPr>
              <w:fldChar w:fldCharType="begin"/>
            </w:r>
            <w:r w:rsidR="00BA1639">
              <w:rPr>
                <w:noProof/>
                <w:webHidden/>
              </w:rPr>
              <w:instrText xml:space="preserve"> PAGEREF _Toc169247185 \h </w:instrText>
            </w:r>
            <w:r w:rsidR="00BA1639">
              <w:rPr>
                <w:noProof/>
                <w:webHidden/>
              </w:rPr>
            </w:r>
            <w:r w:rsidR="00BA1639">
              <w:rPr>
                <w:noProof/>
                <w:webHidden/>
              </w:rPr>
              <w:fldChar w:fldCharType="separate"/>
            </w:r>
            <w:r w:rsidR="00BA1639">
              <w:rPr>
                <w:noProof/>
                <w:webHidden/>
              </w:rPr>
              <w:t>19</w:t>
            </w:r>
            <w:r w:rsidR="00BA1639">
              <w:rPr>
                <w:noProof/>
                <w:webHidden/>
              </w:rPr>
              <w:fldChar w:fldCharType="end"/>
            </w:r>
          </w:hyperlink>
        </w:p>
        <w:p w14:paraId="0215A523" w14:textId="411AF40A" w:rsidR="00BA1639" w:rsidRDefault="00000000">
          <w:pPr>
            <w:pStyle w:val="TOC1"/>
            <w:tabs>
              <w:tab w:val="right" w:leader="dot" w:pos="9350"/>
            </w:tabs>
            <w:rPr>
              <w:rFonts w:asciiTheme="minorHAnsi" w:eastAsiaTheme="minorEastAsia" w:hAnsiTheme="minorHAnsi"/>
              <w:bCs w:val="0"/>
              <w:noProof/>
              <w:kern w:val="2"/>
              <w:szCs w:val="22"/>
              <w14:ligatures w14:val="standardContextual"/>
            </w:rPr>
          </w:pPr>
          <w:hyperlink w:anchor="_Toc169247186" w:history="1">
            <w:r w:rsidR="00BA1639" w:rsidRPr="000A38F5">
              <w:rPr>
                <w:rStyle w:val="Hyperlink"/>
                <w:rFonts w:ascii="Arial" w:hAnsi="Arial" w:cs="Arial"/>
                <w:noProof/>
              </w:rPr>
              <w:t>Steps to Take Once a Veteran from ANY Period of Service</w:t>
            </w:r>
            <w:r w:rsidR="00BA1639">
              <w:rPr>
                <w:noProof/>
                <w:webHidden/>
              </w:rPr>
              <w:tab/>
            </w:r>
            <w:r w:rsidR="00BA1639">
              <w:rPr>
                <w:noProof/>
                <w:webHidden/>
              </w:rPr>
              <w:fldChar w:fldCharType="begin"/>
            </w:r>
            <w:r w:rsidR="00BA1639">
              <w:rPr>
                <w:noProof/>
                <w:webHidden/>
              </w:rPr>
              <w:instrText xml:space="preserve"> PAGEREF _Toc169247186 \h </w:instrText>
            </w:r>
            <w:r w:rsidR="00BA1639">
              <w:rPr>
                <w:noProof/>
                <w:webHidden/>
              </w:rPr>
            </w:r>
            <w:r w:rsidR="00BA1639">
              <w:rPr>
                <w:noProof/>
                <w:webHidden/>
              </w:rPr>
              <w:fldChar w:fldCharType="separate"/>
            </w:r>
            <w:r w:rsidR="00BA1639">
              <w:rPr>
                <w:noProof/>
                <w:webHidden/>
              </w:rPr>
              <w:t>20</w:t>
            </w:r>
            <w:r w:rsidR="00BA1639">
              <w:rPr>
                <w:noProof/>
                <w:webHidden/>
              </w:rPr>
              <w:fldChar w:fldCharType="end"/>
            </w:r>
          </w:hyperlink>
        </w:p>
        <w:p w14:paraId="070CF4CE" w14:textId="136CD21C" w:rsidR="00FF65C4" w:rsidRPr="0049707E" w:rsidRDefault="00FF65C4" w:rsidP="00FF65C4">
          <w:pPr>
            <w:rPr>
              <w:rFonts w:ascii="Arial" w:hAnsi="Arial" w:cs="Arial"/>
              <w:noProof/>
              <w:sz w:val="24"/>
              <w:szCs w:val="24"/>
            </w:rPr>
          </w:pPr>
          <w:r w:rsidRPr="0049707E">
            <w:rPr>
              <w:rFonts w:ascii="Arial" w:hAnsi="Arial" w:cs="Arial"/>
              <w:b/>
              <w:bCs/>
              <w:noProof/>
              <w:sz w:val="24"/>
              <w:szCs w:val="24"/>
            </w:rPr>
            <w:fldChar w:fldCharType="end"/>
          </w:r>
        </w:p>
      </w:sdtContent>
    </w:sdt>
    <w:p w14:paraId="0BD8F9A5" w14:textId="1DEDF560" w:rsidR="00FF65C4" w:rsidRDefault="00FF65C4">
      <w:pPr>
        <w:rPr>
          <w:rFonts w:ascii="Verdana" w:hAnsi="Verdana"/>
          <w:b/>
          <w:bCs/>
          <w:sz w:val="20"/>
          <w:szCs w:val="20"/>
        </w:rPr>
      </w:pPr>
    </w:p>
    <w:p w14:paraId="3C02A0D6" w14:textId="77777777" w:rsidR="00FF65C4" w:rsidRDefault="00FF65C4">
      <w:pPr>
        <w:rPr>
          <w:rFonts w:ascii="Verdana" w:hAnsi="Verdana"/>
          <w:b/>
          <w:bCs/>
          <w:sz w:val="20"/>
          <w:szCs w:val="20"/>
        </w:rPr>
      </w:pPr>
      <w:r>
        <w:rPr>
          <w:b/>
          <w:bCs/>
          <w:sz w:val="20"/>
          <w:szCs w:val="20"/>
        </w:rPr>
        <w:br w:type="page"/>
      </w:r>
    </w:p>
    <w:p w14:paraId="050C3A94" w14:textId="488A4284" w:rsidR="003F0654" w:rsidRPr="0049707E" w:rsidRDefault="003F0654" w:rsidP="003F0654">
      <w:pPr>
        <w:pStyle w:val="VBAILTBody"/>
        <w:rPr>
          <w:rFonts w:ascii="Arial" w:hAnsi="Arial" w:cs="Arial"/>
          <w:sz w:val="24"/>
          <w:szCs w:val="24"/>
        </w:rPr>
      </w:pPr>
      <w:r w:rsidRPr="0049707E">
        <w:rPr>
          <w:rFonts w:ascii="Arial" w:hAnsi="Arial" w:cs="Arial"/>
          <w:b/>
          <w:bCs/>
          <w:sz w:val="24"/>
          <w:szCs w:val="24"/>
        </w:rPr>
        <w:lastRenderedPageBreak/>
        <w:t>Please note:</w:t>
      </w:r>
      <w:r w:rsidRPr="0049707E">
        <w:rPr>
          <w:rFonts w:ascii="Arial" w:hAnsi="Arial" w:cs="Arial"/>
          <w:sz w:val="24"/>
          <w:szCs w:val="24"/>
        </w:rPr>
        <w:t xml:space="preserve"> this job aid serves as a</w:t>
      </w:r>
      <w:r w:rsidR="0049707E" w:rsidRPr="0049707E">
        <w:rPr>
          <w:rFonts w:ascii="Arial" w:hAnsi="Arial" w:cs="Arial"/>
          <w:sz w:val="24"/>
          <w:szCs w:val="24"/>
        </w:rPr>
        <w:t xml:space="preserve">n </w:t>
      </w:r>
      <w:r w:rsidR="0049707E" w:rsidRPr="0049707E">
        <w:rPr>
          <w:rFonts w:ascii="Arial" w:hAnsi="Arial" w:cs="Arial"/>
          <w:b/>
          <w:bCs/>
          <w:sz w:val="24"/>
          <w:szCs w:val="24"/>
          <w:u w:val="single"/>
        </w:rPr>
        <w:t xml:space="preserve">introductory </w:t>
      </w:r>
      <w:r w:rsidRPr="0049707E">
        <w:rPr>
          <w:rFonts w:ascii="Arial" w:hAnsi="Arial" w:cs="Arial"/>
          <w:b/>
          <w:bCs/>
          <w:sz w:val="24"/>
          <w:szCs w:val="24"/>
          <w:u w:val="single"/>
        </w:rPr>
        <w:t>guide only</w:t>
      </w:r>
      <w:r w:rsidRPr="0049707E">
        <w:rPr>
          <w:rFonts w:ascii="Arial" w:hAnsi="Arial" w:cs="Arial"/>
          <w:sz w:val="24"/>
          <w:szCs w:val="24"/>
        </w:rPr>
        <w:t xml:space="preserve"> and </w:t>
      </w:r>
      <w:r w:rsidRPr="0049707E">
        <w:rPr>
          <w:rFonts w:ascii="Arial" w:hAnsi="Arial" w:cs="Arial"/>
          <w:b/>
          <w:bCs/>
          <w:sz w:val="24"/>
          <w:szCs w:val="24"/>
          <w:u w:val="single"/>
        </w:rPr>
        <w:t>is not all-inclusive</w:t>
      </w:r>
      <w:r w:rsidRPr="0049707E">
        <w:rPr>
          <w:rFonts w:ascii="Arial" w:hAnsi="Arial" w:cs="Arial"/>
          <w:sz w:val="24"/>
          <w:szCs w:val="24"/>
        </w:rPr>
        <w:t xml:space="preserve">. VSRs are encouraged to refer to the </w:t>
      </w:r>
      <w:hyperlink r:id="rId10" w:history="1">
        <w:r w:rsidRPr="0049707E">
          <w:rPr>
            <w:rStyle w:val="Hyperlink"/>
            <w:rFonts w:ascii="Arial" w:hAnsi="Arial" w:cs="Arial"/>
            <w:b/>
            <w:bCs/>
            <w:color w:val="4472C4" w:themeColor="accent1"/>
            <w:sz w:val="24"/>
            <w:szCs w:val="24"/>
            <w:u w:val="single"/>
          </w:rPr>
          <w:t>P&amp;F Subpage</w:t>
        </w:r>
      </w:hyperlink>
      <w:r w:rsidRPr="0049707E">
        <w:rPr>
          <w:rFonts w:ascii="Arial" w:hAnsi="Arial" w:cs="Arial"/>
          <w:sz w:val="24"/>
          <w:szCs w:val="24"/>
        </w:rPr>
        <w:t xml:space="preserve"> for complete guidance.</w:t>
      </w:r>
      <w:r w:rsidR="00BC6D4C" w:rsidRPr="0049707E">
        <w:rPr>
          <w:rFonts w:ascii="Arial" w:hAnsi="Arial" w:cs="Arial"/>
          <w:sz w:val="24"/>
          <w:szCs w:val="24"/>
        </w:rPr>
        <w:t xml:space="preserve"> You may also use the </w:t>
      </w:r>
      <w:hyperlink r:id="rId11" w:history="1">
        <w:r w:rsidR="00536621" w:rsidRPr="0049707E">
          <w:rPr>
            <w:rStyle w:val="Hyperlink"/>
            <w:rFonts w:ascii="Arial" w:hAnsi="Arial" w:cs="Arial"/>
            <w:b/>
            <w:bCs/>
            <w:color w:val="0070C0"/>
            <w:sz w:val="24"/>
            <w:szCs w:val="24"/>
            <w:u w:val="single"/>
          </w:rPr>
          <w:t>PMC PCGL PACT Act Reevaluation Scenario Paragraphs</w:t>
        </w:r>
      </w:hyperlink>
      <w:r w:rsidR="00536621" w:rsidRPr="0049707E">
        <w:rPr>
          <w:rFonts w:ascii="Arial" w:hAnsi="Arial" w:cs="Arial"/>
          <w:sz w:val="24"/>
          <w:szCs w:val="24"/>
        </w:rPr>
        <w:t xml:space="preserve"> pdf or </w:t>
      </w:r>
      <w:hyperlink r:id="rId12" w:history="1">
        <w:r w:rsidR="00BC6D4C" w:rsidRPr="0049707E">
          <w:rPr>
            <w:rStyle w:val="Hyperlink"/>
            <w:rFonts w:ascii="Arial" w:hAnsi="Arial" w:cs="Arial"/>
            <w:b/>
            <w:bCs/>
            <w:color w:val="0070C0"/>
            <w:sz w:val="24"/>
            <w:szCs w:val="24"/>
            <w:u w:val="single"/>
          </w:rPr>
          <w:t>Notification Language</w:t>
        </w:r>
      </w:hyperlink>
      <w:r w:rsidR="00BC6D4C" w:rsidRPr="0049707E">
        <w:rPr>
          <w:rFonts w:ascii="Arial" w:hAnsi="Arial" w:cs="Arial"/>
          <w:sz w:val="24"/>
          <w:szCs w:val="24"/>
        </w:rPr>
        <w:t xml:space="preserve"> job aid for paragraphs needed within the “How We Made Our Decision” section of the notification letter.</w:t>
      </w:r>
    </w:p>
    <w:p w14:paraId="536ED40C" w14:textId="5FD65D9F" w:rsidR="00FF65C4" w:rsidRPr="0049707E" w:rsidRDefault="00FF65C4" w:rsidP="00FF65C4">
      <w:pPr>
        <w:pStyle w:val="VBAILTHeading2"/>
        <w:rPr>
          <w:rFonts w:ascii="Arial" w:hAnsi="Arial" w:cs="Arial"/>
        </w:rPr>
      </w:pPr>
      <w:bookmarkStart w:id="0" w:name="_Toc169247166"/>
      <w:r w:rsidRPr="0049707E">
        <w:rPr>
          <w:rFonts w:ascii="Arial" w:hAnsi="Arial" w:cs="Arial"/>
        </w:rPr>
        <w:t>References</w:t>
      </w:r>
      <w:bookmarkEnd w:id="0"/>
    </w:p>
    <w:p w14:paraId="589CE724" w14:textId="0CBF1A00" w:rsidR="00E00339" w:rsidRDefault="00000000" w:rsidP="00E44600">
      <w:pPr>
        <w:pStyle w:val="VBAILTBody"/>
        <w:numPr>
          <w:ilvl w:val="0"/>
          <w:numId w:val="14"/>
        </w:numPr>
        <w:rPr>
          <w:rFonts w:ascii="Arial" w:hAnsi="Arial" w:cs="Arial"/>
          <w:sz w:val="24"/>
          <w:szCs w:val="24"/>
        </w:rPr>
      </w:pPr>
      <w:hyperlink r:id="rId13" w:history="1">
        <w:r w:rsidR="00E00339" w:rsidRPr="00E00339">
          <w:rPr>
            <w:rStyle w:val="Hyperlink"/>
            <w:rFonts w:ascii="Arial" w:hAnsi="Arial" w:cs="Arial"/>
            <w:sz w:val="24"/>
            <w:szCs w:val="24"/>
          </w:rPr>
          <w:t>PL 117-168</w:t>
        </w:r>
      </w:hyperlink>
      <w:r w:rsidR="00E00339">
        <w:rPr>
          <w:rFonts w:ascii="Arial" w:hAnsi="Arial" w:cs="Arial"/>
          <w:sz w:val="24"/>
          <w:szCs w:val="24"/>
        </w:rPr>
        <w:t xml:space="preserve"> (Honoring our PACT Act of 2022)</w:t>
      </w:r>
    </w:p>
    <w:p w14:paraId="5B46D15C" w14:textId="28F4F662" w:rsidR="005E7A7C" w:rsidRDefault="005E7A7C" w:rsidP="00E44600">
      <w:pPr>
        <w:pStyle w:val="VBAILTBody"/>
        <w:numPr>
          <w:ilvl w:val="0"/>
          <w:numId w:val="14"/>
        </w:numPr>
        <w:rPr>
          <w:rFonts w:ascii="Arial" w:hAnsi="Arial" w:cs="Arial"/>
          <w:sz w:val="24"/>
          <w:szCs w:val="24"/>
        </w:rPr>
      </w:pPr>
      <w:r>
        <w:rPr>
          <w:rFonts w:ascii="Arial" w:hAnsi="Arial" w:cs="Arial"/>
          <w:sz w:val="24"/>
          <w:szCs w:val="24"/>
        </w:rPr>
        <w:t>38 USC 1117 (Compensation for Disabilities Occurring in Persian Gulf War Veterans)</w:t>
      </w:r>
    </w:p>
    <w:p w14:paraId="6D045B2B" w14:textId="25E8490A" w:rsidR="009D2DFB" w:rsidRDefault="009D2DFB" w:rsidP="00E44600">
      <w:pPr>
        <w:pStyle w:val="VBAILTBody"/>
        <w:numPr>
          <w:ilvl w:val="0"/>
          <w:numId w:val="14"/>
        </w:numPr>
        <w:rPr>
          <w:rFonts w:ascii="Arial" w:hAnsi="Arial" w:cs="Arial"/>
          <w:sz w:val="24"/>
          <w:szCs w:val="24"/>
        </w:rPr>
      </w:pPr>
      <w:r>
        <w:rPr>
          <w:rFonts w:ascii="Arial" w:hAnsi="Arial" w:cs="Arial"/>
          <w:sz w:val="24"/>
          <w:szCs w:val="24"/>
        </w:rPr>
        <w:t>38 USC 1119 (Presumptions of Toxic Exposure)</w:t>
      </w:r>
    </w:p>
    <w:p w14:paraId="49CEDC31" w14:textId="0522E033" w:rsidR="008321F8" w:rsidRPr="008321F8" w:rsidRDefault="008321F8" w:rsidP="00E44600">
      <w:pPr>
        <w:pStyle w:val="VBAILTBody"/>
        <w:numPr>
          <w:ilvl w:val="0"/>
          <w:numId w:val="14"/>
        </w:numPr>
        <w:rPr>
          <w:rFonts w:cs="Arial"/>
        </w:rPr>
      </w:pPr>
      <w:r>
        <w:rPr>
          <w:rFonts w:cs="Arial"/>
        </w:rPr>
        <w:t>38 USC 1120 (Presumption of Service Connection for Certain Diseases Associated with Exposures to Burn Pits and Other Toxins)</w:t>
      </w:r>
    </w:p>
    <w:p w14:paraId="689441EA" w14:textId="38FD6B26" w:rsidR="00FF65C4" w:rsidRPr="0049707E" w:rsidRDefault="00FF65C4" w:rsidP="00E44600">
      <w:pPr>
        <w:pStyle w:val="VBAILTBody"/>
        <w:numPr>
          <w:ilvl w:val="0"/>
          <w:numId w:val="14"/>
        </w:numPr>
        <w:rPr>
          <w:rFonts w:ascii="Arial" w:hAnsi="Arial" w:cs="Arial"/>
          <w:sz w:val="24"/>
          <w:szCs w:val="24"/>
        </w:rPr>
      </w:pPr>
      <w:r w:rsidRPr="0049707E">
        <w:rPr>
          <w:rFonts w:ascii="Arial" w:hAnsi="Arial" w:cs="Arial"/>
          <w:sz w:val="24"/>
          <w:szCs w:val="24"/>
        </w:rPr>
        <w:t>38 USC 5103 (Notice to Claimants of Required Information and Evidence)</w:t>
      </w:r>
    </w:p>
    <w:p w14:paraId="0C68EE06" w14:textId="201975AB" w:rsidR="00FF65C4" w:rsidRPr="0049707E" w:rsidRDefault="00FF65C4" w:rsidP="00E44600">
      <w:pPr>
        <w:pStyle w:val="VBAILTBody"/>
        <w:numPr>
          <w:ilvl w:val="0"/>
          <w:numId w:val="14"/>
        </w:numPr>
        <w:rPr>
          <w:rFonts w:ascii="Arial" w:hAnsi="Arial" w:cs="Arial"/>
          <w:sz w:val="24"/>
          <w:szCs w:val="24"/>
        </w:rPr>
      </w:pPr>
      <w:r w:rsidRPr="0049707E">
        <w:rPr>
          <w:rFonts w:ascii="Arial" w:hAnsi="Arial" w:cs="Arial"/>
          <w:sz w:val="24"/>
          <w:szCs w:val="24"/>
        </w:rPr>
        <w:t>38 USC 5110 (Effective Dates of Awards)</w:t>
      </w:r>
    </w:p>
    <w:p w14:paraId="0BC3D4AD" w14:textId="72C2A31F" w:rsidR="00FF65C4" w:rsidRPr="0049707E" w:rsidRDefault="00FF65C4" w:rsidP="00E44600">
      <w:pPr>
        <w:pStyle w:val="VBAILTBody"/>
        <w:numPr>
          <w:ilvl w:val="0"/>
          <w:numId w:val="14"/>
        </w:numPr>
        <w:rPr>
          <w:rFonts w:ascii="Arial" w:hAnsi="Arial" w:cs="Arial"/>
          <w:sz w:val="24"/>
          <w:szCs w:val="24"/>
        </w:rPr>
      </w:pPr>
      <w:r w:rsidRPr="0049707E">
        <w:rPr>
          <w:rFonts w:ascii="Arial" w:hAnsi="Arial" w:cs="Arial"/>
          <w:sz w:val="24"/>
          <w:szCs w:val="24"/>
        </w:rPr>
        <w:t>38 USC 1305 (Reevaluation of DIC Determinations Pursuant to Changes in Presumptions of Service Connection)</w:t>
      </w:r>
    </w:p>
    <w:p w14:paraId="50EC4959" w14:textId="0E510CC5" w:rsidR="00FF65C4" w:rsidRDefault="00FF65C4" w:rsidP="00E44600">
      <w:pPr>
        <w:pStyle w:val="VBAILTBody"/>
        <w:numPr>
          <w:ilvl w:val="0"/>
          <w:numId w:val="14"/>
        </w:numPr>
        <w:rPr>
          <w:rFonts w:ascii="Arial" w:hAnsi="Arial" w:cs="Arial"/>
          <w:sz w:val="24"/>
          <w:szCs w:val="24"/>
        </w:rPr>
      </w:pPr>
      <w:r w:rsidRPr="0049707E">
        <w:rPr>
          <w:rFonts w:ascii="Arial" w:hAnsi="Arial" w:cs="Arial"/>
          <w:sz w:val="24"/>
          <w:szCs w:val="24"/>
        </w:rPr>
        <w:t>38 CFR 3.114 (Change of Law or DVA Issue)</w:t>
      </w:r>
    </w:p>
    <w:p w14:paraId="56639292" w14:textId="6A5C92CA" w:rsidR="005739FB" w:rsidRPr="0049707E" w:rsidRDefault="005739FB" w:rsidP="00E44600">
      <w:pPr>
        <w:pStyle w:val="VBAILTBody"/>
        <w:numPr>
          <w:ilvl w:val="0"/>
          <w:numId w:val="14"/>
        </w:numPr>
        <w:rPr>
          <w:rFonts w:ascii="Arial" w:hAnsi="Arial" w:cs="Arial"/>
          <w:sz w:val="24"/>
          <w:szCs w:val="24"/>
        </w:rPr>
      </w:pPr>
      <w:r>
        <w:rPr>
          <w:rFonts w:ascii="Arial" w:hAnsi="Arial" w:cs="Arial"/>
          <w:sz w:val="24"/>
          <w:szCs w:val="24"/>
        </w:rPr>
        <w:t>38 CFR 3.307 (Presumptive Service Connection for Chronic, Tropical, or POW Related Disease, Disease Associated with Exposure to Certain Herbicide Agents, or Disease Associated with Exposure to Certain Herbicide Agents, or Disease Associated with Exposure to Contaminants in the Water Supply at Camp Lejeune; Wartime and Service on or After January 1, 1947</w:t>
      </w:r>
    </w:p>
    <w:p w14:paraId="46C41DE5" w14:textId="4CC1BF20" w:rsidR="00FF65C4" w:rsidRPr="0049707E" w:rsidRDefault="00FF65C4" w:rsidP="00E44600">
      <w:pPr>
        <w:pStyle w:val="VBAILTBody"/>
        <w:numPr>
          <w:ilvl w:val="0"/>
          <w:numId w:val="14"/>
        </w:numPr>
        <w:rPr>
          <w:rFonts w:ascii="Arial" w:hAnsi="Arial" w:cs="Arial"/>
          <w:sz w:val="24"/>
          <w:szCs w:val="24"/>
        </w:rPr>
      </w:pPr>
      <w:r w:rsidRPr="0049707E">
        <w:rPr>
          <w:rFonts w:ascii="Arial" w:hAnsi="Arial" w:cs="Arial"/>
          <w:sz w:val="24"/>
          <w:szCs w:val="24"/>
        </w:rPr>
        <w:t>38 CFR 3.309 (Disease Subject to Presumptive Service Connection)</w:t>
      </w:r>
    </w:p>
    <w:p w14:paraId="3FCE09AA" w14:textId="2F31697C" w:rsidR="00215A41" w:rsidRPr="0049707E" w:rsidRDefault="00215A41" w:rsidP="00E44600">
      <w:pPr>
        <w:pStyle w:val="VBAILTBody"/>
        <w:numPr>
          <w:ilvl w:val="0"/>
          <w:numId w:val="14"/>
        </w:numPr>
        <w:rPr>
          <w:rFonts w:ascii="Arial" w:hAnsi="Arial" w:cs="Arial"/>
          <w:sz w:val="24"/>
          <w:szCs w:val="24"/>
        </w:rPr>
      </w:pPr>
      <w:r w:rsidRPr="0049707E">
        <w:rPr>
          <w:rFonts w:ascii="Arial" w:hAnsi="Arial" w:cs="Arial"/>
          <w:sz w:val="24"/>
          <w:szCs w:val="24"/>
        </w:rPr>
        <w:t>38 CFR 3.320 (Claims Based on Exposure to Fine Particulate Matter)</w:t>
      </w:r>
    </w:p>
    <w:p w14:paraId="4BEE5550" w14:textId="30EF3F02" w:rsidR="00FF65C4" w:rsidRPr="0049707E" w:rsidRDefault="00FF65C4" w:rsidP="00E44600">
      <w:pPr>
        <w:pStyle w:val="VBAILTBody"/>
        <w:numPr>
          <w:ilvl w:val="0"/>
          <w:numId w:val="14"/>
        </w:numPr>
        <w:rPr>
          <w:rFonts w:ascii="Arial" w:hAnsi="Arial" w:cs="Arial"/>
          <w:sz w:val="24"/>
          <w:szCs w:val="24"/>
        </w:rPr>
      </w:pPr>
      <w:r w:rsidRPr="0049707E">
        <w:rPr>
          <w:rFonts w:ascii="Arial" w:hAnsi="Arial" w:cs="Arial"/>
          <w:sz w:val="24"/>
          <w:szCs w:val="24"/>
        </w:rPr>
        <w:t>38 CFR 3.400 (General)</w:t>
      </w:r>
    </w:p>
    <w:p w14:paraId="09CC5102" w14:textId="0B3FB8A8" w:rsidR="00FF65C4" w:rsidRPr="0049707E" w:rsidRDefault="00FF65C4" w:rsidP="00E44600">
      <w:pPr>
        <w:pStyle w:val="VBAILTBody"/>
        <w:numPr>
          <w:ilvl w:val="0"/>
          <w:numId w:val="14"/>
        </w:numPr>
        <w:rPr>
          <w:rFonts w:ascii="Arial" w:hAnsi="Arial" w:cs="Arial"/>
          <w:sz w:val="24"/>
          <w:szCs w:val="24"/>
        </w:rPr>
      </w:pPr>
      <w:r w:rsidRPr="0049707E">
        <w:rPr>
          <w:rFonts w:ascii="Arial" w:hAnsi="Arial" w:cs="Arial"/>
          <w:sz w:val="24"/>
          <w:szCs w:val="24"/>
        </w:rPr>
        <w:t>M21-1, Part XII.i.3.A.2.a-b. (DIC Initial Authorization Issues)</w:t>
      </w:r>
    </w:p>
    <w:p w14:paraId="269BBCA1" w14:textId="39BC6A62" w:rsidR="00DC1ACF" w:rsidRPr="0049707E" w:rsidRDefault="00DC1ACF" w:rsidP="00E44600">
      <w:pPr>
        <w:pStyle w:val="VBAILTBody"/>
        <w:numPr>
          <w:ilvl w:val="0"/>
          <w:numId w:val="14"/>
        </w:numPr>
        <w:rPr>
          <w:rFonts w:ascii="Arial" w:hAnsi="Arial" w:cs="Arial"/>
          <w:sz w:val="24"/>
          <w:szCs w:val="24"/>
        </w:rPr>
      </w:pPr>
      <w:r w:rsidRPr="0049707E">
        <w:rPr>
          <w:rFonts w:ascii="Arial" w:hAnsi="Arial" w:cs="Arial"/>
          <w:sz w:val="24"/>
          <w:szCs w:val="24"/>
        </w:rPr>
        <w:t>M21-4, Appendix B (End Product (EP) Codes)</w:t>
      </w:r>
    </w:p>
    <w:p w14:paraId="0C49F3D7" w14:textId="3AA59E3A" w:rsidR="00DC1ACF" w:rsidRPr="0049707E" w:rsidRDefault="00DC1ACF" w:rsidP="00E44600">
      <w:pPr>
        <w:pStyle w:val="VBAILTBody"/>
        <w:numPr>
          <w:ilvl w:val="0"/>
          <w:numId w:val="14"/>
        </w:numPr>
        <w:rPr>
          <w:rFonts w:ascii="Arial" w:hAnsi="Arial" w:cs="Arial"/>
          <w:sz w:val="24"/>
          <w:szCs w:val="24"/>
        </w:rPr>
      </w:pPr>
      <w:r w:rsidRPr="0049707E">
        <w:rPr>
          <w:rFonts w:ascii="Arial" w:hAnsi="Arial" w:cs="Arial"/>
          <w:sz w:val="24"/>
          <w:szCs w:val="24"/>
        </w:rPr>
        <w:t>M21-4, Appendix C (Index of Claim Labels)</w:t>
      </w:r>
    </w:p>
    <w:p w14:paraId="16EA54C8" w14:textId="2BC3A921" w:rsidR="00215A41" w:rsidRDefault="00DC1ACF" w:rsidP="00E44600">
      <w:pPr>
        <w:pStyle w:val="VBAILTBody"/>
        <w:numPr>
          <w:ilvl w:val="0"/>
          <w:numId w:val="14"/>
        </w:numPr>
        <w:rPr>
          <w:rFonts w:ascii="Arial" w:hAnsi="Arial" w:cs="Arial"/>
          <w:sz w:val="24"/>
          <w:szCs w:val="24"/>
        </w:rPr>
      </w:pPr>
      <w:r w:rsidRPr="0049707E">
        <w:rPr>
          <w:rFonts w:ascii="Arial" w:hAnsi="Arial" w:cs="Arial"/>
          <w:sz w:val="24"/>
          <w:szCs w:val="24"/>
        </w:rPr>
        <w:t>M21-4, Appendix E (Index of Corporate Flashes and Special Issues)</w:t>
      </w:r>
    </w:p>
    <w:p w14:paraId="0C3C261E" w14:textId="59D49455" w:rsidR="00E00339" w:rsidRDefault="00000000" w:rsidP="00E44600">
      <w:pPr>
        <w:pStyle w:val="VBAILTBody"/>
        <w:numPr>
          <w:ilvl w:val="0"/>
          <w:numId w:val="14"/>
        </w:numPr>
        <w:rPr>
          <w:rFonts w:ascii="Arial" w:hAnsi="Arial" w:cs="Arial"/>
          <w:sz w:val="24"/>
          <w:szCs w:val="24"/>
        </w:rPr>
      </w:pPr>
      <w:hyperlink r:id="rId14" w:anchor="zoom=100" w:history="1">
        <w:r w:rsidR="00E00339" w:rsidRPr="00667A67">
          <w:rPr>
            <w:rStyle w:val="Hyperlink"/>
            <w:rFonts w:ascii="Arial" w:hAnsi="Arial" w:cs="Arial"/>
            <w:sz w:val="24"/>
            <w:szCs w:val="24"/>
          </w:rPr>
          <w:t>Prepare the Decision Notice</w:t>
        </w:r>
      </w:hyperlink>
      <w:r w:rsidR="00E00339">
        <w:rPr>
          <w:rFonts w:ascii="Arial" w:hAnsi="Arial" w:cs="Arial"/>
          <w:sz w:val="24"/>
          <w:szCs w:val="24"/>
        </w:rPr>
        <w:t xml:space="preserve"> job aid</w:t>
      </w:r>
    </w:p>
    <w:p w14:paraId="7D6CC2EB" w14:textId="0E871307" w:rsidR="00E00339" w:rsidRPr="005739FB" w:rsidRDefault="00000000" w:rsidP="00E44600">
      <w:pPr>
        <w:pStyle w:val="VBAILTBody"/>
        <w:numPr>
          <w:ilvl w:val="0"/>
          <w:numId w:val="14"/>
        </w:numPr>
        <w:rPr>
          <w:rFonts w:ascii="Arial" w:hAnsi="Arial" w:cs="Arial"/>
          <w:sz w:val="24"/>
          <w:szCs w:val="24"/>
        </w:rPr>
      </w:pPr>
      <w:hyperlink r:id="rId15" w:anchor="zoom=100" w:history="1">
        <w:r w:rsidR="00E00339" w:rsidRPr="00564F65">
          <w:rPr>
            <w:rStyle w:val="Hyperlink"/>
            <w:rFonts w:ascii="Arial" w:hAnsi="Arial" w:cs="Arial"/>
            <w:sz w:val="24"/>
            <w:szCs w:val="24"/>
          </w:rPr>
          <w:t>Notification Language</w:t>
        </w:r>
      </w:hyperlink>
      <w:r w:rsidR="00E00339">
        <w:rPr>
          <w:rFonts w:ascii="Arial" w:hAnsi="Arial" w:cs="Arial"/>
          <w:sz w:val="24"/>
          <w:szCs w:val="24"/>
        </w:rPr>
        <w:t xml:space="preserve"> job aid</w:t>
      </w:r>
    </w:p>
    <w:p w14:paraId="412FE1B5" w14:textId="5DC8676E" w:rsidR="003F0654" w:rsidRPr="0049707E" w:rsidRDefault="003F0654" w:rsidP="003F0654">
      <w:pPr>
        <w:pStyle w:val="VBAILTHeading1"/>
        <w:rPr>
          <w:rFonts w:ascii="Arial" w:hAnsi="Arial" w:cs="Arial"/>
          <w:sz w:val="24"/>
          <w:szCs w:val="24"/>
        </w:rPr>
      </w:pPr>
      <w:bookmarkStart w:id="1" w:name="_Toc169247167"/>
      <w:r w:rsidRPr="0049707E">
        <w:rPr>
          <w:rFonts w:ascii="Arial" w:hAnsi="Arial" w:cs="Arial"/>
          <w:sz w:val="24"/>
          <w:szCs w:val="24"/>
        </w:rPr>
        <w:lastRenderedPageBreak/>
        <w:t>Overview of the PACT Act</w:t>
      </w:r>
      <w:bookmarkEnd w:id="1"/>
    </w:p>
    <w:p w14:paraId="64F2C175" w14:textId="7D9D2638" w:rsidR="003F0654" w:rsidRPr="0049707E" w:rsidRDefault="003F0654" w:rsidP="003F0654">
      <w:pPr>
        <w:pStyle w:val="VBAILTHeading2"/>
        <w:rPr>
          <w:rFonts w:ascii="Arial" w:hAnsi="Arial" w:cs="Arial"/>
        </w:rPr>
      </w:pPr>
      <w:bookmarkStart w:id="2" w:name="_Toc169247168"/>
      <w:r w:rsidRPr="0049707E">
        <w:rPr>
          <w:rFonts w:ascii="Arial" w:hAnsi="Arial" w:cs="Arial"/>
        </w:rPr>
        <w:t>Background</w:t>
      </w:r>
      <w:bookmarkEnd w:id="2"/>
    </w:p>
    <w:p w14:paraId="360E1ED5" w14:textId="70138920" w:rsidR="003F0654" w:rsidRPr="0049707E" w:rsidRDefault="003F0654" w:rsidP="003F0654">
      <w:pPr>
        <w:pStyle w:val="VBAILTbullet1"/>
        <w:numPr>
          <w:ilvl w:val="0"/>
          <w:numId w:val="0"/>
        </w:numPr>
        <w:rPr>
          <w:rFonts w:ascii="Arial" w:hAnsi="Arial" w:cs="Arial"/>
          <w:sz w:val="24"/>
          <w:szCs w:val="24"/>
        </w:rPr>
      </w:pPr>
      <w:r w:rsidRPr="0049707E">
        <w:rPr>
          <w:rFonts w:ascii="Arial" w:hAnsi="Arial" w:cs="Arial"/>
          <w:sz w:val="24"/>
          <w:szCs w:val="24"/>
        </w:rPr>
        <w:t xml:space="preserve">On August 10, 2022, the President signed </w:t>
      </w:r>
      <w:hyperlink r:id="rId16" w:history="1">
        <w:r w:rsidRPr="00E00339">
          <w:rPr>
            <w:rStyle w:val="Hyperlink"/>
            <w:rFonts w:ascii="Arial" w:hAnsi="Arial" w:cs="Arial"/>
            <w:sz w:val="24"/>
            <w:szCs w:val="24"/>
          </w:rPr>
          <w:t>Public Law (PL) 117-168</w:t>
        </w:r>
      </w:hyperlink>
      <w:r w:rsidRPr="0049707E">
        <w:rPr>
          <w:rFonts w:ascii="Arial" w:hAnsi="Arial" w:cs="Arial"/>
          <w:sz w:val="24"/>
          <w:szCs w:val="24"/>
        </w:rPr>
        <w:t xml:space="preserve">, Sergeant First Class Heath Robinson Honoring our Promise to Address Comprehensive Toxics Act of 2022, or the Honoring our PACT Act of 2022 (hereafter referred to as “PACT Act”) establishing substantial legislative changes for the Department of Veterans Affairs (VA). This historic, multifaceted law: </w:t>
      </w:r>
    </w:p>
    <w:p w14:paraId="5FB28AED" w14:textId="5F2C3B62" w:rsidR="003F0654" w:rsidRPr="0049707E" w:rsidRDefault="003F0654" w:rsidP="00E44600">
      <w:pPr>
        <w:pStyle w:val="VBAILTbullet1"/>
        <w:numPr>
          <w:ilvl w:val="0"/>
          <w:numId w:val="2"/>
        </w:numPr>
        <w:rPr>
          <w:rFonts w:ascii="Arial" w:hAnsi="Arial" w:cs="Arial"/>
          <w:sz w:val="24"/>
          <w:szCs w:val="24"/>
        </w:rPr>
      </w:pPr>
      <w:r w:rsidRPr="0049707E">
        <w:rPr>
          <w:rFonts w:ascii="Arial" w:hAnsi="Arial" w:cs="Arial"/>
          <w:sz w:val="24"/>
          <w:szCs w:val="24"/>
        </w:rPr>
        <w:t xml:space="preserve">expands locations associated with radiation exposure </w:t>
      </w:r>
    </w:p>
    <w:p w14:paraId="1621C383" w14:textId="728F83C5" w:rsidR="003F0654" w:rsidRPr="0049707E" w:rsidRDefault="003F0654" w:rsidP="00E44600">
      <w:pPr>
        <w:pStyle w:val="VBAILTbullet1"/>
        <w:numPr>
          <w:ilvl w:val="0"/>
          <w:numId w:val="2"/>
        </w:numPr>
        <w:rPr>
          <w:rFonts w:ascii="Arial" w:hAnsi="Arial" w:cs="Arial"/>
          <w:sz w:val="24"/>
          <w:szCs w:val="24"/>
        </w:rPr>
      </w:pPr>
      <w:r w:rsidRPr="0049707E">
        <w:rPr>
          <w:rFonts w:ascii="Arial" w:hAnsi="Arial" w:cs="Arial"/>
          <w:sz w:val="24"/>
          <w:szCs w:val="24"/>
        </w:rPr>
        <w:t xml:space="preserve">expands presumptive conditions associated with herbicide exposure </w:t>
      </w:r>
    </w:p>
    <w:p w14:paraId="0F9CFA8E" w14:textId="6A5E1EBA" w:rsidR="003F0654" w:rsidRPr="0049707E" w:rsidRDefault="003F0654" w:rsidP="00E44600">
      <w:pPr>
        <w:pStyle w:val="VBAILTbullet1"/>
        <w:numPr>
          <w:ilvl w:val="0"/>
          <w:numId w:val="2"/>
        </w:numPr>
        <w:rPr>
          <w:rFonts w:ascii="Arial" w:hAnsi="Arial" w:cs="Arial"/>
          <w:sz w:val="24"/>
          <w:szCs w:val="24"/>
        </w:rPr>
      </w:pPr>
      <w:r w:rsidRPr="0049707E">
        <w:rPr>
          <w:rFonts w:ascii="Arial" w:hAnsi="Arial" w:cs="Arial"/>
          <w:sz w:val="24"/>
          <w:szCs w:val="24"/>
        </w:rPr>
        <w:t xml:space="preserve">expands locations associated with herbicide exposure </w:t>
      </w:r>
    </w:p>
    <w:p w14:paraId="2E703101" w14:textId="6BD5B25A" w:rsidR="003F0654" w:rsidRPr="0049707E" w:rsidRDefault="003F0654" w:rsidP="00E44600">
      <w:pPr>
        <w:pStyle w:val="VBAILTbullet1"/>
        <w:numPr>
          <w:ilvl w:val="0"/>
          <w:numId w:val="2"/>
        </w:numPr>
        <w:rPr>
          <w:rFonts w:ascii="Arial" w:hAnsi="Arial" w:cs="Arial"/>
          <w:sz w:val="24"/>
          <w:szCs w:val="24"/>
        </w:rPr>
      </w:pPr>
      <w:r w:rsidRPr="0049707E">
        <w:rPr>
          <w:rFonts w:ascii="Arial" w:hAnsi="Arial" w:cs="Arial"/>
          <w:sz w:val="24"/>
          <w:szCs w:val="24"/>
        </w:rPr>
        <w:t xml:space="preserve">amends the statute involving Persian Gulf War Veterans </w:t>
      </w:r>
    </w:p>
    <w:p w14:paraId="22CB1EE6" w14:textId="1A41B297" w:rsidR="00383E20" w:rsidRPr="0049707E" w:rsidRDefault="003F0654" w:rsidP="00E44600">
      <w:pPr>
        <w:pStyle w:val="VBAILTbullet1"/>
        <w:numPr>
          <w:ilvl w:val="0"/>
          <w:numId w:val="2"/>
        </w:numPr>
        <w:rPr>
          <w:rFonts w:ascii="Arial" w:hAnsi="Arial" w:cs="Arial"/>
          <w:sz w:val="24"/>
          <w:szCs w:val="24"/>
        </w:rPr>
      </w:pPr>
      <w:r w:rsidRPr="0049707E">
        <w:rPr>
          <w:rFonts w:ascii="Arial" w:hAnsi="Arial" w:cs="Arial"/>
          <w:sz w:val="24"/>
          <w:szCs w:val="24"/>
        </w:rPr>
        <w:t>establishes presumptive conditions associated with toxic exposures</w:t>
      </w:r>
    </w:p>
    <w:p w14:paraId="4FF48423" w14:textId="534BECE0" w:rsidR="003F0654" w:rsidRPr="0049707E" w:rsidRDefault="003F0654" w:rsidP="00E44600">
      <w:pPr>
        <w:pStyle w:val="VBAILTbullet1"/>
        <w:numPr>
          <w:ilvl w:val="0"/>
          <w:numId w:val="2"/>
        </w:numPr>
        <w:rPr>
          <w:rFonts w:ascii="Arial" w:hAnsi="Arial" w:cs="Arial"/>
          <w:sz w:val="24"/>
          <w:szCs w:val="24"/>
        </w:rPr>
      </w:pPr>
      <w:r w:rsidRPr="0049707E">
        <w:rPr>
          <w:rFonts w:ascii="Arial" w:hAnsi="Arial" w:cs="Arial"/>
          <w:sz w:val="24"/>
          <w:szCs w:val="24"/>
        </w:rPr>
        <w:t>triggers changes to examination requirements when there is toxic exposure risk activity, and</w:t>
      </w:r>
    </w:p>
    <w:p w14:paraId="46509EAE" w14:textId="038DB9A4" w:rsidR="003F0654" w:rsidRPr="0049707E" w:rsidRDefault="003F0654" w:rsidP="00E44600">
      <w:pPr>
        <w:pStyle w:val="VBAILTbullet1"/>
        <w:numPr>
          <w:ilvl w:val="0"/>
          <w:numId w:val="2"/>
        </w:numPr>
        <w:rPr>
          <w:rFonts w:ascii="Arial" w:hAnsi="Arial" w:cs="Arial"/>
          <w:sz w:val="24"/>
          <w:szCs w:val="24"/>
        </w:rPr>
      </w:pPr>
      <w:r w:rsidRPr="0049707E">
        <w:rPr>
          <w:rFonts w:ascii="Arial" w:hAnsi="Arial" w:cs="Arial"/>
          <w:sz w:val="24"/>
          <w:szCs w:val="24"/>
        </w:rPr>
        <w:t>provides an avenue for a claimant-elected reevaluation of previously denied dependency and indemnity compensation (DIC) claims that can result in retroactive effective dates</w:t>
      </w:r>
    </w:p>
    <w:p w14:paraId="35CA061E" w14:textId="6C9ECBC7" w:rsidR="003F0654" w:rsidRDefault="003F0654" w:rsidP="00DC1ACF">
      <w:pPr>
        <w:pStyle w:val="VBAILTbullet1"/>
        <w:numPr>
          <w:ilvl w:val="0"/>
          <w:numId w:val="0"/>
        </w:numPr>
        <w:rPr>
          <w:rFonts w:ascii="Arial" w:hAnsi="Arial" w:cs="Arial"/>
          <w:sz w:val="24"/>
          <w:szCs w:val="24"/>
        </w:rPr>
      </w:pPr>
      <w:r w:rsidRPr="0049707E">
        <w:rPr>
          <w:rFonts w:ascii="Arial" w:hAnsi="Arial" w:cs="Arial"/>
          <w:sz w:val="24"/>
          <w:szCs w:val="24"/>
        </w:rPr>
        <w:t>Initial guidance was released to the field on August 10, 2022, followed by interim guidance on September 9, 2022. With the issuance of this standard operating procedure (SOP), both documents are rescinded as of January 1, 2023.</w:t>
      </w:r>
    </w:p>
    <w:p w14:paraId="59635CAF" w14:textId="06EEB7C6" w:rsidR="006C0091" w:rsidRPr="0049707E" w:rsidRDefault="006C0091" w:rsidP="006C0091">
      <w:pPr>
        <w:pStyle w:val="VBAILTHeading2"/>
        <w:rPr>
          <w:rFonts w:ascii="Arial" w:hAnsi="Arial" w:cs="Arial"/>
        </w:rPr>
      </w:pPr>
      <w:bookmarkStart w:id="3" w:name="_Toc169247169"/>
      <w:r>
        <w:rPr>
          <w:rFonts w:ascii="Arial" w:hAnsi="Arial" w:cs="Arial"/>
        </w:rPr>
        <w:t>Terms and Definitions</w:t>
      </w:r>
      <w:r w:rsidR="005739FB">
        <w:rPr>
          <w:rFonts w:ascii="Arial" w:hAnsi="Arial" w:cs="Arial"/>
        </w:rPr>
        <w:t xml:space="preserve"> – </w:t>
      </w:r>
      <w:r w:rsidR="005739FB" w:rsidRPr="005739FB">
        <w:rPr>
          <w:rFonts w:ascii="Arial" w:hAnsi="Arial" w:cs="Arial"/>
          <w:i/>
          <w:iCs/>
          <w:u w:val="single"/>
        </w:rPr>
        <w:t>in no particular order</w:t>
      </w:r>
      <w:r w:rsidR="005739FB">
        <w:rPr>
          <w:rFonts w:ascii="Arial" w:hAnsi="Arial" w:cs="Arial"/>
          <w:i/>
          <w:iCs/>
          <w:u w:val="single"/>
        </w:rPr>
        <w:t xml:space="preserve"> and not all-inclusive</w:t>
      </w:r>
      <w:bookmarkEnd w:id="3"/>
    </w:p>
    <w:p w14:paraId="4F7A8E97" w14:textId="2DA30E91" w:rsidR="006A2742" w:rsidRPr="006A2742" w:rsidRDefault="006A2742" w:rsidP="006A2742">
      <w:pPr>
        <w:pStyle w:val="VBAILTbullet1"/>
        <w:ind w:left="720"/>
        <w:rPr>
          <w:rFonts w:ascii="Arial" w:hAnsi="Arial" w:cs="Arial"/>
          <w:sz w:val="24"/>
          <w:szCs w:val="24"/>
        </w:rPr>
      </w:pPr>
      <w:r w:rsidRPr="006A2742">
        <w:rPr>
          <w:rFonts w:ascii="Arial" w:hAnsi="Arial" w:cs="Arial"/>
          <w:b/>
          <w:bCs/>
          <w:sz w:val="24"/>
          <w:szCs w:val="24"/>
        </w:rPr>
        <w:t>Toxic Exposure Risk Activity (TERA)</w:t>
      </w:r>
      <w:r>
        <w:rPr>
          <w:rFonts w:ascii="Arial" w:hAnsi="Arial" w:cs="Arial"/>
          <w:b/>
          <w:bCs/>
          <w:sz w:val="24"/>
          <w:szCs w:val="24"/>
        </w:rPr>
        <w:t xml:space="preserve"> </w:t>
      </w:r>
      <w:r w:rsidRPr="006A2742">
        <w:rPr>
          <w:rFonts w:ascii="Arial" w:hAnsi="Arial" w:cs="Arial"/>
          <w:sz w:val="24"/>
          <w:szCs w:val="24"/>
        </w:rPr>
        <w:t>is any activity that requires a corresponding entry in an exposure tracking record system, such as ILER, or qualifies when considering what is reasonably prudent to protect the health of Veterans.</w:t>
      </w:r>
    </w:p>
    <w:p w14:paraId="721CF12D" w14:textId="2BEA6033" w:rsidR="005739FB" w:rsidRDefault="005739FB" w:rsidP="00E44600">
      <w:pPr>
        <w:pStyle w:val="VBAILTbullet1"/>
        <w:numPr>
          <w:ilvl w:val="0"/>
          <w:numId w:val="18"/>
        </w:numPr>
        <w:rPr>
          <w:rFonts w:ascii="Arial" w:hAnsi="Arial" w:cs="Arial"/>
          <w:sz w:val="24"/>
          <w:szCs w:val="24"/>
        </w:rPr>
      </w:pPr>
      <w:r w:rsidRPr="006A2742">
        <w:rPr>
          <w:rFonts w:ascii="Arial" w:hAnsi="Arial" w:cs="Arial"/>
          <w:b/>
          <w:bCs/>
          <w:sz w:val="24"/>
          <w:szCs w:val="24"/>
        </w:rPr>
        <w:t>Individual Longitudinal Exposure Record</w:t>
      </w:r>
      <w:r w:rsidR="006A2742">
        <w:rPr>
          <w:rFonts w:ascii="Arial" w:hAnsi="Arial" w:cs="Arial"/>
          <w:sz w:val="24"/>
          <w:szCs w:val="24"/>
        </w:rPr>
        <w:t xml:space="preserve"> (ILER)</w:t>
      </w:r>
      <w:r>
        <w:rPr>
          <w:rFonts w:ascii="Arial" w:hAnsi="Arial" w:cs="Arial"/>
          <w:sz w:val="24"/>
          <w:szCs w:val="24"/>
        </w:rPr>
        <w:t xml:space="preserve"> includes service records, any database maintained by the Department of Defense (DoD) and shared with VA to serve as a central portal for exposure-related data that compiles and provides available occupational and environmental exposure information to support the needs of DoD and VA</w:t>
      </w:r>
    </w:p>
    <w:p w14:paraId="597958E5" w14:textId="3DF182EC" w:rsidR="006A2742" w:rsidRDefault="006A2742" w:rsidP="00E44600">
      <w:pPr>
        <w:pStyle w:val="VBAILTbullet1"/>
        <w:numPr>
          <w:ilvl w:val="0"/>
          <w:numId w:val="18"/>
        </w:numPr>
        <w:rPr>
          <w:rFonts w:ascii="Arial" w:hAnsi="Arial" w:cs="Arial"/>
          <w:sz w:val="24"/>
          <w:szCs w:val="24"/>
        </w:rPr>
      </w:pPr>
      <w:r w:rsidRPr="006A2742">
        <w:rPr>
          <w:rFonts w:ascii="Arial" w:hAnsi="Arial" w:cs="Arial"/>
          <w:b/>
          <w:bCs/>
          <w:sz w:val="24"/>
          <w:szCs w:val="24"/>
        </w:rPr>
        <w:t>Covered Veteran</w:t>
      </w:r>
      <w:r>
        <w:rPr>
          <w:rFonts w:ascii="Arial" w:hAnsi="Arial" w:cs="Arial"/>
          <w:sz w:val="24"/>
          <w:szCs w:val="24"/>
        </w:rPr>
        <w:t xml:space="preserve"> is any Veteran who served during the applicable timeframe in one of the locations listed in the statute. </w:t>
      </w:r>
    </w:p>
    <w:p w14:paraId="3E0A3A92" w14:textId="77777777" w:rsidR="006A2742" w:rsidRPr="006A2742" w:rsidRDefault="006A2742" w:rsidP="006A2742">
      <w:pPr>
        <w:pStyle w:val="VBAILTbullet1"/>
        <w:ind w:left="720"/>
        <w:rPr>
          <w:rFonts w:ascii="Arial" w:hAnsi="Arial" w:cs="Arial"/>
          <w:sz w:val="24"/>
          <w:szCs w:val="24"/>
        </w:rPr>
      </w:pPr>
      <w:r w:rsidRPr="006A2742">
        <w:rPr>
          <w:rFonts w:ascii="Arial" w:hAnsi="Arial" w:cs="Arial"/>
          <w:b/>
          <w:bCs/>
          <w:sz w:val="24"/>
          <w:szCs w:val="24"/>
        </w:rPr>
        <w:lastRenderedPageBreak/>
        <w:t>Monoclonal Gammopathy of Undetermined Significance (MGUS):</w:t>
      </w:r>
      <w:r w:rsidRPr="006A2742">
        <w:rPr>
          <w:rFonts w:ascii="Arial" w:hAnsi="Arial" w:cs="Arial"/>
          <w:sz w:val="24"/>
          <w:szCs w:val="24"/>
        </w:rPr>
        <w:t xml:space="preserve"> is an asymptomatic, pre-malignant disorder characterized by monoclonal plasma cell proliferation in the bone marrow and absence of end-organ damage.</w:t>
      </w:r>
    </w:p>
    <w:p w14:paraId="1316AB75" w14:textId="77777777" w:rsidR="006A2742" w:rsidRPr="006A2742" w:rsidRDefault="006A2742" w:rsidP="00E44600">
      <w:pPr>
        <w:pStyle w:val="VBAILTbullet1"/>
        <w:numPr>
          <w:ilvl w:val="0"/>
          <w:numId w:val="18"/>
        </w:numPr>
        <w:rPr>
          <w:rFonts w:ascii="Arial" w:hAnsi="Arial" w:cs="Arial"/>
          <w:sz w:val="24"/>
          <w:szCs w:val="24"/>
        </w:rPr>
      </w:pPr>
      <w:r w:rsidRPr="006A2742">
        <w:rPr>
          <w:rFonts w:ascii="Arial" w:hAnsi="Arial" w:cs="Arial"/>
          <w:b/>
          <w:bCs/>
          <w:sz w:val="24"/>
          <w:szCs w:val="24"/>
        </w:rPr>
        <w:t>Warfare Agents</w:t>
      </w:r>
      <w:r w:rsidRPr="006A2742">
        <w:rPr>
          <w:rFonts w:ascii="Arial" w:hAnsi="Arial" w:cs="Arial"/>
          <w:sz w:val="24"/>
          <w:szCs w:val="24"/>
        </w:rPr>
        <w:t>: Chemical weapons, Project 112/Project Shipboard Hazard and Defense (SHAD), herbicide tests and storage, and chemical experiments</w:t>
      </w:r>
    </w:p>
    <w:p w14:paraId="0A8CCF6F" w14:textId="77777777" w:rsidR="006A2742" w:rsidRPr="006A2742" w:rsidRDefault="006A2742" w:rsidP="006A2742">
      <w:pPr>
        <w:pStyle w:val="VBAILTbullet1"/>
        <w:ind w:left="720"/>
        <w:rPr>
          <w:rFonts w:ascii="Arial" w:hAnsi="Arial" w:cs="Arial"/>
          <w:sz w:val="24"/>
          <w:szCs w:val="24"/>
        </w:rPr>
      </w:pPr>
      <w:r w:rsidRPr="006A2742">
        <w:rPr>
          <w:rFonts w:ascii="Arial" w:hAnsi="Arial" w:cs="Arial"/>
          <w:b/>
          <w:bCs/>
          <w:sz w:val="24"/>
          <w:szCs w:val="24"/>
        </w:rPr>
        <w:t>Chemicals</w:t>
      </w:r>
      <w:r w:rsidRPr="006A2742">
        <w:rPr>
          <w:rFonts w:ascii="Arial" w:hAnsi="Arial" w:cs="Arial"/>
          <w:sz w:val="24"/>
          <w:szCs w:val="24"/>
        </w:rPr>
        <w:t>: Herbicides (Agent Orange) used during Vietnam era, burn pits, sulfur fire in Iraq, Camp Lejeune water supplies, pesticides used during Gulf War, depleted uranium, industrial solvents</w:t>
      </w:r>
    </w:p>
    <w:p w14:paraId="1289554F" w14:textId="77777777" w:rsidR="006A2742" w:rsidRPr="006A2742" w:rsidRDefault="006A2742" w:rsidP="00E44600">
      <w:pPr>
        <w:pStyle w:val="VBAILTbullet1"/>
        <w:numPr>
          <w:ilvl w:val="0"/>
          <w:numId w:val="18"/>
        </w:numPr>
        <w:rPr>
          <w:rFonts w:ascii="Arial" w:hAnsi="Arial" w:cs="Arial"/>
          <w:sz w:val="24"/>
          <w:szCs w:val="24"/>
        </w:rPr>
      </w:pPr>
      <w:r w:rsidRPr="006A2742">
        <w:rPr>
          <w:rFonts w:ascii="Arial" w:hAnsi="Arial" w:cs="Arial"/>
          <w:b/>
          <w:bCs/>
          <w:sz w:val="24"/>
          <w:szCs w:val="24"/>
        </w:rPr>
        <w:t>Air Pollutants</w:t>
      </w:r>
      <w:r w:rsidRPr="006A2742">
        <w:rPr>
          <w:rFonts w:ascii="Arial" w:hAnsi="Arial" w:cs="Arial"/>
          <w:sz w:val="24"/>
          <w:szCs w:val="24"/>
        </w:rPr>
        <w:t>: Burn pits, oil well fire during Gulf War, sulfur fire in Iraq, Atsugi (Japan) waste incinerator, sand, dust, and very small, fine particles or liquid droplets</w:t>
      </w:r>
    </w:p>
    <w:p w14:paraId="3C9BC27D" w14:textId="77777777" w:rsidR="006A2742" w:rsidRPr="006A2742" w:rsidRDefault="006A2742" w:rsidP="006A2742">
      <w:pPr>
        <w:pStyle w:val="VBAILTbullet1"/>
        <w:ind w:left="720"/>
        <w:rPr>
          <w:rFonts w:ascii="Arial" w:hAnsi="Arial" w:cs="Arial"/>
          <w:sz w:val="24"/>
          <w:szCs w:val="24"/>
        </w:rPr>
      </w:pPr>
      <w:r w:rsidRPr="006A2742">
        <w:rPr>
          <w:rFonts w:ascii="Arial" w:hAnsi="Arial" w:cs="Arial"/>
          <w:b/>
          <w:bCs/>
          <w:sz w:val="24"/>
          <w:szCs w:val="24"/>
        </w:rPr>
        <w:t>Occupational Hazards</w:t>
      </w:r>
      <w:r w:rsidRPr="006A2742">
        <w:rPr>
          <w:rFonts w:ascii="Arial" w:hAnsi="Arial" w:cs="Arial"/>
          <w:sz w:val="24"/>
          <w:szCs w:val="24"/>
        </w:rPr>
        <w:t>: Asbestos, industrial solvents, lead, radiation, vibration, noise, fuels, polychlorinated biphenyl (PCBs), and special paint used on military vehicles</w:t>
      </w:r>
    </w:p>
    <w:p w14:paraId="75387312" w14:textId="4784FEE9" w:rsidR="006A2742" w:rsidRPr="006A2742" w:rsidRDefault="006A2742" w:rsidP="00E44600">
      <w:pPr>
        <w:pStyle w:val="VBAILTbullet1"/>
        <w:numPr>
          <w:ilvl w:val="0"/>
          <w:numId w:val="18"/>
        </w:numPr>
        <w:rPr>
          <w:rFonts w:ascii="Arial" w:hAnsi="Arial" w:cs="Arial"/>
          <w:sz w:val="24"/>
          <w:szCs w:val="24"/>
        </w:rPr>
      </w:pPr>
      <w:r w:rsidRPr="006A2742">
        <w:rPr>
          <w:rFonts w:ascii="Arial" w:hAnsi="Arial" w:cs="Arial"/>
          <w:sz w:val="24"/>
          <w:szCs w:val="24"/>
        </w:rPr>
        <w:t xml:space="preserve">An </w:t>
      </w:r>
      <w:r w:rsidRPr="006A2742">
        <w:rPr>
          <w:rFonts w:ascii="Arial" w:hAnsi="Arial" w:cs="Arial"/>
          <w:b/>
          <w:bCs/>
          <w:sz w:val="24"/>
          <w:szCs w:val="24"/>
        </w:rPr>
        <w:t>atoll</w:t>
      </w:r>
      <w:r w:rsidRPr="006A2742">
        <w:rPr>
          <w:rFonts w:ascii="Arial" w:hAnsi="Arial" w:cs="Arial"/>
          <w:sz w:val="24"/>
          <w:szCs w:val="24"/>
        </w:rPr>
        <w:t xml:space="preserve"> is defined as a ring-shaped coral reef, island, or series of islets.</w:t>
      </w:r>
    </w:p>
    <w:p w14:paraId="141434B7" w14:textId="2E63E0BF" w:rsidR="00F24F56" w:rsidRPr="0049707E" w:rsidRDefault="00F24F56" w:rsidP="00F24F56">
      <w:pPr>
        <w:pStyle w:val="VBAILTHeading2"/>
        <w:rPr>
          <w:rFonts w:ascii="Arial" w:hAnsi="Arial" w:cs="Arial"/>
        </w:rPr>
      </w:pPr>
      <w:bookmarkStart w:id="4" w:name="_Toc169247170"/>
      <w:r w:rsidRPr="0049707E">
        <w:rPr>
          <w:rFonts w:ascii="Arial" w:hAnsi="Arial" w:cs="Arial"/>
        </w:rPr>
        <w:t>Effective Dates</w:t>
      </w:r>
      <w:r w:rsidR="006C3FC7" w:rsidRPr="0049707E">
        <w:rPr>
          <w:rFonts w:ascii="Arial" w:hAnsi="Arial" w:cs="Arial"/>
        </w:rPr>
        <w:t xml:space="preserve"> – Service-Connected Death Benefits</w:t>
      </w:r>
      <w:bookmarkEnd w:id="4"/>
    </w:p>
    <w:p w14:paraId="30A8A74F" w14:textId="2FA3BCB6" w:rsidR="006C3FC7" w:rsidRPr="0049707E" w:rsidRDefault="006C3FC7" w:rsidP="003F0654">
      <w:pPr>
        <w:pStyle w:val="VBAILTbullet1"/>
        <w:numPr>
          <w:ilvl w:val="0"/>
          <w:numId w:val="0"/>
        </w:numPr>
        <w:rPr>
          <w:rFonts w:ascii="Arial" w:hAnsi="Arial" w:cs="Arial"/>
          <w:sz w:val="24"/>
          <w:szCs w:val="24"/>
        </w:rPr>
      </w:pPr>
      <w:r w:rsidRPr="0049707E">
        <w:rPr>
          <w:rFonts w:ascii="Arial" w:hAnsi="Arial" w:cs="Arial"/>
          <w:sz w:val="24"/>
          <w:szCs w:val="24"/>
        </w:rPr>
        <w:t xml:space="preserve">The effective date for these new presumptive conditions is August 10, 2022, the same day that the law went into effect. This is considered a </w:t>
      </w:r>
      <w:r w:rsidRPr="0049707E">
        <w:rPr>
          <w:rFonts w:ascii="Arial" w:hAnsi="Arial" w:cs="Arial"/>
          <w:b/>
          <w:bCs/>
          <w:sz w:val="24"/>
          <w:szCs w:val="24"/>
          <w:u w:val="single"/>
        </w:rPr>
        <w:t>liberalizing law</w:t>
      </w:r>
      <w:r w:rsidRPr="0049707E">
        <w:rPr>
          <w:rFonts w:ascii="Arial" w:hAnsi="Arial" w:cs="Arial"/>
          <w:sz w:val="24"/>
          <w:szCs w:val="24"/>
        </w:rPr>
        <w:t xml:space="preserve">. Therefore, for new claims (claimant did not elect VA to reevaluate the previously denied claim), consideration of the effective date provisions under </w:t>
      </w:r>
      <w:r w:rsidRPr="0049707E">
        <w:rPr>
          <w:rFonts w:ascii="Arial" w:hAnsi="Arial" w:cs="Arial"/>
          <w:b/>
          <w:bCs/>
          <w:sz w:val="24"/>
          <w:szCs w:val="24"/>
        </w:rPr>
        <w:t>38 CFR 3.114 (Change of Law or DVA Issue)</w:t>
      </w:r>
      <w:r w:rsidRPr="0049707E">
        <w:rPr>
          <w:rFonts w:ascii="Arial" w:hAnsi="Arial" w:cs="Arial"/>
          <w:sz w:val="24"/>
          <w:szCs w:val="24"/>
        </w:rPr>
        <w:t xml:space="preserve">, </w:t>
      </w:r>
      <w:r w:rsidRPr="0049707E">
        <w:rPr>
          <w:rFonts w:ascii="Arial" w:hAnsi="Arial" w:cs="Arial"/>
          <w:b/>
          <w:bCs/>
          <w:sz w:val="24"/>
          <w:szCs w:val="24"/>
        </w:rPr>
        <w:t>38 USC 5110 (Effective Dates of Awards)</w:t>
      </w:r>
      <w:r w:rsidRPr="0049707E">
        <w:rPr>
          <w:rFonts w:ascii="Arial" w:hAnsi="Arial" w:cs="Arial"/>
          <w:sz w:val="24"/>
          <w:szCs w:val="24"/>
        </w:rPr>
        <w:t xml:space="preserve">, and </w:t>
      </w:r>
      <w:r w:rsidRPr="0049707E">
        <w:rPr>
          <w:rFonts w:ascii="Arial" w:hAnsi="Arial" w:cs="Arial"/>
          <w:b/>
          <w:bCs/>
          <w:sz w:val="24"/>
          <w:szCs w:val="24"/>
        </w:rPr>
        <w:t>38 CFR 3.400(General)</w:t>
      </w:r>
      <w:r w:rsidRPr="0049707E">
        <w:rPr>
          <w:rFonts w:ascii="Arial" w:hAnsi="Arial" w:cs="Arial"/>
          <w:sz w:val="24"/>
          <w:szCs w:val="24"/>
        </w:rPr>
        <w:t xml:space="preserve"> should be applied, allowing for consideration, in some cases, for an effective date earlier than the date of claim or date of enactment.</w:t>
      </w:r>
    </w:p>
    <w:p w14:paraId="3F9A1742" w14:textId="2CCA6EBD" w:rsidR="006C3FC7" w:rsidRPr="0049707E" w:rsidRDefault="006C3FC7" w:rsidP="00E44600">
      <w:pPr>
        <w:pStyle w:val="VBAILTbullet1"/>
        <w:numPr>
          <w:ilvl w:val="0"/>
          <w:numId w:val="13"/>
        </w:numPr>
        <w:rPr>
          <w:rFonts w:ascii="Arial" w:hAnsi="Arial" w:cs="Arial"/>
          <w:sz w:val="24"/>
          <w:szCs w:val="24"/>
        </w:rPr>
      </w:pPr>
      <w:r w:rsidRPr="0049707E">
        <w:rPr>
          <w:rFonts w:ascii="Arial" w:hAnsi="Arial" w:cs="Arial"/>
          <w:sz w:val="24"/>
          <w:szCs w:val="24"/>
        </w:rPr>
        <w:t>all the presumptions in the PACT Act will be effective on the date of enactment, August 10, 2022</w:t>
      </w:r>
    </w:p>
    <w:p w14:paraId="378B630A" w14:textId="73849020" w:rsidR="006C3FC7" w:rsidRPr="0049707E" w:rsidRDefault="006C3FC7" w:rsidP="00E44600">
      <w:pPr>
        <w:pStyle w:val="VBAILTbullet1"/>
        <w:numPr>
          <w:ilvl w:val="0"/>
          <w:numId w:val="13"/>
        </w:numPr>
        <w:rPr>
          <w:rFonts w:ascii="Arial" w:hAnsi="Arial" w:cs="Arial"/>
          <w:sz w:val="24"/>
          <w:szCs w:val="24"/>
        </w:rPr>
      </w:pPr>
      <w:r w:rsidRPr="0049707E">
        <w:rPr>
          <w:rFonts w:ascii="Arial" w:hAnsi="Arial" w:cs="Arial"/>
          <w:sz w:val="24"/>
          <w:szCs w:val="24"/>
        </w:rPr>
        <w:t>there are no tiered enactment or effective dates</w:t>
      </w:r>
    </w:p>
    <w:p w14:paraId="3A7776C5" w14:textId="1B37AC0A" w:rsidR="00F24F56" w:rsidRPr="0049707E" w:rsidRDefault="00F24F56" w:rsidP="003F0654">
      <w:pPr>
        <w:pStyle w:val="VBAILTbullet1"/>
        <w:numPr>
          <w:ilvl w:val="0"/>
          <w:numId w:val="0"/>
        </w:numPr>
        <w:rPr>
          <w:rFonts w:ascii="Arial" w:hAnsi="Arial" w:cs="Arial"/>
          <w:sz w:val="24"/>
          <w:szCs w:val="24"/>
        </w:rPr>
      </w:pPr>
      <w:r w:rsidRPr="0049707E">
        <w:rPr>
          <w:rFonts w:ascii="Arial" w:hAnsi="Arial" w:cs="Arial"/>
          <w:sz w:val="24"/>
          <w:szCs w:val="24"/>
        </w:rPr>
        <w:t>Under Section 204 of the PACT Act, the effective date retroactivity provisions for DIC reevaluations apply “with respect to presumptions of service connection established or modified on or after the date of enactment of the Act, including pursuant to amendments made by this Act.”</w:t>
      </w:r>
    </w:p>
    <w:p w14:paraId="41CFAD16" w14:textId="499D3915" w:rsidR="006C3FC7" w:rsidRPr="0049707E" w:rsidRDefault="006C3FC7" w:rsidP="00E44600">
      <w:pPr>
        <w:pStyle w:val="VBAILTbullet1"/>
        <w:numPr>
          <w:ilvl w:val="0"/>
          <w:numId w:val="12"/>
        </w:numPr>
        <w:rPr>
          <w:rFonts w:ascii="Arial" w:hAnsi="Arial" w:cs="Arial"/>
          <w:sz w:val="24"/>
          <w:szCs w:val="24"/>
        </w:rPr>
      </w:pPr>
      <w:r w:rsidRPr="0049707E">
        <w:rPr>
          <w:rFonts w:ascii="Arial" w:hAnsi="Arial" w:cs="Arial"/>
          <w:sz w:val="24"/>
          <w:szCs w:val="24"/>
        </w:rPr>
        <w:t>Section 204 does not contain a time limit on when a claimant can request reevaluation of a previously denied DIC claim.</w:t>
      </w:r>
    </w:p>
    <w:p w14:paraId="68F0C655" w14:textId="77777777" w:rsidR="006A2742" w:rsidRDefault="006A2742" w:rsidP="000B345B">
      <w:pPr>
        <w:pStyle w:val="VBAILTbullet1"/>
        <w:numPr>
          <w:ilvl w:val="0"/>
          <w:numId w:val="0"/>
        </w:numPr>
        <w:rPr>
          <w:rFonts w:ascii="Arial" w:hAnsi="Arial" w:cs="Arial"/>
          <w:sz w:val="24"/>
          <w:szCs w:val="24"/>
        </w:rPr>
      </w:pPr>
    </w:p>
    <w:p w14:paraId="17148045" w14:textId="5433F953" w:rsidR="00F24F56" w:rsidRPr="0049707E" w:rsidRDefault="00F24F56" w:rsidP="000B345B">
      <w:pPr>
        <w:pStyle w:val="VBAILTbullet1"/>
        <w:numPr>
          <w:ilvl w:val="0"/>
          <w:numId w:val="0"/>
        </w:numPr>
        <w:rPr>
          <w:rFonts w:ascii="Arial" w:hAnsi="Arial" w:cs="Arial"/>
          <w:sz w:val="24"/>
          <w:szCs w:val="24"/>
        </w:rPr>
      </w:pPr>
      <w:r w:rsidRPr="0049707E">
        <w:rPr>
          <w:rFonts w:ascii="Arial" w:hAnsi="Arial" w:cs="Arial"/>
          <w:sz w:val="24"/>
          <w:szCs w:val="24"/>
        </w:rPr>
        <w:lastRenderedPageBreak/>
        <w:t xml:space="preserve">When elected by the claimant, VA is required to reevaluate such claims. </w:t>
      </w:r>
      <w:r w:rsidRPr="0049707E">
        <w:rPr>
          <w:rFonts w:ascii="Arial" w:hAnsi="Arial" w:cs="Arial"/>
          <w:b/>
          <w:bCs/>
          <w:sz w:val="24"/>
          <w:szCs w:val="24"/>
        </w:rPr>
        <w:t>38 USC 1305 (Reevaluation of DIC Determinations Pursuant to Changes in Presumptions of Service Connection)</w:t>
      </w:r>
      <w:r w:rsidRPr="0049707E">
        <w:rPr>
          <w:rFonts w:ascii="Arial" w:hAnsi="Arial" w:cs="Arial"/>
          <w:sz w:val="24"/>
          <w:szCs w:val="24"/>
        </w:rPr>
        <w:t xml:space="preserve"> provides for reevaluation of previously denied DIC claims and the award of effective dates “as if the establishment or modification of the presumption of service connection had been in effect on the date of the submission of the original claim” without regard to </w:t>
      </w:r>
      <w:r w:rsidRPr="0049707E">
        <w:rPr>
          <w:rFonts w:ascii="Arial" w:hAnsi="Arial" w:cs="Arial"/>
          <w:b/>
          <w:bCs/>
          <w:sz w:val="24"/>
          <w:szCs w:val="24"/>
        </w:rPr>
        <w:t>38 USC 5110 (Effective Dates of Awards)</w:t>
      </w:r>
      <w:r w:rsidRPr="0049707E">
        <w:rPr>
          <w:rFonts w:ascii="Arial" w:hAnsi="Arial" w:cs="Arial"/>
          <w:sz w:val="24"/>
          <w:szCs w:val="24"/>
        </w:rPr>
        <w:t>.</w:t>
      </w:r>
    </w:p>
    <w:p w14:paraId="00D9BFEA" w14:textId="6FA1E157" w:rsidR="00281D4D" w:rsidRPr="0049707E" w:rsidRDefault="00281D4D" w:rsidP="00281D4D">
      <w:pPr>
        <w:pStyle w:val="VBAILTHeading2"/>
        <w:rPr>
          <w:rFonts w:ascii="Arial" w:hAnsi="Arial" w:cs="Arial"/>
        </w:rPr>
      </w:pPr>
      <w:bookmarkStart w:id="5" w:name="_Toc169247171"/>
      <w:r w:rsidRPr="0049707E">
        <w:rPr>
          <w:rFonts w:ascii="Arial" w:hAnsi="Arial" w:cs="Arial"/>
        </w:rPr>
        <w:t>Qualifying Service</w:t>
      </w:r>
      <w:bookmarkEnd w:id="5"/>
    </w:p>
    <w:p w14:paraId="0C4235C3" w14:textId="7E626A77" w:rsidR="00281D4D" w:rsidRPr="0049707E" w:rsidRDefault="009C6E6F" w:rsidP="003F0654">
      <w:pPr>
        <w:pStyle w:val="VBAILTbullet1"/>
        <w:numPr>
          <w:ilvl w:val="0"/>
          <w:numId w:val="0"/>
        </w:numPr>
        <w:rPr>
          <w:rFonts w:ascii="Arial" w:hAnsi="Arial" w:cs="Arial"/>
          <w:sz w:val="24"/>
          <w:szCs w:val="24"/>
        </w:rPr>
      </w:pPr>
      <w:r w:rsidRPr="0049707E">
        <w:rPr>
          <w:rFonts w:ascii="Arial" w:hAnsi="Arial" w:cs="Arial"/>
          <w:sz w:val="24"/>
          <w:szCs w:val="24"/>
        </w:rPr>
        <w:t xml:space="preserve">In addition to the locations currently listed in 38 CFR 3.309(d), the Jackson RO will undertake the required development to the Department of Defense (DoD) to recognize </w:t>
      </w:r>
      <w:r w:rsidRPr="0049707E">
        <w:rPr>
          <w:rFonts w:ascii="Arial" w:hAnsi="Arial" w:cs="Arial"/>
          <w:b/>
          <w:bCs/>
          <w:sz w:val="24"/>
          <w:szCs w:val="24"/>
        </w:rPr>
        <w:t>radiation risk activity</w:t>
      </w:r>
      <w:r w:rsidRPr="0049707E">
        <w:rPr>
          <w:rFonts w:ascii="Arial" w:hAnsi="Arial" w:cs="Arial"/>
          <w:sz w:val="24"/>
          <w:szCs w:val="24"/>
        </w:rPr>
        <w:t xml:space="preserve"> for any Veteran who is shown to have participated in one of the following qualifying activities during the applicable time frame:</w:t>
      </w:r>
    </w:p>
    <w:tbl>
      <w:tblPr>
        <w:tblStyle w:val="TableGrid"/>
        <w:tblW w:w="0" w:type="auto"/>
        <w:jc w:val="center"/>
        <w:tblLook w:val="04A0" w:firstRow="1" w:lastRow="0" w:firstColumn="1" w:lastColumn="0" w:noHBand="0" w:noVBand="1"/>
      </w:tblPr>
      <w:tblGrid>
        <w:gridCol w:w="3420"/>
        <w:gridCol w:w="4675"/>
      </w:tblGrid>
      <w:tr w:rsidR="0049707E" w:rsidRPr="00DD6F89" w14:paraId="43DF02CB" w14:textId="77777777" w:rsidTr="0049707E">
        <w:trPr>
          <w:jc w:val="center"/>
        </w:trPr>
        <w:tc>
          <w:tcPr>
            <w:tcW w:w="3420" w:type="dxa"/>
          </w:tcPr>
          <w:p w14:paraId="301295EC" w14:textId="77777777" w:rsidR="0049707E" w:rsidRPr="00DD6F89" w:rsidRDefault="0049707E" w:rsidP="008A481C">
            <w:pPr>
              <w:jc w:val="center"/>
              <w:rPr>
                <w:rFonts w:ascii="Arial" w:hAnsi="Arial" w:cs="Arial"/>
                <w:b/>
                <w:bCs/>
                <w:sz w:val="24"/>
                <w:szCs w:val="24"/>
              </w:rPr>
            </w:pPr>
            <w:r w:rsidRPr="00DD6F89">
              <w:rPr>
                <w:rFonts w:ascii="Arial" w:hAnsi="Arial" w:cs="Arial"/>
                <w:b/>
                <w:bCs/>
                <w:sz w:val="24"/>
                <w:szCs w:val="24"/>
              </w:rPr>
              <w:t>Activity</w:t>
            </w:r>
          </w:p>
        </w:tc>
        <w:tc>
          <w:tcPr>
            <w:tcW w:w="4675" w:type="dxa"/>
          </w:tcPr>
          <w:p w14:paraId="540E4E4F" w14:textId="77777777" w:rsidR="0049707E" w:rsidRPr="00DD6F89" w:rsidRDefault="0049707E" w:rsidP="008A481C">
            <w:pPr>
              <w:jc w:val="center"/>
              <w:rPr>
                <w:rFonts w:ascii="Arial" w:hAnsi="Arial" w:cs="Arial"/>
                <w:b/>
                <w:bCs/>
                <w:sz w:val="24"/>
                <w:szCs w:val="24"/>
              </w:rPr>
            </w:pPr>
            <w:r w:rsidRPr="00DD6F89">
              <w:rPr>
                <w:rFonts w:ascii="Arial" w:hAnsi="Arial" w:cs="Arial"/>
                <w:b/>
                <w:bCs/>
                <w:sz w:val="24"/>
                <w:szCs w:val="24"/>
              </w:rPr>
              <w:t>Dates</w:t>
            </w:r>
          </w:p>
        </w:tc>
      </w:tr>
      <w:tr w:rsidR="0049707E" w:rsidRPr="00DD6F89" w14:paraId="7FE01AE9" w14:textId="77777777" w:rsidTr="0049707E">
        <w:trPr>
          <w:jc w:val="center"/>
        </w:trPr>
        <w:tc>
          <w:tcPr>
            <w:tcW w:w="3420" w:type="dxa"/>
          </w:tcPr>
          <w:p w14:paraId="5D7AF445" w14:textId="77777777" w:rsidR="0049707E" w:rsidRPr="00DD6F89" w:rsidRDefault="0049707E" w:rsidP="008A481C">
            <w:pPr>
              <w:rPr>
                <w:rFonts w:ascii="Arial" w:hAnsi="Arial" w:cs="Arial"/>
                <w:sz w:val="24"/>
                <w:szCs w:val="24"/>
              </w:rPr>
            </w:pPr>
            <w:r w:rsidRPr="00DD6F89">
              <w:rPr>
                <w:rFonts w:ascii="Arial" w:hAnsi="Arial" w:cs="Arial"/>
                <w:sz w:val="24"/>
                <w:szCs w:val="24"/>
              </w:rPr>
              <w:t>Clean up of Enewetak Atoll</w:t>
            </w:r>
          </w:p>
        </w:tc>
        <w:tc>
          <w:tcPr>
            <w:tcW w:w="4675" w:type="dxa"/>
          </w:tcPr>
          <w:p w14:paraId="50F9E2B1" w14:textId="77777777" w:rsidR="0049707E" w:rsidRDefault="0049707E" w:rsidP="008A481C">
            <w:pPr>
              <w:jc w:val="right"/>
              <w:rPr>
                <w:rFonts w:ascii="Arial" w:hAnsi="Arial" w:cs="Arial"/>
                <w:sz w:val="24"/>
                <w:szCs w:val="24"/>
              </w:rPr>
            </w:pPr>
            <w:r w:rsidRPr="00DD6F89">
              <w:rPr>
                <w:rFonts w:ascii="Arial" w:hAnsi="Arial" w:cs="Arial"/>
                <w:sz w:val="24"/>
                <w:szCs w:val="24"/>
              </w:rPr>
              <w:t>1/1/1977 – 12/31/1980</w:t>
            </w:r>
          </w:p>
          <w:p w14:paraId="1D7A8229" w14:textId="77777777" w:rsidR="0049707E" w:rsidRPr="00DD6F89" w:rsidRDefault="0049707E" w:rsidP="008A481C">
            <w:pPr>
              <w:jc w:val="right"/>
              <w:rPr>
                <w:rFonts w:ascii="Arial" w:hAnsi="Arial" w:cs="Arial"/>
                <w:sz w:val="24"/>
                <w:szCs w:val="24"/>
              </w:rPr>
            </w:pPr>
          </w:p>
        </w:tc>
      </w:tr>
      <w:tr w:rsidR="0049707E" w:rsidRPr="00DD6F89" w14:paraId="04A76F53" w14:textId="77777777" w:rsidTr="0049707E">
        <w:trPr>
          <w:jc w:val="center"/>
        </w:trPr>
        <w:tc>
          <w:tcPr>
            <w:tcW w:w="3420" w:type="dxa"/>
          </w:tcPr>
          <w:p w14:paraId="53754971" w14:textId="77777777" w:rsidR="0049707E" w:rsidRPr="00DD6F89" w:rsidRDefault="0049707E" w:rsidP="008A481C">
            <w:pPr>
              <w:rPr>
                <w:rFonts w:ascii="Arial" w:hAnsi="Arial" w:cs="Arial"/>
                <w:sz w:val="24"/>
                <w:szCs w:val="24"/>
              </w:rPr>
            </w:pPr>
            <w:r w:rsidRPr="00DD6F89">
              <w:rPr>
                <w:rFonts w:ascii="Arial" w:hAnsi="Arial" w:cs="Arial"/>
                <w:sz w:val="24"/>
                <w:szCs w:val="24"/>
              </w:rPr>
              <w:t>Nuclear response near Palomares, Spain</w:t>
            </w:r>
          </w:p>
        </w:tc>
        <w:tc>
          <w:tcPr>
            <w:tcW w:w="4675" w:type="dxa"/>
          </w:tcPr>
          <w:p w14:paraId="558F4400" w14:textId="77777777" w:rsidR="0049707E" w:rsidRDefault="0049707E" w:rsidP="008A481C">
            <w:pPr>
              <w:jc w:val="right"/>
              <w:rPr>
                <w:rFonts w:ascii="Arial" w:hAnsi="Arial" w:cs="Arial"/>
                <w:sz w:val="24"/>
                <w:szCs w:val="24"/>
              </w:rPr>
            </w:pPr>
            <w:r w:rsidRPr="00DD6F89">
              <w:rPr>
                <w:rFonts w:ascii="Arial" w:hAnsi="Arial" w:cs="Arial"/>
                <w:sz w:val="24"/>
                <w:szCs w:val="24"/>
              </w:rPr>
              <w:t>1/17/1966 – 3/31/1967</w:t>
            </w:r>
          </w:p>
          <w:p w14:paraId="74308691" w14:textId="77777777" w:rsidR="0049707E" w:rsidRPr="00DD6F89" w:rsidRDefault="0049707E" w:rsidP="008A481C">
            <w:pPr>
              <w:jc w:val="right"/>
              <w:rPr>
                <w:rFonts w:ascii="Arial" w:hAnsi="Arial" w:cs="Arial"/>
                <w:sz w:val="24"/>
                <w:szCs w:val="24"/>
              </w:rPr>
            </w:pPr>
          </w:p>
        </w:tc>
      </w:tr>
      <w:tr w:rsidR="0049707E" w:rsidRPr="00DD6F89" w14:paraId="3EBE6B53" w14:textId="77777777" w:rsidTr="0049707E">
        <w:trPr>
          <w:jc w:val="center"/>
        </w:trPr>
        <w:tc>
          <w:tcPr>
            <w:tcW w:w="3420" w:type="dxa"/>
          </w:tcPr>
          <w:p w14:paraId="2666865D" w14:textId="77777777" w:rsidR="0049707E" w:rsidRPr="00DD6F89" w:rsidRDefault="0049707E" w:rsidP="008A481C">
            <w:pPr>
              <w:rPr>
                <w:rFonts w:ascii="Arial" w:hAnsi="Arial" w:cs="Arial"/>
                <w:sz w:val="24"/>
                <w:szCs w:val="24"/>
              </w:rPr>
            </w:pPr>
            <w:r w:rsidRPr="00DD6F89">
              <w:rPr>
                <w:rFonts w:ascii="Arial" w:hAnsi="Arial" w:cs="Arial"/>
                <w:sz w:val="24"/>
                <w:szCs w:val="24"/>
              </w:rPr>
              <w:t>Nuclear response near Thule Air Force Base, Greenland</w:t>
            </w:r>
          </w:p>
        </w:tc>
        <w:tc>
          <w:tcPr>
            <w:tcW w:w="4675" w:type="dxa"/>
          </w:tcPr>
          <w:p w14:paraId="463D7500" w14:textId="77777777" w:rsidR="0049707E" w:rsidRPr="00DD6F89" w:rsidRDefault="0049707E" w:rsidP="008A481C">
            <w:pPr>
              <w:jc w:val="right"/>
              <w:rPr>
                <w:rFonts w:ascii="Arial" w:hAnsi="Arial" w:cs="Arial"/>
                <w:sz w:val="24"/>
                <w:szCs w:val="24"/>
              </w:rPr>
            </w:pPr>
            <w:r w:rsidRPr="00DD6F89">
              <w:rPr>
                <w:rFonts w:ascii="Arial" w:hAnsi="Arial" w:cs="Arial"/>
                <w:sz w:val="24"/>
                <w:szCs w:val="24"/>
              </w:rPr>
              <w:t>1/21/1968 – 9/25/1968</w:t>
            </w:r>
          </w:p>
        </w:tc>
      </w:tr>
    </w:tbl>
    <w:p w14:paraId="209B57BC" w14:textId="56B9C6F5" w:rsidR="009C6E6F" w:rsidRPr="0049707E" w:rsidRDefault="009C6E6F" w:rsidP="009C6E6F">
      <w:pPr>
        <w:pStyle w:val="VBAILTbullet1"/>
        <w:numPr>
          <w:ilvl w:val="0"/>
          <w:numId w:val="0"/>
        </w:numPr>
        <w:jc w:val="center"/>
        <w:rPr>
          <w:rFonts w:ascii="Arial" w:hAnsi="Arial" w:cs="Arial"/>
          <w:sz w:val="24"/>
          <w:szCs w:val="24"/>
        </w:rPr>
      </w:pPr>
    </w:p>
    <w:p w14:paraId="589CDA48" w14:textId="0FA6ECB1" w:rsidR="009C6E6F" w:rsidRDefault="009C6E6F" w:rsidP="003F0654">
      <w:pPr>
        <w:pStyle w:val="VBAILTbullet1"/>
        <w:numPr>
          <w:ilvl w:val="0"/>
          <w:numId w:val="0"/>
        </w:numPr>
        <w:rPr>
          <w:rFonts w:ascii="Arial" w:hAnsi="Arial" w:cs="Arial"/>
          <w:sz w:val="24"/>
          <w:szCs w:val="24"/>
        </w:rPr>
      </w:pPr>
      <w:r w:rsidRPr="0049707E">
        <w:rPr>
          <w:rFonts w:ascii="Arial" w:hAnsi="Arial" w:cs="Arial"/>
          <w:sz w:val="24"/>
          <w:szCs w:val="24"/>
        </w:rPr>
        <w:t xml:space="preserve">The table below represents how the PACT Act impacts the </w:t>
      </w:r>
      <w:r w:rsidRPr="0049707E">
        <w:rPr>
          <w:rFonts w:ascii="Arial" w:hAnsi="Arial" w:cs="Arial"/>
          <w:b/>
          <w:bCs/>
          <w:sz w:val="24"/>
          <w:szCs w:val="24"/>
        </w:rPr>
        <w:t>current</w:t>
      </w:r>
      <w:r w:rsidRPr="0049707E">
        <w:rPr>
          <w:rFonts w:ascii="Arial" w:hAnsi="Arial" w:cs="Arial"/>
          <w:sz w:val="24"/>
          <w:szCs w:val="24"/>
        </w:rPr>
        <w:t xml:space="preserve"> </w:t>
      </w:r>
      <w:r w:rsidRPr="0049707E">
        <w:rPr>
          <w:rFonts w:ascii="Arial" w:hAnsi="Arial" w:cs="Arial"/>
          <w:b/>
          <w:bCs/>
          <w:sz w:val="24"/>
          <w:szCs w:val="24"/>
        </w:rPr>
        <w:t>herbicide exposure claims</w:t>
      </w:r>
      <w:r w:rsidRPr="0049707E">
        <w:rPr>
          <w:rFonts w:ascii="Arial" w:hAnsi="Arial" w:cs="Arial"/>
          <w:sz w:val="24"/>
          <w:szCs w:val="24"/>
        </w:rPr>
        <w:t xml:space="preserve"> process.</w:t>
      </w:r>
    </w:p>
    <w:p w14:paraId="11D2FE9F" w14:textId="77777777" w:rsidR="004F7416" w:rsidRPr="0049707E" w:rsidRDefault="004F7416" w:rsidP="003F0654">
      <w:pPr>
        <w:pStyle w:val="VBAILTbullet1"/>
        <w:numPr>
          <w:ilvl w:val="0"/>
          <w:numId w:val="0"/>
        </w:numPr>
        <w:rPr>
          <w:rFonts w:ascii="Arial" w:hAnsi="Arial" w:cs="Arial"/>
          <w:sz w:val="24"/>
          <w:szCs w:val="24"/>
        </w:rPr>
      </w:pPr>
    </w:p>
    <w:tbl>
      <w:tblPr>
        <w:tblStyle w:val="TableGrid"/>
        <w:tblW w:w="8375" w:type="dxa"/>
        <w:jc w:val="center"/>
        <w:tblLook w:val="04A0" w:firstRow="1" w:lastRow="0" w:firstColumn="1" w:lastColumn="0" w:noHBand="0" w:noVBand="1"/>
      </w:tblPr>
      <w:tblGrid>
        <w:gridCol w:w="2136"/>
        <w:gridCol w:w="6239"/>
      </w:tblGrid>
      <w:tr w:rsidR="002E33AC" w:rsidRPr="00C1066E" w14:paraId="60F0E7DD" w14:textId="77777777" w:rsidTr="002E33AC">
        <w:trPr>
          <w:jc w:val="center"/>
        </w:trPr>
        <w:tc>
          <w:tcPr>
            <w:tcW w:w="2136" w:type="dxa"/>
          </w:tcPr>
          <w:p w14:paraId="716C4988" w14:textId="77777777" w:rsidR="002E33AC" w:rsidRPr="002E33AC" w:rsidRDefault="002E33AC" w:rsidP="002E33AC">
            <w:pPr>
              <w:jc w:val="center"/>
              <w:rPr>
                <w:rFonts w:ascii="Arial" w:hAnsi="Arial" w:cs="Arial"/>
                <w:b/>
                <w:bCs/>
                <w:sz w:val="24"/>
                <w:szCs w:val="24"/>
              </w:rPr>
            </w:pPr>
            <w:r w:rsidRPr="002E33AC">
              <w:rPr>
                <w:rFonts w:ascii="Arial" w:hAnsi="Arial" w:cs="Arial"/>
                <w:b/>
                <w:bCs/>
                <w:sz w:val="24"/>
                <w:szCs w:val="24"/>
              </w:rPr>
              <w:t>Provision</w:t>
            </w:r>
          </w:p>
        </w:tc>
        <w:tc>
          <w:tcPr>
            <w:tcW w:w="6239" w:type="dxa"/>
          </w:tcPr>
          <w:p w14:paraId="624DE256" w14:textId="77777777" w:rsidR="002E33AC" w:rsidRPr="002E33AC" w:rsidRDefault="002E33AC" w:rsidP="002E33AC">
            <w:pPr>
              <w:jc w:val="center"/>
              <w:rPr>
                <w:rFonts w:ascii="Arial" w:hAnsi="Arial" w:cs="Arial"/>
                <w:b/>
                <w:bCs/>
                <w:sz w:val="24"/>
                <w:szCs w:val="24"/>
              </w:rPr>
            </w:pPr>
            <w:r w:rsidRPr="002E33AC">
              <w:rPr>
                <w:rFonts w:ascii="Arial" w:hAnsi="Arial" w:cs="Arial"/>
                <w:b/>
                <w:bCs/>
                <w:sz w:val="24"/>
                <w:szCs w:val="24"/>
              </w:rPr>
              <w:t>PACT Act</w:t>
            </w:r>
          </w:p>
        </w:tc>
      </w:tr>
      <w:tr w:rsidR="002E33AC" w:rsidRPr="00C1066E" w14:paraId="07FF046F" w14:textId="77777777" w:rsidTr="002E33AC">
        <w:trPr>
          <w:jc w:val="center"/>
        </w:trPr>
        <w:tc>
          <w:tcPr>
            <w:tcW w:w="2136" w:type="dxa"/>
          </w:tcPr>
          <w:p w14:paraId="14FBF556" w14:textId="77777777" w:rsidR="002E33AC" w:rsidRPr="00C1066E" w:rsidRDefault="002E33AC" w:rsidP="008A481C">
            <w:pPr>
              <w:rPr>
                <w:rFonts w:ascii="Arial" w:hAnsi="Arial" w:cs="Arial"/>
                <w:sz w:val="24"/>
                <w:szCs w:val="24"/>
              </w:rPr>
            </w:pPr>
            <w:r w:rsidRPr="00C1066E">
              <w:rPr>
                <w:rFonts w:ascii="Arial" w:hAnsi="Arial" w:cs="Arial"/>
                <w:sz w:val="24"/>
                <w:szCs w:val="24"/>
              </w:rPr>
              <w:t>Qualifying Service</w:t>
            </w:r>
          </w:p>
        </w:tc>
        <w:tc>
          <w:tcPr>
            <w:tcW w:w="6239" w:type="dxa"/>
          </w:tcPr>
          <w:p w14:paraId="20FF94DF" w14:textId="5426BE29" w:rsidR="002E33AC" w:rsidRPr="00C1066E" w:rsidRDefault="002E33AC" w:rsidP="008A481C">
            <w:pPr>
              <w:rPr>
                <w:rFonts w:ascii="Arial" w:hAnsi="Arial" w:cs="Arial"/>
                <w:sz w:val="24"/>
                <w:szCs w:val="24"/>
              </w:rPr>
            </w:pPr>
            <w:r w:rsidRPr="00C1066E">
              <w:rPr>
                <w:rFonts w:ascii="Arial" w:hAnsi="Arial" w:cs="Arial"/>
                <w:sz w:val="24"/>
                <w:szCs w:val="24"/>
              </w:rPr>
              <w:t xml:space="preserve">Expands presumption of exposure to new locations as listed under Expansion of Presumptive Herbicide Exposure (see </w:t>
            </w:r>
            <w:hyperlink r:id="rId17" w:history="1">
              <w:r w:rsidRPr="00C1066E">
                <w:rPr>
                  <w:rStyle w:val="Hyperlink"/>
                  <w:rFonts w:ascii="Arial" w:hAnsi="Arial" w:cs="Arial"/>
                  <w:sz w:val="24"/>
                  <w:szCs w:val="24"/>
                </w:rPr>
                <w:t>SOP</w:t>
              </w:r>
            </w:hyperlink>
            <w:r w:rsidRPr="00C1066E">
              <w:rPr>
                <w:rFonts w:ascii="Arial" w:hAnsi="Arial" w:cs="Arial"/>
                <w:sz w:val="24"/>
                <w:szCs w:val="24"/>
              </w:rPr>
              <w:t>)</w:t>
            </w:r>
          </w:p>
        </w:tc>
      </w:tr>
      <w:tr w:rsidR="002E33AC" w:rsidRPr="00C1066E" w14:paraId="7E2A3BE4" w14:textId="77777777" w:rsidTr="002E33AC">
        <w:trPr>
          <w:jc w:val="center"/>
        </w:trPr>
        <w:tc>
          <w:tcPr>
            <w:tcW w:w="2136" w:type="dxa"/>
          </w:tcPr>
          <w:p w14:paraId="5D59CC7F" w14:textId="77777777" w:rsidR="002E33AC" w:rsidRPr="00C1066E" w:rsidRDefault="002E33AC" w:rsidP="008A481C">
            <w:pPr>
              <w:rPr>
                <w:rFonts w:ascii="Arial" w:hAnsi="Arial" w:cs="Arial"/>
                <w:sz w:val="24"/>
                <w:szCs w:val="24"/>
              </w:rPr>
            </w:pPr>
            <w:r w:rsidRPr="00C1066E">
              <w:rPr>
                <w:rFonts w:ascii="Arial" w:hAnsi="Arial" w:cs="Arial"/>
                <w:sz w:val="24"/>
                <w:szCs w:val="24"/>
              </w:rPr>
              <w:t xml:space="preserve">Recognized Disabilities </w:t>
            </w:r>
          </w:p>
        </w:tc>
        <w:tc>
          <w:tcPr>
            <w:tcW w:w="6239" w:type="dxa"/>
          </w:tcPr>
          <w:p w14:paraId="59070A7D" w14:textId="77777777" w:rsidR="002E33AC" w:rsidRPr="00C1066E" w:rsidRDefault="002E33AC" w:rsidP="008A481C">
            <w:pPr>
              <w:rPr>
                <w:rFonts w:ascii="Arial" w:hAnsi="Arial" w:cs="Arial"/>
                <w:sz w:val="24"/>
                <w:szCs w:val="24"/>
              </w:rPr>
            </w:pPr>
            <w:r w:rsidRPr="00C1066E">
              <w:rPr>
                <w:rFonts w:ascii="Arial" w:hAnsi="Arial" w:cs="Arial"/>
                <w:sz w:val="24"/>
                <w:szCs w:val="24"/>
              </w:rPr>
              <w:t>Adds MGUS and hypertension to the list of recognized presumptive herbicide disabilities effective 8/10/2022</w:t>
            </w:r>
          </w:p>
        </w:tc>
      </w:tr>
      <w:tr w:rsidR="002E33AC" w:rsidRPr="00C1066E" w14:paraId="1E65BC6D" w14:textId="77777777" w:rsidTr="002E33AC">
        <w:trPr>
          <w:jc w:val="center"/>
        </w:trPr>
        <w:tc>
          <w:tcPr>
            <w:tcW w:w="2136" w:type="dxa"/>
          </w:tcPr>
          <w:p w14:paraId="35489BE8" w14:textId="77777777" w:rsidR="002E33AC" w:rsidRPr="00C1066E" w:rsidRDefault="002E33AC" w:rsidP="008A481C">
            <w:pPr>
              <w:rPr>
                <w:rFonts w:ascii="Arial" w:hAnsi="Arial" w:cs="Arial"/>
                <w:sz w:val="24"/>
                <w:szCs w:val="24"/>
              </w:rPr>
            </w:pPr>
            <w:r w:rsidRPr="00C1066E">
              <w:rPr>
                <w:rFonts w:ascii="Arial" w:hAnsi="Arial" w:cs="Arial"/>
                <w:sz w:val="24"/>
                <w:szCs w:val="24"/>
              </w:rPr>
              <w:t>Degree of Disability</w:t>
            </w:r>
          </w:p>
        </w:tc>
        <w:tc>
          <w:tcPr>
            <w:tcW w:w="6239" w:type="dxa"/>
          </w:tcPr>
          <w:p w14:paraId="3D91D358" w14:textId="77777777" w:rsidR="002E33AC" w:rsidRPr="00C1066E" w:rsidRDefault="002E33AC" w:rsidP="008A481C">
            <w:pPr>
              <w:rPr>
                <w:rFonts w:ascii="Arial" w:hAnsi="Arial" w:cs="Arial"/>
                <w:sz w:val="24"/>
                <w:szCs w:val="24"/>
              </w:rPr>
            </w:pPr>
            <w:r w:rsidRPr="00C1066E">
              <w:rPr>
                <w:rFonts w:ascii="Arial" w:hAnsi="Arial" w:cs="Arial"/>
                <w:sz w:val="24"/>
                <w:szCs w:val="24"/>
              </w:rPr>
              <w:t>Statute does not require newly recognized disabilities (MGUS or hypertension) to manifest to a degree of disability of 10 percent or more to qualify as presumptive disease.</w:t>
            </w:r>
          </w:p>
        </w:tc>
      </w:tr>
      <w:tr w:rsidR="002E33AC" w:rsidRPr="00C1066E" w14:paraId="4E1CF712" w14:textId="77777777" w:rsidTr="002E33AC">
        <w:trPr>
          <w:jc w:val="center"/>
        </w:trPr>
        <w:tc>
          <w:tcPr>
            <w:tcW w:w="2136" w:type="dxa"/>
          </w:tcPr>
          <w:p w14:paraId="3FFA52D3" w14:textId="77777777" w:rsidR="002E33AC" w:rsidRPr="00C1066E" w:rsidRDefault="002E33AC" w:rsidP="008A481C">
            <w:pPr>
              <w:rPr>
                <w:rFonts w:ascii="Arial" w:hAnsi="Arial" w:cs="Arial"/>
                <w:sz w:val="24"/>
                <w:szCs w:val="24"/>
              </w:rPr>
            </w:pPr>
            <w:r w:rsidRPr="00C1066E">
              <w:rPr>
                <w:rFonts w:ascii="Arial" w:hAnsi="Arial" w:cs="Arial"/>
                <w:sz w:val="24"/>
                <w:szCs w:val="24"/>
              </w:rPr>
              <w:t>Nehmer</w:t>
            </w:r>
          </w:p>
        </w:tc>
        <w:tc>
          <w:tcPr>
            <w:tcW w:w="6239" w:type="dxa"/>
          </w:tcPr>
          <w:p w14:paraId="01484F75" w14:textId="77777777" w:rsidR="002E33AC" w:rsidRPr="00C1066E" w:rsidRDefault="002E33AC" w:rsidP="008A481C">
            <w:pPr>
              <w:rPr>
                <w:rFonts w:ascii="Arial" w:hAnsi="Arial" w:cs="Arial"/>
                <w:sz w:val="24"/>
                <w:szCs w:val="24"/>
              </w:rPr>
            </w:pPr>
            <w:r w:rsidRPr="00C1066E">
              <w:rPr>
                <w:rFonts w:ascii="Arial" w:hAnsi="Arial" w:cs="Arial"/>
                <w:sz w:val="24"/>
                <w:szCs w:val="24"/>
              </w:rPr>
              <w:t>Does not apply to MGUS or hypertension</w:t>
            </w:r>
          </w:p>
        </w:tc>
      </w:tr>
    </w:tbl>
    <w:p w14:paraId="209819CE" w14:textId="3344CCA9" w:rsidR="009C6E6F" w:rsidRPr="0049707E" w:rsidRDefault="009C6E6F" w:rsidP="002E33AC">
      <w:pPr>
        <w:pStyle w:val="VBAILTbullet1"/>
        <w:numPr>
          <w:ilvl w:val="0"/>
          <w:numId w:val="0"/>
        </w:numPr>
        <w:rPr>
          <w:rFonts w:ascii="Arial" w:hAnsi="Arial" w:cs="Arial"/>
          <w:sz w:val="24"/>
          <w:szCs w:val="24"/>
        </w:rPr>
      </w:pPr>
    </w:p>
    <w:p w14:paraId="104C5B3F" w14:textId="77777777" w:rsidR="00BC6D4C" w:rsidRPr="0049707E" w:rsidRDefault="00BC6D4C">
      <w:pPr>
        <w:rPr>
          <w:rFonts w:ascii="Arial" w:hAnsi="Arial" w:cs="Arial"/>
          <w:sz w:val="24"/>
          <w:szCs w:val="24"/>
        </w:rPr>
      </w:pPr>
      <w:r w:rsidRPr="0049707E">
        <w:rPr>
          <w:rFonts w:ascii="Arial" w:hAnsi="Arial" w:cs="Arial"/>
          <w:sz w:val="24"/>
          <w:szCs w:val="24"/>
        </w:rPr>
        <w:br w:type="page"/>
      </w:r>
    </w:p>
    <w:p w14:paraId="52E46C32" w14:textId="6B009476" w:rsidR="009C6E6F" w:rsidRPr="0049707E" w:rsidRDefault="009C6E6F" w:rsidP="009C6E6F">
      <w:pPr>
        <w:pStyle w:val="VBAILTbullet1"/>
        <w:numPr>
          <w:ilvl w:val="0"/>
          <w:numId w:val="0"/>
        </w:numPr>
        <w:rPr>
          <w:rFonts w:ascii="Arial" w:hAnsi="Arial" w:cs="Arial"/>
          <w:sz w:val="24"/>
          <w:szCs w:val="24"/>
        </w:rPr>
      </w:pPr>
      <w:r w:rsidRPr="0049707E">
        <w:rPr>
          <w:rFonts w:ascii="Arial" w:hAnsi="Arial" w:cs="Arial"/>
          <w:sz w:val="24"/>
          <w:szCs w:val="24"/>
        </w:rPr>
        <w:lastRenderedPageBreak/>
        <w:t xml:space="preserve">In addition to the currently recognized locations and conditions of service </w:t>
      </w:r>
      <w:r w:rsidRPr="0049707E">
        <w:rPr>
          <w:rFonts w:ascii="Arial" w:hAnsi="Arial" w:cs="Arial"/>
          <w:b/>
          <w:bCs/>
          <w:sz w:val="24"/>
          <w:szCs w:val="24"/>
        </w:rPr>
        <w:t>associated with presumptive herbicide exposure</w:t>
      </w:r>
      <w:r w:rsidRPr="0049707E">
        <w:rPr>
          <w:rFonts w:ascii="Arial" w:hAnsi="Arial" w:cs="Arial"/>
          <w:sz w:val="24"/>
          <w:szCs w:val="24"/>
        </w:rPr>
        <w:t>, the PACT Act added the following locations:</w:t>
      </w:r>
    </w:p>
    <w:tbl>
      <w:tblPr>
        <w:tblStyle w:val="TableGrid"/>
        <w:tblW w:w="0" w:type="auto"/>
        <w:jc w:val="center"/>
        <w:tblLook w:val="04A0" w:firstRow="1" w:lastRow="0" w:firstColumn="1" w:lastColumn="0" w:noHBand="0" w:noVBand="1"/>
      </w:tblPr>
      <w:tblGrid>
        <w:gridCol w:w="4588"/>
        <w:gridCol w:w="4588"/>
      </w:tblGrid>
      <w:tr w:rsidR="009C6E6F" w:rsidRPr="0049707E" w14:paraId="0D0C8358" w14:textId="77777777" w:rsidTr="00DD4E8E">
        <w:trPr>
          <w:trHeight w:val="352"/>
          <w:jc w:val="center"/>
        </w:trPr>
        <w:tc>
          <w:tcPr>
            <w:tcW w:w="4588" w:type="dxa"/>
          </w:tcPr>
          <w:p w14:paraId="3CE8AD87" w14:textId="649737FF" w:rsidR="009C6E6F" w:rsidRPr="0049707E" w:rsidRDefault="009C6E6F" w:rsidP="004F7416">
            <w:pPr>
              <w:pStyle w:val="VBAILTbullet1"/>
              <w:numPr>
                <w:ilvl w:val="0"/>
                <w:numId w:val="0"/>
              </w:numPr>
              <w:jc w:val="center"/>
              <w:rPr>
                <w:rFonts w:ascii="Arial" w:hAnsi="Arial" w:cs="Arial"/>
                <w:b/>
                <w:bCs/>
                <w:sz w:val="24"/>
                <w:szCs w:val="24"/>
              </w:rPr>
            </w:pPr>
            <w:r w:rsidRPr="0049707E">
              <w:rPr>
                <w:rFonts w:ascii="Arial" w:hAnsi="Arial" w:cs="Arial"/>
                <w:b/>
                <w:bCs/>
                <w:sz w:val="24"/>
                <w:szCs w:val="24"/>
              </w:rPr>
              <w:t>Location</w:t>
            </w:r>
          </w:p>
        </w:tc>
        <w:tc>
          <w:tcPr>
            <w:tcW w:w="4588" w:type="dxa"/>
          </w:tcPr>
          <w:p w14:paraId="4555F107" w14:textId="0B052543" w:rsidR="009C6E6F" w:rsidRPr="0049707E" w:rsidRDefault="009C6E6F" w:rsidP="004F7416">
            <w:pPr>
              <w:pStyle w:val="VBAILTbullet1"/>
              <w:numPr>
                <w:ilvl w:val="0"/>
                <w:numId w:val="0"/>
              </w:numPr>
              <w:jc w:val="center"/>
              <w:rPr>
                <w:rFonts w:ascii="Arial" w:hAnsi="Arial" w:cs="Arial"/>
                <w:b/>
                <w:bCs/>
                <w:sz w:val="24"/>
                <w:szCs w:val="24"/>
              </w:rPr>
            </w:pPr>
            <w:r w:rsidRPr="0049707E">
              <w:rPr>
                <w:rFonts w:ascii="Arial" w:hAnsi="Arial" w:cs="Arial"/>
                <w:b/>
                <w:bCs/>
                <w:sz w:val="24"/>
                <w:szCs w:val="24"/>
              </w:rPr>
              <w:t>Dates</w:t>
            </w:r>
          </w:p>
        </w:tc>
      </w:tr>
      <w:tr w:rsidR="00DD4E8E" w:rsidRPr="0049707E" w14:paraId="43D1B185" w14:textId="77777777" w:rsidTr="00DD4E8E">
        <w:trPr>
          <w:trHeight w:val="1103"/>
          <w:jc w:val="center"/>
        </w:trPr>
        <w:tc>
          <w:tcPr>
            <w:tcW w:w="4588" w:type="dxa"/>
          </w:tcPr>
          <w:p w14:paraId="0392F769" w14:textId="2B745795" w:rsidR="00DD4E8E" w:rsidRPr="0049707E" w:rsidRDefault="00DD4E8E" w:rsidP="00DD4E8E">
            <w:pPr>
              <w:pStyle w:val="VBAILTbullet1"/>
              <w:numPr>
                <w:ilvl w:val="0"/>
                <w:numId w:val="0"/>
              </w:numPr>
              <w:rPr>
                <w:rFonts w:ascii="Arial" w:hAnsi="Arial" w:cs="Arial"/>
                <w:b/>
                <w:bCs/>
                <w:sz w:val="24"/>
                <w:szCs w:val="24"/>
              </w:rPr>
            </w:pPr>
            <w:r w:rsidRPr="0049707E">
              <w:rPr>
                <w:rFonts w:ascii="Arial" w:hAnsi="Arial" w:cs="Arial"/>
                <w:sz w:val="24"/>
                <w:szCs w:val="24"/>
              </w:rPr>
              <w:t>Thailand at any United States or Royal Thai base, without regard to where on the base the Veteran was located or what MOS the Veteran performed</w:t>
            </w:r>
          </w:p>
        </w:tc>
        <w:tc>
          <w:tcPr>
            <w:tcW w:w="4588" w:type="dxa"/>
          </w:tcPr>
          <w:p w14:paraId="382A24C7" w14:textId="5175F552" w:rsidR="00DD4E8E" w:rsidRPr="0049707E" w:rsidRDefault="00DD4E8E" w:rsidP="00DD4E8E">
            <w:pPr>
              <w:pStyle w:val="VBAILTbullet1"/>
              <w:numPr>
                <w:ilvl w:val="0"/>
                <w:numId w:val="0"/>
              </w:numPr>
              <w:rPr>
                <w:rFonts w:ascii="Arial" w:hAnsi="Arial" w:cs="Arial"/>
                <w:b/>
                <w:bCs/>
                <w:sz w:val="24"/>
                <w:szCs w:val="24"/>
              </w:rPr>
            </w:pPr>
            <w:r w:rsidRPr="0049707E">
              <w:rPr>
                <w:rFonts w:ascii="Arial" w:hAnsi="Arial" w:cs="Arial"/>
                <w:sz w:val="24"/>
                <w:szCs w:val="24"/>
              </w:rPr>
              <w:t>January 9, 1962, to June 30, 1976</w:t>
            </w:r>
          </w:p>
        </w:tc>
      </w:tr>
      <w:tr w:rsidR="00DD4E8E" w:rsidRPr="0049707E" w14:paraId="7A185B7E" w14:textId="77777777" w:rsidTr="00DD4E8E">
        <w:trPr>
          <w:trHeight w:val="362"/>
          <w:jc w:val="center"/>
        </w:trPr>
        <w:tc>
          <w:tcPr>
            <w:tcW w:w="4588" w:type="dxa"/>
          </w:tcPr>
          <w:p w14:paraId="499E5C39" w14:textId="5287E7A6" w:rsidR="00DD4E8E" w:rsidRPr="0049707E" w:rsidRDefault="00DD4E8E" w:rsidP="00DD4E8E">
            <w:pPr>
              <w:pStyle w:val="VBAILTbullet1"/>
              <w:numPr>
                <w:ilvl w:val="0"/>
                <w:numId w:val="0"/>
              </w:numPr>
              <w:rPr>
                <w:rFonts w:ascii="Arial" w:hAnsi="Arial" w:cs="Arial"/>
                <w:sz w:val="24"/>
                <w:szCs w:val="24"/>
              </w:rPr>
            </w:pPr>
            <w:r w:rsidRPr="0049707E">
              <w:rPr>
                <w:rFonts w:ascii="Arial" w:hAnsi="Arial" w:cs="Arial"/>
                <w:sz w:val="24"/>
                <w:szCs w:val="24"/>
              </w:rPr>
              <w:t>Laos</w:t>
            </w:r>
          </w:p>
        </w:tc>
        <w:tc>
          <w:tcPr>
            <w:tcW w:w="4588" w:type="dxa"/>
          </w:tcPr>
          <w:p w14:paraId="5B44D125" w14:textId="3EB0FDCC" w:rsidR="00DD4E8E" w:rsidRPr="0049707E" w:rsidRDefault="00DD4E8E" w:rsidP="00DD4E8E">
            <w:pPr>
              <w:pStyle w:val="VBAILTbullet1"/>
              <w:numPr>
                <w:ilvl w:val="0"/>
                <w:numId w:val="0"/>
              </w:numPr>
              <w:rPr>
                <w:rFonts w:ascii="Arial" w:hAnsi="Arial" w:cs="Arial"/>
                <w:sz w:val="24"/>
                <w:szCs w:val="24"/>
              </w:rPr>
            </w:pPr>
            <w:r w:rsidRPr="0049707E">
              <w:rPr>
                <w:rFonts w:ascii="Arial" w:hAnsi="Arial" w:cs="Arial"/>
                <w:sz w:val="24"/>
                <w:szCs w:val="24"/>
              </w:rPr>
              <w:t>December 1, 1965, to September 30, 1969</w:t>
            </w:r>
          </w:p>
        </w:tc>
      </w:tr>
      <w:tr w:rsidR="00DD4E8E" w:rsidRPr="0049707E" w14:paraId="3DF6C2BE" w14:textId="77777777" w:rsidTr="00DD4E8E">
        <w:trPr>
          <w:trHeight w:val="605"/>
          <w:jc w:val="center"/>
        </w:trPr>
        <w:tc>
          <w:tcPr>
            <w:tcW w:w="4588" w:type="dxa"/>
          </w:tcPr>
          <w:p w14:paraId="4BB5B322" w14:textId="61BD34E9" w:rsidR="00DD4E8E" w:rsidRPr="0049707E" w:rsidRDefault="00DD4E8E" w:rsidP="00DD4E8E">
            <w:pPr>
              <w:pStyle w:val="VBAILTbullet1"/>
              <w:numPr>
                <w:ilvl w:val="0"/>
                <w:numId w:val="0"/>
              </w:numPr>
              <w:rPr>
                <w:rFonts w:ascii="Arial" w:hAnsi="Arial" w:cs="Arial"/>
                <w:sz w:val="24"/>
                <w:szCs w:val="24"/>
              </w:rPr>
            </w:pPr>
            <w:r w:rsidRPr="0049707E">
              <w:rPr>
                <w:rFonts w:ascii="Arial" w:hAnsi="Arial" w:cs="Arial"/>
                <w:sz w:val="24"/>
                <w:szCs w:val="24"/>
              </w:rPr>
              <w:t>Cambodia at Mimot or Krek, Kampong Cham Province</w:t>
            </w:r>
          </w:p>
        </w:tc>
        <w:tc>
          <w:tcPr>
            <w:tcW w:w="4588" w:type="dxa"/>
          </w:tcPr>
          <w:p w14:paraId="14A5F6B9" w14:textId="67A119D2" w:rsidR="00DD4E8E" w:rsidRPr="0049707E" w:rsidRDefault="00DD4E8E" w:rsidP="00DD4E8E">
            <w:pPr>
              <w:pStyle w:val="VBAILTbullet1"/>
              <w:numPr>
                <w:ilvl w:val="0"/>
                <w:numId w:val="0"/>
              </w:numPr>
              <w:rPr>
                <w:rFonts w:ascii="Arial" w:hAnsi="Arial" w:cs="Arial"/>
                <w:sz w:val="24"/>
                <w:szCs w:val="24"/>
              </w:rPr>
            </w:pPr>
            <w:r w:rsidRPr="0049707E">
              <w:rPr>
                <w:rFonts w:ascii="Arial" w:hAnsi="Arial" w:cs="Arial"/>
                <w:sz w:val="24"/>
                <w:szCs w:val="24"/>
              </w:rPr>
              <w:t>April 16, 1969, to April 30, 1969</w:t>
            </w:r>
          </w:p>
        </w:tc>
      </w:tr>
      <w:tr w:rsidR="00DD4E8E" w:rsidRPr="0049707E" w14:paraId="05AD2ABA" w14:textId="77777777" w:rsidTr="00DD4E8E">
        <w:trPr>
          <w:trHeight w:val="605"/>
          <w:jc w:val="center"/>
        </w:trPr>
        <w:tc>
          <w:tcPr>
            <w:tcW w:w="4588" w:type="dxa"/>
          </w:tcPr>
          <w:p w14:paraId="130CC125" w14:textId="6195108C" w:rsidR="00DD4E8E" w:rsidRPr="0049707E" w:rsidRDefault="00DD4E8E" w:rsidP="00DD4E8E">
            <w:pPr>
              <w:pStyle w:val="VBAILTbullet1"/>
              <w:numPr>
                <w:ilvl w:val="0"/>
                <w:numId w:val="0"/>
              </w:numPr>
              <w:rPr>
                <w:rFonts w:ascii="Arial" w:hAnsi="Arial" w:cs="Arial"/>
                <w:sz w:val="24"/>
                <w:szCs w:val="24"/>
              </w:rPr>
            </w:pPr>
            <w:r w:rsidRPr="0049707E">
              <w:rPr>
                <w:rFonts w:ascii="Arial" w:hAnsi="Arial" w:cs="Arial"/>
                <w:sz w:val="24"/>
                <w:szCs w:val="24"/>
              </w:rPr>
              <w:t>Guam or American Samoa, or in the territorial waters thereof</w:t>
            </w:r>
          </w:p>
        </w:tc>
        <w:tc>
          <w:tcPr>
            <w:tcW w:w="4588" w:type="dxa"/>
          </w:tcPr>
          <w:p w14:paraId="6B5A63A2" w14:textId="408B83BD" w:rsidR="00DD4E8E" w:rsidRPr="0049707E" w:rsidRDefault="00DD4E8E" w:rsidP="00DD4E8E">
            <w:pPr>
              <w:pStyle w:val="VBAILTbullet1"/>
              <w:numPr>
                <w:ilvl w:val="0"/>
                <w:numId w:val="0"/>
              </w:numPr>
              <w:rPr>
                <w:rFonts w:ascii="Arial" w:hAnsi="Arial" w:cs="Arial"/>
                <w:sz w:val="24"/>
                <w:szCs w:val="24"/>
              </w:rPr>
            </w:pPr>
            <w:r w:rsidRPr="0049707E">
              <w:rPr>
                <w:rFonts w:ascii="Arial" w:hAnsi="Arial" w:cs="Arial"/>
                <w:sz w:val="24"/>
                <w:szCs w:val="24"/>
              </w:rPr>
              <w:t>January 9, 1962, to July 31, 1980</w:t>
            </w:r>
          </w:p>
        </w:tc>
      </w:tr>
      <w:tr w:rsidR="00DD4E8E" w:rsidRPr="0049707E" w14:paraId="4C60432C" w14:textId="77777777" w:rsidTr="00DD4E8E">
        <w:trPr>
          <w:trHeight w:val="605"/>
          <w:jc w:val="center"/>
        </w:trPr>
        <w:tc>
          <w:tcPr>
            <w:tcW w:w="4588" w:type="dxa"/>
          </w:tcPr>
          <w:p w14:paraId="22F9C6F0" w14:textId="16FF02F0" w:rsidR="00DD4E8E" w:rsidRPr="0049707E" w:rsidRDefault="00DD4E8E" w:rsidP="00DD4E8E">
            <w:pPr>
              <w:pStyle w:val="VBAILTbullet1"/>
              <w:numPr>
                <w:ilvl w:val="0"/>
                <w:numId w:val="0"/>
              </w:numPr>
              <w:rPr>
                <w:rFonts w:ascii="Arial" w:hAnsi="Arial" w:cs="Arial"/>
                <w:sz w:val="24"/>
                <w:szCs w:val="24"/>
              </w:rPr>
            </w:pPr>
            <w:r w:rsidRPr="0049707E">
              <w:rPr>
                <w:rFonts w:ascii="Arial" w:hAnsi="Arial" w:cs="Arial"/>
                <w:sz w:val="24"/>
                <w:szCs w:val="24"/>
              </w:rPr>
              <w:t>Served on Johnston Atoll or on a ship that called at Johnston Atoll</w:t>
            </w:r>
          </w:p>
        </w:tc>
        <w:tc>
          <w:tcPr>
            <w:tcW w:w="4588" w:type="dxa"/>
          </w:tcPr>
          <w:p w14:paraId="635198D0" w14:textId="4E4FEE24" w:rsidR="00DD4E8E" w:rsidRPr="0049707E" w:rsidRDefault="00DD4E8E" w:rsidP="00DD4E8E">
            <w:pPr>
              <w:pStyle w:val="VBAILTbullet1"/>
              <w:numPr>
                <w:ilvl w:val="0"/>
                <w:numId w:val="0"/>
              </w:numPr>
              <w:ind w:left="360" w:hanging="360"/>
              <w:rPr>
                <w:rFonts w:ascii="Arial" w:hAnsi="Arial" w:cs="Arial"/>
                <w:sz w:val="24"/>
                <w:szCs w:val="24"/>
              </w:rPr>
            </w:pPr>
            <w:r w:rsidRPr="0049707E">
              <w:rPr>
                <w:rFonts w:ascii="Arial" w:hAnsi="Arial" w:cs="Arial"/>
                <w:sz w:val="24"/>
                <w:szCs w:val="24"/>
              </w:rPr>
              <w:t>January 1, 1972, to September 30, 1977</w:t>
            </w:r>
          </w:p>
        </w:tc>
      </w:tr>
    </w:tbl>
    <w:p w14:paraId="49A9016F" w14:textId="1B5CFF01" w:rsidR="009C6E6F" w:rsidRPr="0049707E" w:rsidRDefault="00DD4E8E" w:rsidP="009C6E6F">
      <w:pPr>
        <w:pStyle w:val="VBAILTbullet1"/>
        <w:numPr>
          <w:ilvl w:val="0"/>
          <w:numId w:val="0"/>
        </w:numPr>
        <w:rPr>
          <w:rFonts w:ascii="Arial" w:hAnsi="Arial" w:cs="Arial"/>
          <w:sz w:val="24"/>
          <w:szCs w:val="24"/>
        </w:rPr>
      </w:pPr>
      <w:r w:rsidRPr="0049707E">
        <w:rPr>
          <w:rFonts w:ascii="Arial" w:hAnsi="Arial" w:cs="Arial"/>
          <w:sz w:val="24"/>
          <w:szCs w:val="24"/>
        </w:rPr>
        <w:t xml:space="preserve">Recognize </w:t>
      </w:r>
      <w:r w:rsidRPr="0049707E">
        <w:rPr>
          <w:rFonts w:ascii="Arial" w:hAnsi="Arial" w:cs="Arial"/>
          <w:b/>
          <w:bCs/>
          <w:sz w:val="24"/>
          <w:szCs w:val="24"/>
        </w:rPr>
        <w:t>presumptive exposure to herbicides</w:t>
      </w:r>
      <w:r w:rsidRPr="0049707E">
        <w:rPr>
          <w:rFonts w:ascii="Arial" w:hAnsi="Arial" w:cs="Arial"/>
          <w:sz w:val="24"/>
          <w:szCs w:val="24"/>
        </w:rPr>
        <w:t xml:space="preserve"> if a Veteran served during the applicable time in a qualifying location associated with presumptive herbicide exposure as follows:</w:t>
      </w:r>
    </w:p>
    <w:tbl>
      <w:tblPr>
        <w:tblStyle w:val="TableGrid"/>
        <w:tblW w:w="0" w:type="auto"/>
        <w:jc w:val="center"/>
        <w:tblLook w:val="04A0" w:firstRow="1" w:lastRow="0" w:firstColumn="1" w:lastColumn="0" w:noHBand="0" w:noVBand="1"/>
      </w:tblPr>
      <w:tblGrid>
        <w:gridCol w:w="4365"/>
        <w:gridCol w:w="4365"/>
      </w:tblGrid>
      <w:tr w:rsidR="00DD4E8E" w:rsidRPr="0049707E" w14:paraId="6D35BE69" w14:textId="77777777" w:rsidTr="00DD4E8E">
        <w:trPr>
          <w:trHeight w:val="289"/>
          <w:jc w:val="center"/>
        </w:trPr>
        <w:tc>
          <w:tcPr>
            <w:tcW w:w="4365" w:type="dxa"/>
          </w:tcPr>
          <w:p w14:paraId="3CA00FB8" w14:textId="48B89DB3" w:rsidR="00DD4E8E" w:rsidRPr="0049707E" w:rsidRDefault="00DD4E8E" w:rsidP="004F7416">
            <w:pPr>
              <w:pStyle w:val="VBAILTbullet1"/>
              <w:numPr>
                <w:ilvl w:val="0"/>
                <w:numId w:val="0"/>
              </w:numPr>
              <w:jc w:val="center"/>
              <w:rPr>
                <w:rFonts w:ascii="Arial" w:hAnsi="Arial" w:cs="Arial"/>
                <w:b/>
                <w:bCs/>
                <w:sz w:val="24"/>
                <w:szCs w:val="24"/>
              </w:rPr>
            </w:pPr>
            <w:r w:rsidRPr="0049707E">
              <w:rPr>
                <w:rFonts w:ascii="Arial" w:hAnsi="Arial" w:cs="Arial"/>
                <w:b/>
                <w:bCs/>
                <w:sz w:val="24"/>
                <w:szCs w:val="24"/>
              </w:rPr>
              <w:t>Location</w:t>
            </w:r>
          </w:p>
        </w:tc>
        <w:tc>
          <w:tcPr>
            <w:tcW w:w="4365" w:type="dxa"/>
          </w:tcPr>
          <w:p w14:paraId="6387D651" w14:textId="6B692741" w:rsidR="00DD4E8E" w:rsidRPr="0049707E" w:rsidRDefault="00DD4E8E" w:rsidP="004F7416">
            <w:pPr>
              <w:pStyle w:val="VBAILTbullet1"/>
              <w:numPr>
                <w:ilvl w:val="0"/>
                <w:numId w:val="0"/>
              </w:numPr>
              <w:jc w:val="center"/>
              <w:rPr>
                <w:rFonts w:ascii="Arial" w:hAnsi="Arial" w:cs="Arial"/>
                <w:b/>
                <w:bCs/>
                <w:sz w:val="24"/>
                <w:szCs w:val="24"/>
              </w:rPr>
            </w:pPr>
            <w:r w:rsidRPr="0049707E">
              <w:rPr>
                <w:rFonts w:ascii="Arial" w:hAnsi="Arial" w:cs="Arial"/>
                <w:b/>
                <w:bCs/>
                <w:sz w:val="24"/>
                <w:szCs w:val="24"/>
              </w:rPr>
              <w:t>Dates</w:t>
            </w:r>
          </w:p>
        </w:tc>
      </w:tr>
      <w:tr w:rsidR="00DD4E8E" w:rsidRPr="0049707E" w14:paraId="3408A2EA" w14:textId="77777777" w:rsidTr="00DD4E8E">
        <w:trPr>
          <w:trHeight w:val="1216"/>
          <w:jc w:val="center"/>
        </w:trPr>
        <w:tc>
          <w:tcPr>
            <w:tcW w:w="4365" w:type="dxa"/>
          </w:tcPr>
          <w:p w14:paraId="760FE55C" w14:textId="2134FDEE" w:rsidR="00DD4E8E" w:rsidRPr="0049707E" w:rsidRDefault="00DD4E8E" w:rsidP="009C6E6F">
            <w:pPr>
              <w:pStyle w:val="VBAILTbullet1"/>
              <w:numPr>
                <w:ilvl w:val="0"/>
                <w:numId w:val="0"/>
              </w:numPr>
              <w:rPr>
                <w:rFonts w:ascii="Arial" w:hAnsi="Arial" w:cs="Arial"/>
                <w:b/>
                <w:bCs/>
                <w:sz w:val="24"/>
                <w:szCs w:val="24"/>
              </w:rPr>
            </w:pPr>
            <w:r w:rsidRPr="0049707E">
              <w:rPr>
                <w:rFonts w:ascii="Arial" w:hAnsi="Arial" w:cs="Arial"/>
                <w:sz w:val="24"/>
                <w:szCs w:val="24"/>
              </w:rPr>
              <w:t>Service in the RVN, which includes on land in the RVN, on its inland waterways, or in the eligible offshore waters of the RVN, including specific bays and harbors.</w:t>
            </w:r>
          </w:p>
        </w:tc>
        <w:tc>
          <w:tcPr>
            <w:tcW w:w="4365" w:type="dxa"/>
          </w:tcPr>
          <w:p w14:paraId="21DF69BA" w14:textId="1F5B39C9" w:rsidR="00DD4E8E" w:rsidRPr="0049707E" w:rsidRDefault="00DD4E8E" w:rsidP="009C6E6F">
            <w:pPr>
              <w:pStyle w:val="VBAILTbullet1"/>
              <w:numPr>
                <w:ilvl w:val="0"/>
                <w:numId w:val="0"/>
              </w:numPr>
              <w:rPr>
                <w:rFonts w:ascii="Arial" w:hAnsi="Arial" w:cs="Arial"/>
                <w:b/>
                <w:bCs/>
                <w:sz w:val="24"/>
                <w:szCs w:val="24"/>
              </w:rPr>
            </w:pPr>
            <w:r w:rsidRPr="0049707E">
              <w:rPr>
                <w:rFonts w:ascii="Arial" w:hAnsi="Arial" w:cs="Arial"/>
                <w:sz w:val="24"/>
                <w:szCs w:val="24"/>
              </w:rPr>
              <w:t>The period beginning on January 9, 1962, and ending on May 7, 1975</w:t>
            </w:r>
          </w:p>
          <w:p w14:paraId="5ADEE51E" w14:textId="12E7CB28" w:rsidR="00DD4E8E" w:rsidRPr="0049707E" w:rsidRDefault="00DD4E8E" w:rsidP="00DD4E8E">
            <w:pPr>
              <w:tabs>
                <w:tab w:val="left" w:pos="1024"/>
              </w:tabs>
              <w:rPr>
                <w:rFonts w:ascii="Arial" w:hAnsi="Arial" w:cs="Arial"/>
                <w:sz w:val="24"/>
                <w:szCs w:val="24"/>
              </w:rPr>
            </w:pPr>
            <w:r w:rsidRPr="0049707E">
              <w:rPr>
                <w:rFonts w:ascii="Arial" w:hAnsi="Arial" w:cs="Arial"/>
                <w:sz w:val="24"/>
                <w:szCs w:val="24"/>
              </w:rPr>
              <w:tab/>
            </w:r>
          </w:p>
        </w:tc>
      </w:tr>
      <w:tr w:rsidR="00DD4E8E" w:rsidRPr="0049707E" w14:paraId="2D7CBACF" w14:textId="77777777" w:rsidTr="00DD4E8E">
        <w:trPr>
          <w:trHeight w:val="1216"/>
          <w:jc w:val="center"/>
        </w:trPr>
        <w:tc>
          <w:tcPr>
            <w:tcW w:w="4365" w:type="dxa"/>
          </w:tcPr>
          <w:p w14:paraId="7A639EBF" w14:textId="5C8F6790" w:rsidR="00DD4E8E" w:rsidRPr="0049707E" w:rsidRDefault="00DD4E8E" w:rsidP="009C6E6F">
            <w:pPr>
              <w:pStyle w:val="VBAILTbullet1"/>
              <w:numPr>
                <w:ilvl w:val="0"/>
                <w:numId w:val="0"/>
              </w:numPr>
              <w:rPr>
                <w:rFonts w:ascii="Arial" w:hAnsi="Arial" w:cs="Arial"/>
                <w:sz w:val="24"/>
                <w:szCs w:val="24"/>
              </w:rPr>
            </w:pPr>
            <w:r w:rsidRPr="0049707E">
              <w:rPr>
                <w:rFonts w:ascii="Arial" w:hAnsi="Arial" w:cs="Arial"/>
                <w:sz w:val="24"/>
                <w:szCs w:val="24"/>
              </w:rPr>
              <w:t>In a unit determined by VA or the Department of Defense (DoD) to have operated in the Korean demilitarized zone (DMZ)</w:t>
            </w:r>
          </w:p>
        </w:tc>
        <w:tc>
          <w:tcPr>
            <w:tcW w:w="4365" w:type="dxa"/>
          </w:tcPr>
          <w:p w14:paraId="06A62898" w14:textId="0D60A5D3" w:rsidR="00DD4E8E" w:rsidRPr="0049707E" w:rsidRDefault="00DD4E8E" w:rsidP="009C6E6F">
            <w:pPr>
              <w:pStyle w:val="VBAILTbullet1"/>
              <w:numPr>
                <w:ilvl w:val="0"/>
                <w:numId w:val="0"/>
              </w:numPr>
              <w:rPr>
                <w:rFonts w:ascii="Arial" w:hAnsi="Arial" w:cs="Arial"/>
                <w:sz w:val="24"/>
                <w:szCs w:val="24"/>
              </w:rPr>
            </w:pPr>
            <w:r w:rsidRPr="0049707E">
              <w:rPr>
                <w:rFonts w:ascii="Arial" w:hAnsi="Arial" w:cs="Arial"/>
                <w:sz w:val="24"/>
                <w:szCs w:val="24"/>
              </w:rPr>
              <w:t>Between September 1, 1967, and August 31, 1971</w:t>
            </w:r>
          </w:p>
          <w:p w14:paraId="5ACE0AAF" w14:textId="2F6FFCC7" w:rsidR="00DD4E8E" w:rsidRPr="0049707E" w:rsidRDefault="00DD4E8E" w:rsidP="00DD4E8E">
            <w:pPr>
              <w:tabs>
                <w:tab w:val="left" w:pos="1237"/>
              </w:tabs>
              <w:rPr>
                <w:rFonts w:ascii="Arial" w:hAnsi="Arial" w:cs="Arial"/>
                <w:sz w:val="24"/>
                <w:szCs w:val="24"/>
              </w:rPr>
            </w:pPr>
            <w:r w:rsidRPr="0049707E">
              <w:rPr>
                <w:rFonts w:ascii="Arial" w:hAnsi="Arial" w:cs="Arial"/>
                <w:sz w:val="24"/>
                <w:szCs w:val="24"/>
              </w:rPr>
              <w:tab/>
            </w:r>
          </w:p>
        </w:tc>
      </w:tr>
      <w:tr w:rsidR="00DD4E8E" w:rsidRPr="0049707E" w14:paraId="671AEE38" w14:textId="77777777" w:rsidTr="00DD4E8E">
        <w:trPr>
          <w:trHeight w:val="1216"/>
          <w:jc w:val="center"/>
        </w:trPr>
        <w:tc>
          <w:tcPr>
            <w:tcW w:w="4365" w:type="dxa"/>
          </w:tcPr>
          <w:p w14:paraId="3CA873EB" w14:textId="475F3E41" w:rsidR="00DD4E8E" w:rsidRPr="0049707E" w:rsidRDefault="00DD4E8E" w:rsidP="009C6E6F">
            <w:pPr>
              <w:pStyle w:val="VBAILTbullet1"/>
              <w:numPr>
                <w:ilvl w:val="0"/>
                <w:numId w:val="0"/>
              </w:numPr>
              <w:rPr>
                <w:rFonts w:ascii="Arial" w:hAnsi="Arial" w:cs="Arial"/>
                <w:sz w:val="24"/>
                <w:szCs w:val="24"/>
              </w:rPr>
            </w:pPr>
            <w:r w:rsidRPr="0049707E">
              <w:rPr>
                <w:rFonts w:ascii="Arial" w:hAnsi="Arial" w:cs="Arial"/>
                <w:sz w:val="24"/>
                <w:szCs w:val="24"/>
              </w:rPr>
              <w:t>Thailand at any United States or Royal Thai base, without regard to where on the base the Veteran was located or what MOS the Veteran performed</w:t>
            </w:r>
          </w:p>
        </w:tc>
        <w:tc>
          <w:tcPr>
            <w:tcW w:w="4365" w:type="dxa"/>
          </w:tcPr>
          <w:p w14:paraId="2573D0B8" w14:textId="5CFCE963" w:rsidR="00DD4E8E" w:rsidRPr="0049707E" w:rsidRDefault="00DD4E8E" w:rsidP="009C6E6F">
            <w:pPr>
              <w:pStyle w:val="VBAILTbullet1"/>
              <w:numPr>
                <w:ilvl w:val="0"/>
                <w:numId w:val="0"/>
              </w:numPr>
              <w:rPr>
                <w:rFonts w:ascii="Arial" w:hAnsi="Arial" w:cs="Arial"/>
                <w:sz w:val="24"/>
                <w:szCs w:val="24"/>
              </w:rPr>
            </w:pPr>
            <w:r w:rsidRPr="0049707E">
              <w:rPr>
                <w:rFonts w:ascii="Arial" w:hAnsi="Arial" w:cs="Arial"/>
                <w:sz w:val="24"/>
                <w:szCs w:val="24"/>
              </w:rPr>
              <w:t>January 9, 1962, to June 30, 1976</w:t>
            </w:r>
          </w:p>
        </w:tc>
      </w:tr>
      <w:tr w:rsidR="00DD4E8E" w:rsidRPr="0049707E" w14:paraId="1BC7DF21" w14:textId="77777777" w:rsidTr="005C28BD">
        <w:trPr>
          <w:trHeight w:val="755"/>
          <w:jc w:val="center"/>
        </w:trPr>
        <w:tc>
          <w:tcPr>
            <w:tcW w:w="4365" w:type="dxa"/>
          </w:tcPr>
          <w:p w14:paraId="7F7EDC3C" w14:textId="45E19D23" w:rsidR="00DD4E8E" w:rsidRPr="0049707E" w:rsidRDefault="00DD4E8E" w:rsidP="009C6E6F">
            <w:pPr>
              <w:pStyle w:val="VBAILTbullet1"/>
              <w:numPr>
                <w:ilvl w:val="0"/>
                <w:numId w:val="0"/>
              </w:numPr>
              <w:rPr>
                <w:rFonts w:ascii="Arial" w:hAnsi="Arial" w:cs="Arial"/>
                <w:sz w:val="24"/>
                <w:szCs w:val="24"/>
              </w:rPr>
            </w:pPr>
            <w:r w:rsidRPr="0049707E">
              <w:rPr>
                <w:rFonts w:ascii="Arial" w:hAnsi="Arial" w:cs="Arial"/>
                <w:sz w:val="24"/>
                <w:szCs w:val="24"/>
              </w:rPr>
              <w:t>Laos</w:t>
            </w:r>
          </w:p>
        </w:tc>
        <w:tc>
          <w:tcPr>
            <w:tcW w:w="4365" w:type="dxa"/>
          </w:tcPr>
          <w:p w14:paraId="40D3E368" w14:textId="30C9D918" w:rsidR="00DD4E8E" w:rsidRPr="0049707E" w:rsidRDefault="00DD4E8E" w:rsidP="009C6E6F">
            <w:pPr>
              <w:pStyle w:val="VBAILTbullet1"/>
              <w:numPr>
                <w:ilvl w:val="0"/>
                <w:numId w:val="0"/>
              </w:numPr>
              <w:rPr>
                <w:rFonts w:ascii="Arial" w:hAnsi="Arial" w:cs="Arial"/>
                <w:sz w:val="24"/>
                <w:szCs w:val="24"/>
              </w:rPr>
            </w:pPr>
            <w:r w:rsidRPr="0049707E">
              <w:rPr>
                <w:rFonts w:ascii="Arial" w:hAnsi="Arial" w:cs="Arial"/>
                <w:sz w:val="24"/>
                <w:szCs w:val="24"/>
              </w:rPr>
              <w:t>December 1, 1965, to September 30, 1969</w:t>
            </w:r>
          </w:p>
        </w:tc>
      </w:tr>
      <w:tr w:rsidR="00DD4E8E" w:rsidRPr="0049707E" w14:paraId="20FA1F97" w14:textId="77777777" w:rsidTr="005C28BD">
        <w:trPr>
          <w:trHeight w:val="800"/>
          <w:jc w:val="center"/>
        </w:trPr>
        <w:tc>
          <w:tcPr>
            <w:tcW w:w="4365" w:type="dxa"/>
          </w:tcPr>
          <w:p w14:paraId="1C7D7BC9" w14:textId="4AFBA8F8" w:rsidR="00DD4E8E" w:rsidRPr="0049707E" w:rsidRDefault="00DD4E8E" w:rsidP="009C6E6F">
            <w:pPr>
              <w:pStyle w:val="VBAILTbullet1"/>
              <w:numPr>
                <w:ilvl w:val="0"/>
                <w:numId w:val="0"/>
              </w:numPr>
              <w:rPr>
                <w:rFonts w:ascii="Arial" w:hAnsi="Arial" w:cs="Arial"/>
                <w:sz w:val="24"/>
                <w:szCs w:val="24"/>
              </w:rPr>
            </w:pPr>
            <w:r w:rsidRPr="0049707E">
              <w:rPr>
                <w:rFonts w:ascii="Arial" w:hAnsi="Arial" w:cs="Arial"/>
                <w:sz w:val="24"/>
                <w:szCs w:val="24"/>
              </w:rPr>
              <w:lastRenderedPageBreak/>
              <w:t>Cambodia at Mimot or Krek, Kampong Cham Province</w:t>
            </w:r>
          </w:p>
        </w:tc>
        <w:tc>
          <w:tcPr>
            <w:tcW w:w="4365" w:type="dxa"/>
          </w:tcPr>
          <w:p w14:paraId="1502A17E" w14:textId="4AFC9D6F" w:rsidR="00DD4E8E" w:rsidRPr="0049707E" w:rsidRDefault="00DD4E8E" w:rsidP="009C6E6F">
            <w:pPr>
              <w:pStyle w:val="VBAILTbullet1"/>
              <w:numPr>
                <w:ilvl w:val="0"/>
                <w:numId w:val="0"/>
              </w:numPr>
              <w:rPr>
                <w:rFonts w:ascii="Arial" w:hAnsi="Arial" w:cs="Arial"/>
                <w:sz w:val="24"/>
                <w:szCs w:val="24"/>
              </w:rPr>
            </w:pPr>
            <w:r w:rsidRPr="0049707E">
              <w:rPr>
                <w:rFonts w:ascii="Arial" w:hAnsi="Arial" w:cs="Arial"/>
                <w:sz w:val="24"/>
                <w:szCs w:val="24"/>
              </w:rPr>
              <w:t>April 16, 1969, to April 30, 1969</w:t>
            </w:r>
          </w:p>
        </w:tc>
      </w:tr>
      <w:tr w:rsidR="00DD4E8E" w:rsidRPr="0049707E" w14:paraId="018D35C5" w14:textId="77777777" w:rsidTr="005C28BD">
        <w:trPr>
          <w:trHeight w:val="719"/>
          <w:jc w:val="center"/>
        </w:trPr>
        <w:tc>
          <w:tcPr>
            <w:tcW w:w="4365" w:type="dxa"/>
          </w:tcPr>
          <w:p w14:paraId="5B221F23" w14:textId="08321EC2" w:rsidR="00DD4E8E" w:rsidRPr="0049707E" w:rsidRDefault="00DD4E8E" w:rsidP="009C6E6F">
            <w:pPr>
              <w:pStyle w:val="VBAILTbullet1"/>
              <w:numPr>
                <w:ilvl w:val="0"/>
                <w:numId w:val="0"/>
              </w:numPr>
              <w:rPr>
                <w:rFonts w:ascii="Arial" w:hAnsi="Arial" w:cs="Arial"/>
                <w:sz w:val="24"/>
                <w:szCs w:val="24"/>
              </w:rPr>
            </w:pPr>
            <w:r w:rsidRPr="0049707E">
              <w:rPr>
                <w:rFonts w:ascii="Arial" w:hAnsi="Arial" w:cs="Arial"/>
                <w:sz w:val="24"/>
                <w:szCs w:val="24"/>
              </w:rPr>
              <w:t>Guam or in the territorial waters thereof</w:t>
            </w:r>
          </w:p>
        </w:tc>
        <w:tc>
          <w:tcPr>
            <w:tcW w:w="4365" w:type="dxa"/>
          </w:tcPr>
          <w:p w14:paraId="47116645" w14:textId="3D4F4690" w:rsidR="00DD4E8E" w:rsidRPr="0049707E" w:rsidRDefault="00DD4E8E" w:rsidP="009C6E6F">
            <w:pPr>
              <w:pStyle w:val="VBAILTbullet1"/>
              <w:numPr>
                <w:ilvl w:val="0"/>
                <w:numId w:val="0"/>
              </w:numPr>
              <w:rPr>
                <w:rFonts w:ascii="Arial" w:hAnsi="Arial" w:cs="Arial"/>
                <w:sz w:val="24"/>
                <w:szCs w:val="24"/>
              </w:rPr>
            </w:pPr>
            <w:r w:rsidRPr="0049707E">
              <w:rPr>
                <w:rFonts w:ascii="Arial" w:hAnsi="Arial" w:cs="Arial"/>
                <w:sz w:val="24"/>
                <w:szCs w:val="24"/>
              </w:rPr>
              <w:t>January 9, 1962, to July 31, 1980</w:t>
            </w:r>
          </w:p>
        </w:tc>
      </w:tr>
      <w:tr w:rsidR="00DD4E8E" w:rsidRPr="0049707E" w14:paraId="273EF53D" w14:textId="77777777" w:rsidTr="005C28BD">
        <w:trPr>
          <w:trHeight w:val="800"/>
          <w:jc w:val="center"/>
        </w:trPr>
        <w:tc>
          <w:tcPr>
            <w:tcW w:w="4365" w:type="dxa"/>
          </w:tcPr>
          <w:p w14:paraId="34816EDD" w14:textId="29C67979" w:rsidR="00DD4E8E" w:rsidRPr="0049707E" w:rsidRDefault="00DD4E8E" w:rsidP="009C6E6F">
            <w:pPr>
              <w:pStyle w:val="VBAILTbullet1"/>
              <w:numPr>
                <w:ilvl w:val="0"/>
                <w:numId w:val="0"/>
              </w:numPr>
              <w:rPr>
                <w:rFonts w:ascii="Arial" w:hAnsi="Arial" w:cs="Arial"/>
                <w:sz w:val="24"/>
                <w:szCs w:val="24"/>
              </w:rPr>
            </w:pPr>
            <w:r w:rsidRPr="0049707E">
              <w:rPr>
                <w:rFonts w:ascii="Arial" w:hAnsi="Arial" w:cs="Arial"/>
                <w:sz w:val="24"/>
                <w:szCs w:val="24"/>
              </w:rPr>
              <w:t>American Samoa or in the territorial waters thereof</w:t>
            </w:r>
          </w:p>
        </w:tc>
        <w:tc>
          <w:tcPr>
            <w:tcW w:w="4365" w:type="dxa"/>
          </w:tcPr>
          <w:p w14:paraId="02B15BBC" w14:textId="46F4ADF3" w:rsidR="00DD4E8E" w:rsidRPr="0049707E" w:rsidRDefault="00DD4E8E" w:rsidP="009C6E6F">
            <w:pPr>
              <w:pStyle w:val="VBAILTbullet1"/>
              <w:numPr>
                <w:ilvl w:val="0"/>
                <w:numId w:val="0"/>
              </w:numPr>
              <w:rPr>
                <w:rFonts w:ascii="Arial" w:hAnsi="Arial" w:cs="Arial"/>
                <w:sz w:val="24"/>
                <w:szCs w:val="24"/>
              </w:rPr>
            </w:pPr>
            <w:r w:rsidRPr="0049707E">
              <w:rPr>
                <w:rFonts w:ascii="Arial" w:hAnsi="Arial" w:cs="Arial"/>
                <w:sz w:val="24"/>
                <w:szCs w:val="24"/>
              </w:rPr>
              <w:t>January 9, 1962, to July 31, 1980</w:t>
            </w:r>
          </w:p>
          <w:p w14:paraId="6486ED00" w14:textId="45705D20" w:rsidR="00DD4E8E" w:rsidRPr="0049707E" w:rsidRDefault="00DD4E8E" w:rsidP="00DD4E8E">
            <w:pPr>
              <w:rPr>
                <w:rFonts w:ascii="Arial" w:hAnsi="Arial" w:cs="Arial"/>
                <w:sz w:val="24"/>
                <w:szCs w:val="24"/>
              </w:rPr>
            </w:pPr>
          </w:p>
        </w:tc>
      </w:tr>
      <w:tr w:rsidR="00DD4E8E" w:rsidRPr="0049707E" w14:paraId="13D98244" w14:textId="77777777" w:rsidTr="005C28BD">
        <w:trPr>
          <w:trHeight w:val="800"/>
          <w:jc w:val="center"/>
        </w:trPr>
        <w:tc>
          <w:tcPr>
            <w:tcW w:w="4365" w:type="dxa"/>
          </w:tcPr>
          <w:p w14:paraId="418D83E1" w14:textId="072B91BA" w:rsidR="00DD4E8E" w:rsidRPr="0049707E" w:rsidRDefault="00DD4E8E" w:rsidP="009C6E6F">
            <w:pPr>
              <w:pStyle w:val="VBAILTbullet1"/>
              <w:numPr>
                <w:ilvl w:val="0"/>
                <w:numId w:val="0"/>
              </w:numPr>
              <w:rPr>
                <w:rFonts w:ascii="Arial" w:hAnsi="Arial" w:cs="Arial"/>
                <w:sz w:val="24"/>
                <w:szCs w:val="24"/>
              </w:rPr>
            </w:pPr>
            <w:r w:rsidRPr="0049707E">
              <w:rPr>
                <w:rFonts w:ascii="Arial" w:hAnsi="Arial" w:cs="Arial"/>
                <w:sz w:val="24"/>
                <w:szCs w:val="24"/>
              </w:rPr>
              <w:t>Served on Johnston Atoll or on a ship that called at Johnston Atoll</w:t>
            </w:r>
          </w:p>
        </w:tc>
        <w:tc>
          <w:tcPr>
            <w:tcW w:w="4365" w:type="dxa"/>
          </w:tcPr>
          <w:p w14:paraId="6D092B92" w14:textId="383ED9C3" w:rsidR="00DD4E8E" w:rsidRPr="0049707E" w:rsidRDefault="00DD4E8E" w:rsidP="009C6E6F">
            <w:pPr>
              <w:pStyle w:val="VBAILTbullet1"/>
              <w:numPr>
                <w:ilvl w:val="0"/>
                <w:numId w:val="0"/>
              </w:numPr>
              <w:rPr>
                <w:rFonts w:ascii="Arial" w:hAnsi="Arial" w:cs="Arial"/>
                <w:sz w:val="24"/>
                <w:szCs w:val="24"/>
              </w:rPr>
            </w:pPr>
            <w:r w:rsidRPr="0049707E">
              <w:rPr>
                <w:rFonts w:ascii="Arial" w:hAnsi="Arial" w:cs="Arial"/>
                <w:sz w:val="24"/>
                <w:szCs w:val="24"/>
              </w:rPr>
              <w:t>January 1, 1972, to September 30, 1977</w:t>
            </w:r>
          </w:p>
        </w:tc>
      </w:tr>
    </w:tbl>
    <w:p w14:paraId="73E0C1D4" w14:textId="32C858C4" w:rsidR="007B4CDE" w:rsidRPr="0049707E" w:rsidRDefault="007C1E89" w:rsidP="000005EC">
      <w:pPr>
        <w:pStyle w:val="VBAILTHeading2"/>
        <w:rPr>
          <w:rFonts w:ascii="Arial" w:hAnsi="Arial" w:cs="Arial"/>
        </w:rPr>
      </w:pPr>
      <w:bookmarkStart w:id="6" w:name="_Toc169247172"/>
      <w:r>
        <w:rPr>
          <w:rFonts w:ascii="Arial" w:hAnsi="Arial" w:cs="Arial"/>
        </w:rPr>
        <w:t>Herbicide Exposure and Effective Dates</w:t>
      </w:r>
      <w:bookmarkEnd w:id="6"/>
    </w:p>
    <w:tbl>
      <w:tblPr>
        <w:tblStyle w:val="TableGrid"/>
        <w:tblW w:w="0" w:type="auto"/>
        <w:tblLook w:val="04A0" w:firstRow="1" w:lastRow="0" w:firstColumn="1" w:lastColumn="0" w:noHBand="0" w:noVBand="1"/>
      </w:tblPr>
      <w:tblGrid>
        <w:gridCol w:w="4675"/>
        <w:gridCol w:w="4675"/>
      </w:tblGrid>
      <w:tr w:rsidR="007C1E89" w:rsidRPr="00E91542" w14:paraId="402975AD" w14:textId="77777777" w:rsidTr="007C1E89">
        <w:tc>
          <w:tcPr>
            <w:tcW w:w="4675" w:type="dxa"/>
          </w:tcPr>
          <w:p w14:paraId="052C7364" w14:textId="36FAA251" w:rsidR="007C1E89" w:rsidRPr="00E91542" w:rsidRDefault="007C1E89" w:rsidP="00E91542">
            <w:pPr>
              <w:jc w:val="center"/>
              <w:rPr>
                <w:rFonts w:ascii="Arial" w:hAnsi="Arial" w:cs="Arial"/>
                <w:b/>
                <w:sz w:val="24"/>
                <w:szCs w:val="24"/>
              </w:rPr>
            </w:pPr>
            <w:r w:rsidRPr="00E91542">
              <w:rPr>
                <w:rFonts w:ascii="Arial" w:hAnsi="Arial" w:cs="Arial"/>
                <w:b/>
                <w:sz w:val="24"/>
                <w:szCs w:val="24"/>
              </w:rPr>
              <w:t>Disability</w:t>
            </w:r>
          </w:p>
        </w:tc>
        <w:tc>
          <w:tcPr>
            <w:tcW w:w="4675" w:type="dxa"/>
          </w:tcPr>
          <w:p w14:paraId="15538531" w14:textId="56C2049F" w:rsidR="007C1E89" w:rsidRPr="00E91542" w:rsidRDefault="007C1E89" w:rsidP="00E91542">
            <w:pPr>
              <w:jc w:val="center"/>
              <w:rPr>
                <w:rFonts w:ascii="Arial" w:hAnsi="Arial" w:cs="Arial"/>
                <w:b/>
                <w:sz w:val="24"/>
                <w:szCs w:val="24"/>
              </w:rPr>
            </w:pPr>
            <w:r w:rsidRPr="00E91542">
              <w:rPr>
                <w:rFonts w:ascii="Arial" w:hAnsi="Arial" w:cs="Arial"/>
                <w:b/>
                <w:sz w:val="24"/>
                <w:szCs w:val="24"/>
              </w:rPr>
              <w:t>Effective Date</w:t>
            </w:r>
          </w:p>
        </w:tc>
      </w:tr>
      <w:tr w:rsidR="007C1E89" w:rsidRPr="00E91542" w14:paraId="38DF8BFB" w14:textId="77777777" w:rsidTr="007C1E89">
        <w:tc>
          <w:tcPr>
            <w:tcW w:w="4675" w:type="dxa"/>
          </w:tcPr>
          <w:p w14:paraId="2BAD9792" w14:textId="77777777" w:rsidR="002C78EA" w:rsidRPr="00E91542" w:rsidRDefault="002C78EA">
            <w:pPr>
              <w:rPr>
                <w:rFonts w:ascii="Arial" w:hAnsi="Arial" w:cs="Arial"/>
                <w:sz w:val="24"/>
                <w:szCs w:val="24"/>
              </w:rPr>
            </w:pPr>
            <w:r w:rsidRPr="00E91542">
              <w:rPr>
                <w:rFonts w:ascii="Arial" w:hAnsi="Arial" w:cs="Arial"/>
                <w:sz w:val="24"/>
                <w:szCs w:val="24"/>
              </w:rPr>
              <w:t xml:space="preserve">Chloracne or other acne-form disease consistent with chloracne, and soft-tissue sarcoma, other than </w:t>
            </w:r>
          </w:p>
          <w:p w14:paraId="5917D21B" w14:textId="77777777" w:rsidR="002C78EA" w:rsidRPr="00E91542" w:rsidRDefault="002C78EA" w:rsidP="001A1137">
            <w:pPr>
              <w:ind w:left="720"/>
              <w:rPr>
                <w:rFonts w:ascii="Arial" w:hAnsi="Arial" w:cs="Arial"/>
                <w:sz w:val="24"/>
                <w:szCs w:val="24"/>
              </w:rPr>
            </w:pPr>
            <w:r w:rsidRPr="00E91542">
              <w:rPr>
                <w:rFonts w:ascii="Arial" w:hAnsi="Arial" w:cs="Arial"/>
                <w:sz w:val="24"/>
                <w:szCs w:val="24"/>
              </w:rPr>
              <w:sym w:font="Symbol" w:char="F09F"/>
            </w:r>
            <w:r w:rsidRPr="00E91542">
              <w:rPr>
                <w:rFonts w:ascii="Arial" w:hAnsi="Arial" w:cs="Arial"/>
                <w:sz w:val="24"/>
                <w:szCs w:val="24"/>
              </w:rPr>
              <w:t xml:space="preserve"> osteosarcoma </w:t>
            </w:r>
          </w:p>
          <w:p w14:paraId="2E0F966C" w14:textId="77777777" w:rsidR="002C78EA" w:rsidRPr="00E91542" w:rsidRDefault="002C78EA" w:rsidP="001A1137">
            <w:pPr>
              <w:ind w:left="720"/>
              <w:rPr>
                <w:rFonts w:ascii="Arial" w:hAnsi="Arial" w:cs="Arial"/>
                <w:sz w:val="24"/>
                <w:szCs w:val="24"/>
              </w:rPr>
            </w:pPr>
            <w:r w:rsidRPr="00E91542">
              <w:rPr>
                <w:rFonts w:ascii="Arial" w:hAnsi="Arial" w:cs="Arial"/>
                <w:sz w:val="24"/>
                <w:szCs w:val="24"/>
              </w:rPr>
              <w:sym w:font="Symbol" w:char="F09F"/>
            </w:r>
            <w:r w:rsidRPr="00E91542">
              <w:rPr>
                <w:rFonts w:ascii="Arial" w:hAnsi="Arial" w:cs="Arial"/>
                <w:sz w:val="24"/>
                <w:szCs w:val="24"/>
              </w:rPr>
              <w:t xml:space="preserve"> chondrosarcoma </w:t>
            </w:r>
          </w:p>
          <w:p w14:paraId="55FEB9D7" w14:textId="77777777" w:rsidR="002C78EA" w:rsidRPr="00E91542" w:rsidRDefault="002C78EA" w:rsidP="001A1137">
            <w:pPr>
              <w:ind w:left="720"/>
              <w:rPr>
                <w:rFonts w:ascii="Arial" w:hAnsi="Arial" w:cs="Arial"/>
                <w:sz w:val="24"/>
                <w:szCs w:val="24"/>
              </w:rPr>
            </w:pPr>
            <w:r w:rsidRPr="00E91542">
              <w:rPr>
                <w:rFonts w:ascii="Arial" w:hAnsi="Arial" w:cs="Arial"/>
                <w:sz w:val="24"/>
                <w:szCs w:val="24"/>
              </w:rPr>
              <w:sym w:font="Symbol" w:char="F09F"/>
            </w:r>
            <w:r w:rsidRPr="00E91542">
              <w:rPr>
                <w:rFonts w:ascii="Arial" w:hAnsi="Arial" w:cs="Arial"/>
                <w:sz w:val="24"/>
                <w:szCs w:val="24"/>
              </w:rPr>
              <w:t xml:space="preserve"> Kaposi’s sarcoma, or</w:t>
            </w:r>
          </w:p>
          <w:p w14:paraId="42F1489D" w14:textId="77777777" w:rsidR="007C1E89" w:rsidRDefault="002C78EA" w:rsidP="001A1137">
            <w:pPr>
              <w:ind w:left="720"/>
              <w:rPr>
                <w:rFonts w:ascii="Arial" w:hAnsi="Arial" w:cs="Arial"/>
                <w:sz w:val="24"/>
                <w:szCs w:val="24"/>
              </w:rPr>
            </w:pPr>
            <w:r w:rsidRPr="00E91542">
              <w:rPr>
                <w:rFonts w:ascii="Arial" w:hAnsi="Arial" w:cs="Arial"/>
                <w:sz w:val="24"/>
                <w:szCs w:val="24"/>
              </w:rPr>
              <w:sym w:font="Symbol" w:char="F09F"/>
            </w:r>
            <w:r w:rsidRPr="00E91542">
              <w:rPr>
                <w:rFonts w:ascii="Arial" w:hAnsi="Arial" w:cs="Arial"/>
                <w:sz w:val="24"/>
                <w:szCs w:val="24"/>
              </w:rPr>
              <w:t xml:space="preserve"> mesothelioma</w:t>
            </w:r>
          </w:p>
          <w:p w14:paraId="7F72244A" w14:textId="3598D35C" w:rsidR="00E91542" w:rsidRPr="00E91542" w:rsidRDefault="00E91542" w:rsidP="001A1137">
            <w:pPr>
              <w:ind w:left="720"/>
              <w:rPr>
                <w:rFonts w:ascii="Arial" w:hAnsi="Arial" w:cs="Arial"/>
                <w:b/>
                <w:sz w:val="24"/>
                <w:szCs w:val="24"/>
              </w:rPr>
            </w:pPr>
          </w:p>
        </w:tc>
        <w:tc>
          <w:tcPr>
            <w:tcW w:w="4675" w:type="dxa"/>
          </w:tcPr>
          <w:p w14:paraId="58E734C0" w14:textId="214B33E0" w:rsidR="007C1E89" w:rsidRPr="00E91542" w:rsidRDefault="001A1137" w:rsidP="00E91542">
            <w:pPr>
              <w:jc w:val="right"/>
              <w:rPr>
                <w:rFonts w:ascii="Arial" w:hAnsi="Arial" w:cs="Arial"/>
                <w:b/>
                <w:sz w:val="24"/>
                <w:szCs w:val="24"/>
              </w:rPr>
            </w:pPr>
            <w:r w:rsidRPr="00E91542">
              <w:rPr>
                <w:rFonts w:ascii="Arial" w:hAnsi="Arial" w:cs="Arial"/>
                <w:sz w:val="24"/>
                <w:szCs w:val="24"/>
              </w:rPr>
              <w:t>February 6, 1991</w:t>
            </w:r>
          </w:p>
        </w:tc>
      </w:tr>
      <w:tr w:rsidR="001A1137" w:rsidRPr="00E91542" w14:paraId="25062304" w14:textId="77777777" w:rsidTr="007C1E89">
        <w:tc>
          <w:tcPr>
            <w:tcW w:w="4675" w:type="dxa"/>
          </w:tcPr>
          <w:p w14:paraId="460B38E2" w14:textId="77777777" w:rsidR="001A1137" w:rsidRDefault="001A1137">
            <w:pPr>
              <w:rPr>
                <w:rFonts w:ascii="Arial" w:hAnsi="Arial" w:cs="Arial"/>
                <w:sz w:val="24"/>
                <w:szCs w:val="24"/>
              </w:rPr>
            </w:pPr>
            <w:r w:rsidRPr="00E91542">
              <w:rPr>
                <w:rFonts w:ascii="Arial" w:hAnsi="Arial" w:cs="Arial"/>
                <w:sz w:val="24"/>
                <w:szCs w:val="24"/>
              </w:rPr>
              <w:t>Non-Hodgkin’s lymphoma (NHL)</w:t>
            </w:r>
          </w:p>
          <w:p w14:paraId="0C1329A1" w14:textId="3D7B80DB" w:rsidR="00E91542" w:rsidRPr="00E91542" w:rsidRDefault="00E91542">
            <w:pPr>
              <w:rPr>
                <w:rFonts w:ascii="Arial" w:hAnsi="Arial" w:cs="Arial"/>
                <w:sz w:val="24"/>
                <w:szCs w:val="24"/>
              </w:rPr>
            </w:pPr>
          </w:p>
        </w:tc>
        <w:tc>
          <w:tcPr>
            <w:tcW w:w="4675" w:type="dxa"/>
          </w:tcPr>
          <w:p w14:paraId="5630B114" w14:textId="55CDDF6A" w:rsidR="001A1137" w:rsidRPr="00E91542" w:rsidRDefault="004E7F3C" w:rsidP="00E91542">
            <w:pPr>
              <w:jc w:val="right"/>
              <w:rPr>
                <w:rFonts w:ascii="Arial" w:hAnsi="Arial" w:cs="Arial"/>
                <w:sz w:val="24"/>
                <w:szCs w:val="24"/>
              </w:rPr>
            </w:pPr>
            <w:r w:rsidRPr="00E91542">
              <w:rPr>
                <w:rFonts w:ascii="Arial" w:hAnsi="Arial" w:cs="Arial"/>
                <w:sz w:val="24"/>
                <w:szCs w:val="24"/>
              </w:rPr>
              <w:t>February 6, 1991</w:t>
            </w:r>
          </w:p>
        </w:tc>
      </w:tr>
      <w:tr w:rsidR="004E7F3C" w:rsidRPr="00E91542" w14:paraId="4F164168" w14:textId="77777777" w:rsidTr="007C1E89">
        <w:tc>
          <w:tcPr>
            <w:tcW w:w="4675" w:type="dxa"/>
          </w:tcPr>
          <w:p w14:paraId="7C406247" w14:textId="77777777" w:rsidR="004E7F3C" w:rsidRDefault="004E7F3C">
            <w:pPr>
              <w:rPr>
                <w:rFonts w:ascii="Arial" w:hAnsi="Arial" w:cs="Arial"/>
                <w:sz w:val="24"/>
                <w:szCs w:val="24"/>
              </w:rPr>
            </w:pPr>
            <w:r w:rsidRPr="00E91542">
              <w:rPr>
                <w:rFonts w:ascii="Arial" w:hAnsi="Arial" w:cs="Arial"/>
                <w:sz w:val="24"/>
                <w:szCs w:val="24"/>
              </w:rPr>
              <w:t xml:space="preserve">Porphyria cutanea tarda (PCT), and </w:t>
            </w:r>
            <w:r w:rsidRPr="00E91542">
              <w:rPr>
                <w:rFonts w:ascii="Arial" w:hAnsi="Arial" w:cs="Arial"/>
                <w:sz w:val="24"/>
                <w:szCs w:val="24"/>
              </w:rPr>
              <w:sym w:font="Symbol" w:char="F077"/>
            </w:r>
            <w:r w:rsidRPr="00E91542">
              <w:rPr>
                <w:rFonts w:ascii="Arial" w:hAnsi="Arial" w:cs="Arial"/>
                <w:sz w:val="24"/>
                <w:szCs w:val="24"/>
              </w:rPr>
              <w:t xml:space="preserve"> Hodgkin’s disease</w:t>
            </w:r>
          </w:p>
          <w:p w14:paraId="1191C452" w14:textId="37922273" w:rsidR="00E91542" w:rsidRPr="00E91542" w:rsidRDefault="00E91542">
            <w:pPr>
              <w:rPr>
                <w:rFonts w:ascii="Arial" w:hAnsi="Arial" w:cs="Arial"/>
                <w:sz w:val="24"/>
                <w:szCs w:val="24"/>
              </w:rPr>
            </w:pPr>
          </w:p>
        </w:tc>
        <w:tc>
          <w:tcPr>
            <w:tcW w:w="4675" w:type="dxa"/>
          </w:tcPr>
          <w:p w14:paraId="2025395C" w14:textId="33CEF987" w:rsidR="004E7F3C" w:rsidRPr="00E91542" w:rsidRDefault="001451C9" w:rsidP="00E91542">
            <w:pPr>
              <w:jc w:val="right"/>
              <w:rPr>
                <w:rFonts w:ascii="Arial" w:hAnsi="Arial" w:cs="Arial"/>
                <w:sz w:val="24"/>
                <w:szCs w:val="24"/>
              </w:rPr>
            </w:pPr>
            <w:r w:rsidRPr="00E91542">
              <w:rPr>
                <w:rFonts w:ascii="Arial" w:hAnsi="Arial" w:cs="Arial"/>
                <w:sz w:val="24"/>
                <w:szCs w:val="24"/>
              </w:rPr>
              <w:t>February 3, 1994</w:t>
            </w:r>
          </w:p>
        </w:tc>
      </w:tr>
      <w:tr w:rsidR="001451C9" w:rsidRPr="00E91542" w14:paraId="64D033C5" w14:textId="77777777" w:rsidTr="007C1E89">
        <w:tc>
          <w:tcPr>
            <w:tcW w:w="4675" w:type="dxa"/>
          </w:tcPr>
          <w:p w14:paraId="26C03564" w14:textId="77777777" w:rsidR="001451C9" w:rsidRDefault="001451C9" w:rsidP="006C4C9F">
            <w:pPr>
              <w:rPr>
                <w:rFonts w:ascii="Arial" w:hAnsi="Arial" w:cs="Arial"/>
                <w:sz w:val="24"/>
                <w:szCs w:val="24"/>
              </w:rPr>
            </w:pPr>
            <w:r w:rsidRPr="00E91542">
              <w:rPr>
                <w:rFonts w:ascii="Arial" w:hAnsi="Arial" w:cs="Arial"/>
                <w:sz w:val="24"/>
                <w:szCs w:val="24"/>
              </w:rPr>
              <w:t>Respiratory cancers of the: lung</w:t>
            </w:r>
            <w:r w:rsidR="006C4C9F" w:rsidRPr="00E91542">
              <w:rPr>
                <w:rFonts w:ascii="Arial" w:hAnsi="Arial" w:cs="Arial"/>
                <w:sz w:val="24"/>
                <w:szCs w:val="24"/>
              </w:rPr>
              <w:t xml:space="preserve">, </w:t>
            </w:r>
            <w:r w:rsidRPr="00E91542">
              <w:rPr>
                <w:rFonts w:ascii="Arial" w:hAnsi="Arial" w:cs="Arial"/>
                <w:sz w:val="24"/>
                <w:szCs w:val="24"/>
              </w:rPr>
              <w:t>bronchus</w:t>
            </w:r>
            <w:r w:rsidR="006C4C9F" w:rsidRPr="00E91542">
              <w:rPr>
                <w:rFonts w:ascii="Arial" w:hAnsi="Arial" w:cs="Arial"/>
                <w:sz w:val="24"/>
                <w:szCs w:val="24"/>
              </w:rPr>
              <w:t xml:space="preserve">, </w:t>
            </w:r>
            <w:r w:rsidRPr="00E91542">
              <w:rPr>
                <w:rFonts w:ascii="Arial" w:hAnsi="Arial" w:cs="Arial"/>
                <w:sz w:val="24"/>
                <w:szCs w:val="24"/>
              </w:rPr>
              <w:t>larynx, or trachea, and multiple myeloma</w:t>
            </w:r>
          </w:p>
          <w:p w14:paraId="23F19C30" w14:textId="4D072917" w:rsidR="00E91542" w:rsidRPr="00E91542" w:rsidRDefault="00E91542" w:rsidP="006C4C9F">
            <w:pPr>
              <w:rPr>
                <w:rFonts w:ascii="Arial" w:hAnsi="Arial" w:cs="Arial"/>
                <w:sz w:val="24"/>
                <w:szCs w:val="24"/>
              </w:rPr>
            </w:pPr>
          </w:p>
        </w:tc>
        <w:tc>
          <w:tcPr>
            <w:tcW w:w="4675" w:type="dxa"/>
          </w:tcPr>
          <w:p w14:paraId="0701A2D3" w14:textId="229ED028" w:rsidR="001451C9" w:rsidRPr="00E91542" w:rsidRDefault="006C4C9F" w:rsidP="00E91542">
            <w:pPr>
              <w:jc w:val="right"/>
              <w:rPr>
                <w:rFonts w:ascii="Arial" w:hAnsi="Arial" w:cs="Arial"/>
                <w:sz w:val="24"/>
                <w:szCs w:val="24"/>
              </w:rPr>
            </w:pPr>
            <w:r w:rsidRPr="00E91542">
              <w:rPr>
                <w:rFonts w:ascii="Arial" w:hAnsi="Arial" w:cs="Arial"/>
                <w:sz w:val="24"/>
                <w:szCs w:val="24"/>
              </w:rPr>
              <w:t>June 9, 1994</w:t>
            </w:r>
          </w:p>
        </w:tc>
      </w:tr>
      <w:tr w:rsidR="006C4C9F" w:rsidRPr="00E91542" w14:paraId="7BBF20B8" w14:textId="77777777" w:rsidTr="007C1E89">
        <w:tc>
          <w:tcPr>
            <w:tcW w:w="4675" w:type="dxa"/>
          </w:tcPr>
          <w:p w14:paraId="74C24102" w14:textId="77777777" w:rsidR="006C4C9F" w:rsidRDefault="00CE4C9D" w:rsidP="006C4C9F">
            <w:pPr>
              <w:rPr>
                <w:rFonts w:ascii="Arial" w:hAnsi="Arial" w:cs="Arial"/>
                <w:sz w:val="24"/>
                <w:szCs w:val="24"/>
              </w:rPr>
            </w:pPr>
            <w:r w:rsidRPr="00E91542">
              <w:rPr>
                <w:rFonts w:ascii="Arial" w:hAnsi="Arial" w:cs="Arial"/>
                <w:sz w:val="24"/>
                <w:szCs w:val="24"/>
              </w:rPr>
              <w:t>Prostate cancer, and acute and subacute peripheral neuropathy</w:t>
            </w:r>
          </w:p>
          <w:p w14:paraId="150BA4FD" w14:textId="36CD1598" w:rsidR="00E91542" w:rsidRPr="00E91542" w:rsidRDefault="00E91542" w:rsidP="006C4C9F">
            <w:pPr>
              <w:rPr>
                <w:rFonts w:ascii="Arial" w:hAnsi="Arial" w:cs="Arial"/>
                <w:sz w:val="24"/>
                <w:szCs w:val="24"/>
              </w:rPr>
            </w:pPr>
          </w:p>
        </w:tc>
        <w:tc>
          <w:tcPr>
            <w:tcW w:w="4675" w:type="dxa"/>
          </w:tcPr>
          <w:p w14:paraId="7AC53CEC" w14:textId="077077C3" w:rsidR="006C4C9F" w:rsidRPr="00E91542" w:rsidRDefault="00CE4C9D" w:rsidP="00E91542">
            <w:pPr>
              <w:jc w:val="right"/>
              <w:rPr>
                <w:rFonts w:ascii="Arial" w:hAnsi="Arial" w:cs="Arial"/>
                <w:sz w:val="24"/>
                <w:szCs w:val="24"/>
              </w:rPr>
            </w:pPr>
            <w:r w:rsidRPr="00E91542">
              <w:rPr>
                <w:rFonts w:ascii="Arial" w:hAnsi="Arial" w:cs="Arial"/>
                <w:sz w:val="24"/>
                <w:szCs w:val="24"/>
              </w:rPr>
              <w:t>November 7, 1996</w:t>
            </w:r>
          </w:p>
        </w:tc>
      </w:tr>
      <w:tr w:rsidR="00F060E3" w:rsidRPr="00E91542" w14:paraId="6803C586" w14:textId="77777777" w:rsidTr="007C1E89">
        <w:tc>
          <w:tcPr>
            <w:tcW w:w="4675" w:type="dxa"/>
          </w:tcPr>
          <w:p w14:paraId="7976B32E" w14:textId="77777777" w:rsidR="00F060E3" w:rsidRDefault="00F060E3" w:rsidP="006C4C9F">
            <w:pPr>
              <w:rPr>
                <w:rFonts w:ascii="Arial" w:hAnsi="Arial" w:cs="Arial"/>
                <w:sz w:val="24"/>
                <w:szCs w:val="24"/>
              </w:rPr>
            </w:pPr>
            <w:r w:rsidRPr="00E91542">
              <w:rPr>
                <w:rFonts w:ascii="Arial" w:hAnsi="Arial" w:cs="Arial"/>
                <w:sz w:val="24"/>
                <w:szCs w:val="24"/>
              </w:rPr>
              <w:t>Type 2 diabetes mellitus</w:t>
            </w:r>
          </w:p>
          <w:p w14:paraId="3E1E6438" w14:textId="5B44CCEE" w:rsidR="00E91542" w:rsidRPr="00E91542" w:rsidRDefault="00E91542" w:rsidP="006C4C9F">
            <w:pPr>
              <w:rPr>
                <w:rFonts w:ascii="Arial" w:hAnsi="Arial" w:cs="Arial"/>
                <w:sz w:val="24"/>
                <w:szCs w:val="24"/>
              </w:rPr>
            </w:pPr>
          </w:p>
        </w:tc>
        <w:tc>
          <w:tcPr>
            <w:tcW w:w="4675" w:type="dxa"/>
          </w:tcPr>
          <w:p w14:paraId="2EF7805A" w14:textId="22368AEE" w:rsidR="00F060E3" w:rsidRPr="00E91542" w:rsidRDefault="00F060E3" w:rsidP="00E91542">
            <w:pPr>
              <w:jc w:val="right"/>
              <w:rPr>
                <w:rFonts w:ascii="Arial" w:hAnsi="Arial" w:cs="Arial"/>
                <w:sz w:val="24"/>
                <w:szCs w:val="24"/>
              </w:rPr>
            </w:pPr>
            <w:r w:rsidRPr="00E91542">
              <w:rPr>
                <w:rFonts w:ascii="Arial" w:hAnsi="Arial" w:cs="Arial"/>
                <w:sz w:val="24"/>
                <w:szCs w:val="24"/>
              </w:rPr>
              <w:t>May 8, 2001</w:t>
            </w:r>
          </w:p>
        </w:tc>
      </w:tr>
      <w:tr w:rsidR="00F060E3" w:rsidRPr="00E91542" w14:paraId="005ED3DC" w14:textId="77777777" w:rsidTr="007C1E89">
        <w:tc>
          <w:tcPr>
            <w:tcW w:w="4675" w:type="dxa"/>
          </w:tcPr>
          <w:p w14:paraId="70147EED" w14:textId="77777777" w:rsidR="00F060E3" w:rsidRDefault="00434911" w:rsidP="006C4C9F">
            <w:pPr>
              <w:rPr>
                <w:rFonts w:ascii="Arial" w:hAnsi="Arial" w:cs="Arial"/>
                <w:sz w:val="24"/>
                <w:szCs w:val="24"/>
              </w:rPr>
            </w:pPr>
            <w:r w:rsidRPr="00E91542">
              <w:rPr>
                <w:rFonts w:ascii="Arial" w:hAnsi="Arial" w:cs="Arial"/>
                <w:sz w:val="24"/>
                <w:szCs w:val="24"/>
              </w:rPr>
              <w:t>Chronic lymphocytic leukemia (CLL)</w:t>
            </w:r>
          </w:p>
          <w:p w14:paraId="4901C12F" w14:textId="59C4DB0E" w:rsidR="00E91542" w:rsidRPr="00E91542" w:rsidRDefault="00E91542" w:rsidP="006C4C9F">
            <w:pPr>
              <w:rPr>
                <w:rFonts w:ascii="Arial" w:hAnsi="Arial" w:cs="Arial"/>
                <w:sz w:val="24"/>
                <w:szCs w:val="24"/>
              </w:rPr>
            </w:pPr>
          </w:p>
        </w:tc>
        <w:tc>
          <w:tcPr>
            <w:tcW w:w="4675" w:type="dxa"/>
          </w:tcPr>
          <w:p w14:paraId="635CF639" w14:textId="65CCBB5B" w:rsidR="00F060E3" w:rsidRPr="00E91542" w:rsidRDefault="00D174AE" w:rsidP="00E91542">
            <w:pPr>
              <w:jc w:val="right"/>
              <w:rPr>
                <w:rFonts w:ascii="Arial" w:hAnsi="Arial" w:cs="Arial"/>
                <w:sz w:val="24"/>
                <w:szCs w:val="24"/>
              </w:rPr>
            </w:pPr>
            <w:r w:rsidRPr="00E91542">
              <w:rPr>
                <w:rFonts w:ascii="Arial" w:hAnsi="Arial" w:cs="Arial"/>
                <w:sz w:val="24"/>
                <w:szCs w:val="24"/>
              </w:rPr>
              <w:t>October 16, 2003</w:t>
            </w:r>
          </w:p>
        </w:tc>
      </w:tr>
      <w:tr w:rsidR="00434911" w:rsidRPr="00E91542" w14:paraId="3491C540" w14:textId="77777777" w:rsidTr="007C1E89">
        <w:tc>
          <w:tcPr>
            <w:tcW w:w="4675" w:type="dxa"/>
          </w:tcPr>
          <w:p w14:paraId="4FACFD7B" w14:textId="77777777" w:rsidR="00434911" w:rsidRDefault="00434911" w:rsidP="006C4C9F">
            <w:pPr>
              <w:rPr>
                <w:rFonts w:ascii="Arial" w:hAnsi="Arial" w:cs="Arial"/>
                <w:sz w:val="24"/>
                <w:szCs w:val="24"/>
              </w:rPr>
            </w:pPr>
            <w:r w:rsidRPr="00E91542">
              <w:rPr>
                <w:rFonts w:ascii="Arial" w:hAnsi="Arial" w:cs="Arial"/>
                <w:sz w:val="24"/>
                <w:szCs w:val="24"/>
              </w:rPr>
              <w:t>AL amyloidosis</w:t>
            </w:r>
          </w:p>
          <w:p w14:paraId="20E3E936" w14:textId="77777777" w:rsidR="00E91542" w:rsidRDefault="00E91542" w:rsidP="006C4C9F">
            <w:pPr>
              <w:rPr>
                <w:rFonts w:ascii="Arial" w:hAnsi="Arial" w:cs="Arial"/>
                <w:sz w:val="24"/>
                <w:szCs w:val="24"/>
              </w:rPr>
            </w:pPr>
          </w:p>
          <w:p w14:paraId="0FFDEA7C" w14:textId="3A8524DC" w:rsidR="00E91542" w:rsidRPr="00E91542" w:rsidRDefault="00E91542" w:rsidP="006C4C9F">
            <w:pPr>
              <w:rPr>
                <w:rFonts w:ascii="Arial" w:hAnsi="Arial" w:cs="Arial"/>
                <w:sz w:val="24"/>
                <w:szCs w:val="24"/>
              </w:rPr>
            </w:pPr>
          </w:p>
        </w:tc>
        <w:tc>
          <w:tcPr>
            <w:tcW w:w="4675" w:type="dxa"/>
          </w:tcPr>
          <w:p w14:paraId="1B194C53" w14:textId="6B02ED6D" w:rsidR="00434911" w:rsidRPr="00E91542" w:rsidRDefault="00D174AE" w:rsidP="00E91542">
            <w:pPr>
              <w:jc w:val="right"/>
              <w:rPr>
                <w:rFonts w:ascii="Arial" w:hAnsi="Arial" w:cs="Arial"/>
                <w:sz w:val="24"/>
                <w:szCs w:val="24"/>
              </w:rPr>
            </w:pPr>
            <w:r w:rsidRPr="00E91542">
              <w:rPr>
                <w:rFonts w:ascii="Arial" w:hAnsi="Arial" w:cs="Arial"/>
                <w:sz w:val="24"/>
                <w:szCs w:val="24"/>
              </w:rPr>
              <w:t>May 7, 2009</w:t>
            </w:r>
          </w:p>
        </w:tc>
      </w:tr>
      <w:tr w:rsidR="00D174AE" w:rsidRPr="00E91542" w14:paraId="5CD075FF" w14:textId="77777777" w:rsidTr="007C1E89">
        <w:tc>
          <w:tcPr>
            <w:tcW w:w="4675" w:type="dxa"/>
          </w:tcPr>
          <w:p w14:paraId="7588F0F2" w14:textId="77777777" w:rsidR="00D174AE" w:rsidRDefault="00460CC0" w:rsidP="006C4C9F">
            <w:pPr>
              <w:rPr>
                <w:rFonts w:ascii="Arial" w:hAnsi="Arial" w:cs="Arial"/>
                <w:sz w:val="24"/>
                <w:szCs w:val="24"/>
              </w:rPr>
            </w:pPr>
            <w:r w:rsidRPr="00E91542">
              <w:rPr>
                <w:rFonts w:ascii="Arial" w:hAnsi="Arial" w:cs="Arial"/>
                <w:sz w:val="24"/>
                <w:szCs w:val="24"/>
              </w:rPr>
              <w:t>Ischemic heart disease (IHD), chronic B-cell leukemia, and Parkinson’s disease</w:t>
            </w:r>
          </w:p>
          <w:p w14:paraId="14E57ABB" w14:textId="62767590" w:rsidR="00E91542" w:rsidRPr="00E91542" w:rsidRDefault="00E91542" w:rsidP="006C4C9F">
            <w:pPr>
              <w:rPr>
                <w:rFonts w:ascii="Arial" w:hAnsi="Arial" w:cs="Arial"/>
                <w:sz w:val="24"/>
                <w:szCs w:val="24"/>
              </w:rPr>
            </w:pPr>
          </w:p>
        </w:tc>
        <w:tc>
          <w:tcPr>
            <w:tcW w:w="4675" w:type="dxa"/>
          </w:tcPr>
          <w:p w14:paraId="42A20617" w14:textId="1E73125C" w:rsidR="00D174AE" w:rsidRPr="00E91542" w:rsidRDefault="00460CC0" w:rsidP="00E91542">
            <w:pPr>
              <w:jc w:val="right"/>
              <w:rPr>
                <w:rFonts w:ascii="Arial" w:hAnsi="Arial" w:cs="Arial"/>
                <w:sz w:val="24"/>
                <w:szCs w:val="24"/>
              </w:rPr>
            </w:pPr>
            <w:r w:rsidRPr="00E91542">
              <w:rPr>
                <w:rFonts w:ascii="Arial" w:hAnsi="Arial" w:cs="Arial"/>
                <w:sz w:val="24"/>
                <w:szCs w:val="24"/>
              </w:rPr>
              <w:t>August 31, 2010</w:t>
            </w:r>
          </w:p>
        </w:tc>
      </w:tr>
      <w:tr w:rsidR="001722FD" w:rsidRPr="00E91542" w14:paraId="6BAD6C61" w14:textId="77777777" w:rsidTr="007C1E89">
        <w:tc>
          <w:tcPr>
            <w:tcW w:w="4675" w:type="dxa"/>
          </w:tcPr>
          <w:p w14:paraId="3E9B0B05" w14:textId="77777777" w:rsidR="001722FD" w:rsidRDefault="001722FD" w:rsidP="006C4C9F">
            <w:pPr>
              <w:rPr>
                <w:rFonts w:ascii="Arial" w:hAnsi="Arial" w:cs="Arial"/>
                <w:sz w:val="24"/>
                <w:szCs w:val="24"/>
              </w:rPr>
            </w:pPr>
            <w:r w:rsidRPr="00E91542">
              <w:rPr>
                <w:rFonts w:ascii="Arial" w:hAnsi="Arial" w:cs="Arial"/>
                <w:sz w:val="24"/>
                <w:szCs w:val="24"/>
              </w:rPr>
              <w:lastRenderedPageBreak/>
              <w:t>Early-onset peripheral neuropathy</w:t>
            </w:r>
          </w:p>
          <w:p w14:paraId="084FE90B" w14:textId="219079BD" w:rsidR="00E91542" w:rsidRPr="00E91542" w:rsidRDefault="00E91542" w:rsidP="006C4C9F">
            <w:pPr>
              <w:rPr>
                <w:rFonts w:ascii="Arial" w:hAnsi="Arial" w:cs="Arial"/>
                <w:sz w:val="24"/>
                <w:szCs w:val="24"/>
              </w:rPr>
            </w:pPr>
          </w:p>
        </w:tc>
        <w:tc>
          <w:tcPr>
            <w:tcW w:w="4675" w:type="dxa"/>
          </w:tcPr>
          <w:p w14:paraId="7CABF39B" w14:textId="2F04ADB7" w:rsidR="001722FD" w:rsidRPr="00E91542" w:rsidRDefault="001722FD" w:rsidP="00E91542">
            <w:pPr>
              <w:jc w:val="right"/>
              <w:rPr>
                <w:rFonts w:ascii="Arial" w:hAnsi="Arial" w:cs="Arial"/>
                <w:sz w:val="24"/>
                <w:szCs w:val="24"/>
              </w:rPr>
            </w:pPr>
            <w:r w:rsidRPr="00E91542">
              <w:rPr>
                <w:rFonts w:ascii="Arial" w:hAnsi="Arial" w:cs="Arial"/>
                <w:sz w:val="24"/>
                <w:szCs w:val="24"/>
              </w:rPr>
              <w:t>September 6, 2013</w:t>
            </w:r>
          </w:p>
        </w:tc>
      </w:tr>
      <w:tr w:rsidR="001722FD" w:rsidRPr="00E91542" w14:paraId="4B47BE4D" w14:textId="77777777" w:rsidTr="007C1E89">
        <w:tc>
          <w:tcPr>
            <w:tcW w:w="4675" w:type="dxa"/>
          </w:tcPr>
          <w:p w14:paraId="4959432D" w14:textId="77777777" w:rsidR="001722FD" w:rsidRDefault="00051C27" w:rsidP="006C4C9F">
            <w:pPr>
              <w:rPr>
                <w:rFonts w:ascii="Arial" w:hAnsi="Arial" w:cs="Arial"/>
                <w:sz w:val="24"/>
                <w:szCs w:val="24"/>
              </w:rPr>
            </w:pPr>
            <w:r w:rsidRPr="00E91542">
              <w:rPr>
                <w:rFonts w:ascii="Arial" w:hAnsi="Arial" w:cs="Arial"/>
                <w:sz w:val="24"/>
                <w:szCs w:val="24"/>
              </w:rPr>
              <w:t>Parkinsonism, bladder cancer, and hypothyroidism</w:t>
            </w:r>
          </w:p>
          <w:p w14:paraId="3DEA4B82" w14:textId="5D02A3F8" w:rsidR="00E91542" w:rsidRPr="00E91542" w:rsidRDefault="00E91542" w:rsidP="006C4C9F">
            <w:pPr>
              <w:rPr>
                <w:rFonts w:ascii="Arial" w:hAnsi="Arial" w:cs="Arial"/>
                <w:sz w:val="24"/>
                <w:szCs w:val="24"/>
              </w:rPr>
            </w:pPr>
          </w:p>
        </w:tc>
        <w:tc>
          <w:tcPr>
            <w:tcW w:w="4675" w:type="dxa"/>
          </w:tcPr>
          <w:p w14:paraId="605F8394" w14:textId="0D3E501D" w:rsidR="001722FD" w:rsidRPr="00E91542" w:rsidRDefault="00051C27" w:rsidP="00E91542">
            <w:pPr>
              <w:jc w:val="right"/>
              <w:rPr>
                <w:rFonts w:ascii="Arial" w:hAnsi="Arial" w:cs="Arial"/>
                <w:sz w:val="24"/>
                <w:szCs w:val="24"/>
              </w:rPr>
            </w:pPr>
            <w:r w:rsidRPr="00E91542">
              <w:rPr>
                <w:rFonts w:ascii="Arial" w:hAnsi="Arial" w:cs="Arial"/>
                <w:sz w:val="24"/>
                <w:szCs w:val="24"/>
              </w:rPr>
              <w:t>January 1, 2021</w:t>
            </w:r>
          </w:p>
        </w:tc>
      </w:tr>
      <w:tr w:rsidR="00051C27" w:rsidRPr="00E91542" w14:paraId="3B79CBDE" w14:textId="77777777" w:rsidTr="007C1E89">
        <w:tc>
          <w:tcPr>
            <w:tcW w:w="4675" w:type="dxa"/>
          </w:tcPr>
          <w:p w14:paraId="5D78F4E5" w14:textId="59F62988" w:rsidR="00051C27" w:rsidRPr="00E91542" w:rsidRDefault="00E91542" w:rsidP="006C4C9F">
            <w:pPr>
              <w:rPr>
                <w:rFonts w:ascii="Arial" w:hAnsi="Arial" w:cs="Arial"/>
                <w:sz w:val="24"/>
                <w:szCs w:val="24"/>
              </w:rPr>
            </w:pPr>
            <w:r w:rsidRPr="00E91542">
              <w:rPr>
                <w:rFonts w:ascii="Arial" w:hAnsi="Arial" w:cs="Arial"/>
                <w:sz w:val="24"/>
                <w:szCs w:val="24"/>
              </w:rPr>
              <w:t>Monoclonal gammopathy of undetermined significance (MGUS), Hypertension</w:t>
            </w:r>
          </w:p>
        </w:tc>
        <w:tc>
          <w:tcPr>
            <w:tcW w:w="4675" w:type="dxa"/>
          </w:tcPr>
          <w:p w14:paraId="0457E85C" w14:textId="1C0D62BA" w:rsidR="00051C27" w:rsidRPr="00E91542" w:rsidRDefault="00E91542" w:rsidP="00E91542">
            <w:pPr>
              <w:jc w:val="right"/>
              <w:rPr>
                <w:rFonts w:ascii="Arial" w:hAnsi="Arial" w:cs="Arial"/>
                <w:sz w:val="24"/>
                <w:szCs w:val="24"/>
              </w:rPr>
            </w:pPr>
            <w:r w:rsidRPr="00E91542">
              <w:rPr>
                <w:rFonts w:ascii="Arial" w:hAnsi="Arial" w:cs="Arial"/>
                <w:sz w:val="24"/>
                <w:szCs w:val="24"/>
              </w:rPr>
              <w:t>August 10, 2022</w:t>
            </w:r>
          </w:p>
        </w:tc>
      </w:tr>
    </w:tbl>
    <w:p w14:paraId="1EB4B519" w14:textId="4B02194A" w:rsidR="007B4CDE" w:rsidRDefault="007B4CDE">
      <w:pPr>
        <w:rPr>
          <w:rFonts w:ascii="Arial" w:hAnsi="Arial" w:cs="Arial"/>
          <w:b/>
          <w:sz w:val="24"/>
          <w:szCs w:val="24"/>
        </w:rPr>
      </w:pPr>
    </w:p>
    <w:p w14:paraId="54CD98B2" w14:textId="575CD06C" w:rsidR="00383E20" w:rsidRPr="0049707E" w:rsidRDefault="00383E20" w:rsidP="00383E20">
      <w:pPr>
        <w:pStyle w:val="VBAILTHeading2"/>
        <w:rPr>
          <w:rFonts w:ascii="Arial" w:hAnsi="Arial" w:cs="Arial"/>
        </w:rPr>
      </w:pPr>
      <w:bookmarkStart w:id="7" w:name="_Toc169247173"/>
      <w:r w:rsidRPr="0049707E">
        <w:rPr>
          <w:rFonts w:ascii="Arial" w:hAnsi="Arial" w:cs="Arial"/>
        </w:rPr>
        <w:t>Requirement to Identify Service-Connected Death PACT Act-Related Claims</w:t>
      </w:r>
      <w:bookmarkEnd w:id="7"/>
    </w:p>
    <w:p w14:paraId="0407D11A" w14:textId="77777777" w:rsidR="00383E20" w:rsidRPr="0049707E" w:rsidRDefault="00383E20" w:rsidP="003F0654">
      <w:pPr>
        <w:pStyle w:val="VBAILTbullet1"/>
        <w:numPr>
          <w:ilvl w:val="0"/>
          <w:numId w:val="0"/>
        </w:numPr>
        <w:rPr>
          <w:rFonts w:ascii="Arial" w:hAnsi="Arial" w:cs="Arial"/>
          <w:sz w:val="24"/>
          <w:szCs w:val="24"/>
        </w:rPr>
      </w:pPr>
      <w:r w:rsidRPr="0049707E">
        <w:rPr>
          <w:rFonts w:ascii="Arial" w:hAnsi="Arial" w:cs="Arial"/>
          <w:sz w:val="24"/>
          <w:szCs w:val="24"/>
        </w:rPr>
        <w:t xml:space="preserve">The guidance below also applies to claims for service-connected death benefits for survivors if: </w:t>
      </w:r>
    </w:p>
    <w:p w14:paraId="4656F379" w14:textId="3B9CB874" w:rsidR="00383E20" w:rsidRPr="0049707E" w:rsidRDefault="00383E20" w:rsidP="00E44600">
      <w:pPr>
        <w:pStyle w:val="VBAILTbullet1"/>
        <w:numPr>
          <w:ilvl w:val="0"/>
          <w:numId w:val="3"/>
        </w:numPr>
        <w:rPr>
          <w:rFonts w:ascii="Arial" w:hAnsi="Arial" w:cs="Arial"/>
          <w:sz w:val="24"/>
          <w:szCs w:val="24"/>
        </w:rPr>
      </w:pPr>
      <w:r w:rsidRPr="0049707E">
        <w:rPr>
          <w:rFonts w:ascii="Arial" w:hAnsi="Arial" w:cs="Arial"/>
          <w:sz w:val="24"/>
          <w:szCs w:val="24"/>
        </w:rPr>
        <w:t xml:space="preserve">the Veteran’s service falls into one of the newly recognized presumptive locations and there is evidence to indicate the Veteran’s death was caused by or is secondary to one of the existing or newly recognized presumptive conditions associated with the toxic exposure in that location </w:t>
      </w:r>
    </w:p>
    <w:p w14:paraId="48C48D7C" w14:textId="3905B630" w:rsidR="00383E20" w:rsidRPr="0049707E" w:rsidRDefault="00383E20" w:rsidP="00E44600">
      <w:pPr>
        <w:pStyle w:val="VBAILTbullet1"/>
        <w:numPr>
          <w:ilvl w:val="0"/>
          <w:numId w:val="3"/>
        </w:numPr>
        <w:rPr>
          <w:rFonts w:ascii="Arial" w:hAnsi="Arial" w:cs="Arial"/>
          <w:sz w:val="24"/>
          <w:szCs w:val="24"/>
        </w:rPr>
      </w:pPr>
      <w:r w:rsidRPr="0049707E">
        <w:rPr>
          <w:rFonts w:ascii="Arial" w:hAnsi="Arial" w:cs="Arial"/>
          <w:sz w:val="24"/>
          <w:szCs w:val="24"/>
        </w:rPr>
        <w:t xml:space="preserve">there is evidence indicating that the principal or contributory cause of the Veteran’s death is, or is secondary to one of the newly recognized presumptive conditions and the Veteran’s service meets the current or newly recognized presumptive locations associated with the presumptive condition(s) </w:t>
      </w:r>
    </w:p>
    <w:p w14:paraId="13F46323" w14:textId="30F564D0" w:rsidR="00383E20" w:rsidRPr="0049707E" w:rsidRDefault="00383E20" w:rsidP="00E44600">
      <w:pPr>
        <w:pStyle w:val="VBAILTbullet1"/>
        <w:numPr>
          <w:ilvl w:val="0"/>
          <w:numId w:val="3"/>
        </w:numPr>
        <w:rPr>
          <w:rFonts w:ascii="Arial" w:hAnsi="Arial" w:cs="Arial"/>
          <w:sz w:val="24"/>
          <w:szCs w:val="24"/>
        </w:rPr>
      </w:pPr>
      <w:r w:rsidRPr="0049707E">
        <w:rPr>
          <w:rFonts w:ascii="Arial" w:hAnsi="Arial" w:cs="Arial"/>
          <w:sz w:val="24"/>
          <w:szCs w:val="24"/>
        </w:rPr>
        <w:t xml:space="preserve">there is a specific allegation of eligibility by the claimant under the PACT Act, or </w:t>
      </w:r>
    </w:p>
    <w:p w14:paraId="0FDF8A14" w14:textId="26972834" w:rsidR="00383E20" w:rsidRPr="0049707E" w:rsidRDefault="00383E20" w:rsidP="00E44600">
      <w:pPr>
        <w:pStyle w:val="VBAILTbullet1"/>
        <w:numPr>
          <w:ilvl w:val="0"/>
          <w:numId w:val="3"/>
        </w:numPr>
        <w:rPr>
          <w:rFonts w:ascii="Arial" w:hAnsi="Arial" w:cs="Arial"/>
          <w:sz w:val="24"/>
          <w:szCs w:val="24"/>
        </w:rPr>
      </w:pPr>
      <w:r w:rsidRPr="0049707E">
        <w:rPr>
          <w:rFonts w:ascii="Arial" w:hAnsi="Arial" w:cs="Arial"/>
          <w:sz w:val="24"/>
          <w:szCs w:val="24"/>
        </w:rPr>
        <w:t>the claim otherwise raises a question as to whether the PACT Act may affect eligibility</w:t>
      </w:r>
    </w:p>
    <w:p w14:paraId="0C989660" w14:textId="201796AD" w:rsidR="00383E20" w:rsidRPr="0049707E" w:rsidRDefault="00383E20" w:rsidP="003F0654">
      <w:pPr>
        <w:pStyle w:val="VBAILTbullet1"/>
        <w:numPr>
          <w:ilvl w:val="0"/>
          <w:numId w:val="0"/>
        </w:numPr>
        <w:rPr>
          <w:rFonts w:ascii="Arial" w:hAnsi="Arial" w:cs="Arial"/>
          <w:sz w:val="24"/>
          <w:szCs w:val="24"/>
        </w:rPr>
      </w:pPr>
      <w:r w:rsidRPr="0049707E">
        <w:rPr>
          <w:rFonts w:ascii="Arial" w:hAnsi="Arial" w:cs="Arial"/>
          <w:b/>
          <w:bCs/>
          <w:sz w:val="24"/>
          <w:szCs w:val="24"/>
        </w:rPr>
        <w:t>Note:</w:t>
      </w:r>
      <w:r w:rsidRPr="0049707E">
        <w:rPr>
          <w:rFonts w:ascii="Arial" w:hAnsi="Arial" w:cs="Arial"/>
          <w:sz w:val="24"/>
          <w:szCs w:val="24"/>
        </w:rPr>
        <w:t xml:space="preserve"> While the PACT Act only specifically addressed DIC benefits, the provisions of the law expanding presumption of service connection will result in additional claimants qualifying for other types of survivor benefits.</w:t>
      </w:r>
    </w:p>
    <w:p w14:paraId="3E5CF733" w14:textId="2F3512E6" w:rsidR="00383E20" w:rsidRPr="0049707E" w:rsidRDefault="005C28BD" w:rsidP="00383E20">
      <w:pPr>
        <w:pStyle w:val="VBAILTHeading2"/>
        <w:rPr>
          <w:rFonts w:ascii="Arial" w:hAnsi="Arial" w:cs="Arial"/>
        </w:rPr>
      </w:pPr>
      <w:bookmarkStart w:id="8" w:name="_Toc169247174"/>
      <w:r w:rsidRPr="0049707E">
        <w:rPr>
          <w:rFonts w:ascii="Arial" w:hAnsi="Arial" w:cs="Arial"/>
        </w:rPr>
        <w:t xml:space="preserve">Development - </w:t>
      </w:r>
      <w:r w:rsidR="00AA236F" w:rsidRPr="0049707E">
        <w:rPr>
          <w:rFonts w:ascii="Arial" w:hAnsi="Arial" w:cs="Arial"/>
        </w:rPr>
        <w:t>Requesting Additional Evidence from the Claimant</w:t>
      </w:r>
      <w:bookmarkEnd w:id="8"/>
    </w:p>
    <w:p w14:paraId="43FC3A7F" w14:textId="2A736BA2" w:rsidR="00383E20" w:rsidRPr="0049707E" w:rsidRDefault="00AA236F" w:rsidP="003F0654">
      <w:pPr>
        <w:pStyle w:val="VBAILTbullet1"/>
        <w:numPr>
          <w:ilvl w:val="0"/>
          <w:numId w:val="0"/>
        </w:numPr>
        <w:rPr>
          <w:rFonts w:ascii="Arial" w:hAnsi="Arial" w:cs="Arial"/>
          <w:sz w:val="24"/>
          <w:szCs w:val="24"/>
        </w:rPr>
      </w:pPr>
      <w:r w:rsidRPr="0049707E">
        <w:rPr>
          <w:rFonts w:ascii="Arial" w:hAnsi="Arial" w:cs="Arial"/>
          <w:sz w:val="24"/>
          <w:szCs w:val="24"/>
        </w:rPr>
        <w:t>It is unnecessary to issue a 5103 notice when a Veteran or survivor files a claim related to exposure to herbicides on a form that provides or otherwise indicates he/she received the notice, such as VA Form 21P-534EZ, Application for DIC, Death Pension, and/or Accrued Benefits.</w:t>
      </w:r>
    </w:p>
    <w:p w14:paraId="22E366F6" w14:textId="77777777" w:rsidR="00AA236F" w:rsidRPr="0049707E" w:rsidRDefault="00AA236F" w:rsidP="003F0654">
      <w:pPr>
        <w:pStyle w:val="VBAILTbullet1"/>
        <w:numPr>
          <w:ilvl w:val="0"/>
          <w:numId w:val="0"/>
        </w:numPr>
        <w:rPr>
          <w:rFonts w:ascii="Arial" w:hAnsi="Arial" w:cs="Arial"/>
          <w:sz w:val="24"/>
          <w:szCs w:val="24"/>
        </w:rPr>
      </w:pPr>
      <w:r w:rsidRPr="0049707E">
        <w:rPr>
          <w:rFonts w:ascii="Arial" w:hAnsi="Arial" w:cs="Arial"/>
          <w:sz w:val="24"/>
          <w:szCs w:val="24"/>
        </w:rPr>
        <w:t xml:space="preserve">Send a subsequent VBMS development letter using the AO–Exposure General Notice paragraph in the following situations: </w:t>
      </w:r>
    </w:p>
    <w:p w14:paraId="3A55FFE6" w14:textId="093796E3" w:rsidR="00AA236F" w:rsidRPr="0049707E" w:rsidRDefault="00AA236F" w:rsidP="00E44600">
      <w:pPr>
        <w:pStyle w:val="VBAILTbullet1"/>
        <w:numPr>
          <w:ilvl w:val="0"/>
          <w:numId w:val="4"/>
        </w:numPr>
        <w:rPr>
          <w:rFonts w:ascii="Arial" w:hAnsi="Arial" w:cs="Arial"/>
          <w:sz w:val="24"/>
          <w:szCs w:val="24"/>
        </w:rPr>
      </w:pPr>
      <w:r w:rsidRPr="0049707E">
        <w:rPr>
          <w:rFonts w:ascii="Arial" w:hAnsi="Arial" w:cs="Arial"/>
          <w:sz w:val="24"/>
          <w:szCs w:val="24"/>
        </w:rPr>
        <w:t xml:space="preserve">claimant fails to provide specifics of how or where exposure occurred, or </w:t>
      </w:r>
    </w:p>
    <w:p w14:paraId="0D6FF621" w14:textId="28F4F042" w:rsidR="00AA236F" w:rsidRPr="0049707E" w:rsidRDefault="00AA236F" w:rsidP="00E44600">
      <w:pPr>
        <w:pStyle w:val="VBAILTbullet1"/>
        <w:numPr>
          <w:ilvl w:val="0"/>
          <w:numId w:val="4"/>
        </w:numPr>
        <w:rPr>
          <w:rFonts w:ascii="Arial" w:hAnsi="Arial" w:cs="Arial"/>
          <w:sz w:val="24"/>
          <w:szCs w:val="24"/>
        </w:rPr>
      </w:pPr>
      <w:r w:rsidRPr="0049707E">
        <w:rPr>
          <w:rFonts w:ascii="Arial" w:hAnsi="Arial" w:cs="Arial"/>
          <w:sz w:val="24"/>
          <w:szCs w:val="24"/>
        </w:rPr>
        <w:lastRenderedPageBreak/>
        <w:t>claimant states they served in a qualifying location, but fails to provide specific dates, and service records do not show service in a qualifying presumptive location</w:t>
      </w:r>
    </w:p>
    <w:p w14:paraId="2F680974" w14:textId="451CA1AC" w:rsidR="007B4FA5" w:rsidRPr="0049707E" w:rsidRDefault="00AA236F" w:rsidP="006C3FC7">
      <w:pPr>
        <w:pStyle w:val="VBAILTbullet1"/>
        <w:numPr>
          <w:ilvl w:val="0"/>
          <w:numId w:val="0"/>
        </w:numPr>
        <w:rPr>
          <w:rFonts w:ascii="Arial" w:hAnsi="Arial" w:cs="Arial"/>
          <w:sz w:val="24"/>
          <w:szCs w:val="24"/>
        </w:rPr>
      </w:pPr>
      <w:r w:rsidRPr="0049707E">
        <w:rPr>
          <w:rFonts w:ascii="Arial" w:hAnsi="Arial" w:cs="Arial"/>
          <w:b/>
          <w:bCs/>
          <w:sz w:val="24"/>
          <w:szCs w:val="24"/>
        </w:rPr>
        <w:t>Exception</w:t>
      </w:r>
      <w:r w:rsidRPr="0049707E">
        <w:rPr>
          <w:rFonts w:ascii="Arial" w:hAnsi="Arial" w:cs="Arial"/>
          <w:sz w:val="24"/>
          <w:szCs w:val="24"/>
        </w:rPr>
        <w:t>: If the claimant has already provided specific dates of TDY or other service in a presumptive herbicide location, do not send a subsequent development letter.</w:t>
      </w:r>
    </w:p>
    <w:p w14:paraId="3CAC2959" w14:textId="33D97163" w:rsidR="00AA236F" w:rsidRPr="0049707E" w:rsidRDefault="00AA236F" w:rsidP="00AA236F">
      <w:pPr>
        <w:pStyle w:val="VBAILTHeading2"/>
        <w:rPr>
          <w:rFonts w:ascii="Arial" w:hAnsi="Arial" w:cs="Arial"/>
        </w:rPr>
      </w:pPr>
      <w:bookmarkStart w:id="9" w:name="_Toc169247175"/>
      <w:r w:rsidRPr="0049707E">
        <w:rPr>
          <w:rFonts w:ascii="Arial" w:hAnsi="Arial" w:cs="Arial"/>
        </w:rPr>
        <w:t>Claims Establishment</w:t>
      </w:r>
      <w:bookmarkEnd w:id="9"/>
    </w:p>
    <w:p w14:paraId="6D015DA8" w14:textId="3A172F93" w:rsidR="00AA236F" w:rsidRPr="0049707E" w:rsidRDefault="00AA236F" w:rsidP="00AA236F">
      <w:pPr>
        <w:pStyle w:val="VBAILTbullet1"/>
        <w:numPr>
          <w:ilvl w:val="0"/>
          <w:numId w:val="0"/>
        </w:numPr>
        <w:rPr>
          <w:rFonts w:ascii="Arial" w:hAnsi="Arial" w:cs="Arial"/>
          <w:sz w:val="24"/>
          <w:szCs w:val="24"/>
        </w:rPr>
      </w:pPr>
      <w:r w:rsidRPr="0049707E">
        <w:rPr>
          <w:rFonts w:ascii="Arial" w:hAnsi="Arial" w:cs="Arial"/>
          <w:sz w:val="24"/>
          <w:szCs w:val="24"/>
        </w:rPr>
        <w:t xml:space="preserve">Unless otherwise specified below, claim establishment for PACT Act-related survivor claims should align with EP controls per </w:t>
      </w:r>
      <w:hyperlink r:id="rId18" w:history="1">
        <w:r w:rsidRPr="0049707E">
          <w:rPr>
            <w:rStyle w:val="Hyperlink"/>
            <w:rFonts w:ascii="Arial" w:hAnsi="Arial" w:cs="Arial"/>
            <w:b/>
            <w:bCs/>
            <w:color w:val="4472C4" w:themeColor="accent1"/>
            <w:sz w:val="24"/>
            <w:szCs w:val="24"/>
            <w:u w:val="single"/>
          </w:rPr>
          <w:t>M21-4, Appendix B and C</w:t>
        </w:r>
      </w:hyperlink>
      <w:r w:rsidRPr="0049707E">
        <w:rPr>
          <w:rFonts w:ascii="Arial" w:hAnsi="Arial" w:cs="Arial"/>
          <w:sz w:val="24"/>
          <w:szCs w:val="24"/>
        </w:rPr>
        <w:t>.</w:t>
      </w:r>
    </w:p>
    <w:p w14:paraId="0BDA3DC0" w14:textId="747C93FB" w:rsidR="005F1A3E" w:rsidRPr="0049707E" w:rsidRDefault="005F1A3E" w:rsidP="00AA236F">
      <w:pPr>
        <w:pStyle w:val="VBAILTbullet1"/>
        <w:numPr>
          <w:ilvl w:val="0"/>
          <w:numId w:val="0"/>
        </w:numPr>
        <w:rPr>
          <w:rFonts w:ascii="Arial" w:hAnsi="Arial" w:cs="Arial"/>
          <w:sz w:val="24"/>
          <w:szCs w:val="24"/>
        </w:rPr>
      </w:pPr>
      <w:r w:rsidRPr="0049707E">
        <w:rPr>
          <w:rFonts w:ascii="Arial" w:hAnsi="Arial" w:cs="Arial"/>
          <w:sz w:val="24"/>
          <w:szCs w:val="24"/>
        </w:rPr>
        <w:t xml:space="preserve">Apply all applicable special issues or flashes in addition to any PACT Act special issues or flashes under normal guidance, as applicable, found in </w:t>
      </w:r>
      <w:hyperlink r:id="rId19" w:history="1">
        <w:r w:rsidRPr="0049707E">
          <w:rPr>
            <w:rStyle w:val="Hyperlink"/>
            <w:rFonts w:ascii="Arial" w:hAnsi="Arial" w:cs="Arial"/>
            <w:b/>
            <w:bCs/>
            <w:color w:val="4472C4" w:themeColor="accent1"/>
            <w:sz w:val="24"/>
            <w:szCs w:val="24"/>
            <w:u w:val="single"/>
          </w:rPr>
          <w:t>M21-4, Appendix E</w:t>
        </w:r>
      </w:hyperlink>
      <w:r w:rsidRPr="0049707E">
        <w:rPr>
          <w:rFonts w:ascii="Arial" w:hAnsi="Arial" w:cs="Arial"/>
          <w:sz w:val="24"/>
          <w:szCs w:val="24"/>
        </w:rPr>
        <w:t>.</w:t>
      </w:r>
    </w:p>
    <w:p w14:paraId="6A45ED75" w14:textId="2DD3940D" w:rsidR="0053041B" w:rsidRPr="0049707E" w:rsidRDefault="0053041B" w:rsidP="00AA236F">
      <w:pPr>
        <w:pStyle w:val="VBAILTbullet1"/>
        <w:numPr>
          <w:ilvl w:val="0"/>
          <w:numId w:val="0"/>
        </w:numPr>
        <w:rPr>
          <w:rFonts w:ascii="Arial" w:hAnsi="Arial" w:cs="Arial"/>
          <w:sz w:val="24"/>
          <w:szCs w:val="24"/>
        </w:rPr>
      </w:pPr>
      <w:r w:rsidRPr="0049707E">
        <w:rPr>
          <w:rFonts w:ascii="Arial" w:hAnsi="Arial" w:cs="Arial"/>
          <w:sz w:val="24"/>
          <w:szCs w:val="24"/>
        </w:rPr>
        <w:t xml:space="preserve">VBA’s Mail Automation Service (MAS) will conduct a review of VA Form 21P-534EZ, during the claims intake process and at the time of claims establishment. </w:t>
      </w:r>
    </w:p>
    <w:p w14:paraId="1D435F4F" w14:textId="3DA6CF5A" w:rsidR="00AA236F" w:rsidRPr="0049707E" w:rsidRDefault="00AA236F" w:rsidP="00AA236F">
      <w:pPr>
        <w:pStyle w:val="VBAILTbullet1"/>
        <w:numPr>
          <w:ilvl w:val="0"/>
          <w:numId w:val="0"/>
        </w:numPr>
        <w:rPr>
          <w:rFonts w:ascii="Arial" w:hAnsi="Arial" w:cs="Arial"/>
          <w:sz w:val="24"/>
          <w:szCs w:val="24"/>
        </w:rPr>
      </w:pPr>
      <w:r w:rsidRPr="0049707E">
        <w:rPr>
          <w:rFonts w:ascii="Arial" w:hAnsi="Arial" w:cs="Arial"/>
          <w:sz w:val="24"/>
          <w:szCs w:val="24"/>
        </w:rPr>
        <w:t>There are no new claim labels available for manual establishment that are related to the PACT Act. Follow the below table when establishing a claim.</w:t>
      </w:r>
    </w:p>
    <w:tbl>
      <w:tblPr>
        <w:tblStyle w:val="TableGrid"/>
        <w:tblW w:w="9355" w:type="dxa"/>
        <w:tblLook w:val="04A0" w:firstRow="1" w:lastRow="0" w:firstColumn="1" w:lastColumn="0" w:noHBand="0" w:noVBand="1"/>
      </w:tblPr>
      <w:tblGrid>
        <w:gridCol w:w="636"/>
        <w:gridCol w:w="2599"/>
        <w:gridCol w:w="6120"/>
      </w:tblGrid>
      <w:tr w:rsidR="007B4FA5" w:rsidRPr="0049707E" w14:paraId="4BCC68E4" w14:textId="77777777" w:rsidTr="0053041B">
        <w:tc>
          <w:tcPr>
            <w:tcW w:w="636" w:type="dxa"/>
          </w:tcPr>
          <w:p w14:paraId="527EE1CA" w14:textId="68FDC40C" w:rsidR="007B4FA5" w:rsidRPr="0049707E" w:rsidRDefault="007B4FA5" w:rsidP="00AA236F">
            <w:pPr>
              <w:pStyle w:val="VBAILTbullet1"/>
              <w:numPr>
                <w:ilvl w:val="0"/>
                <w:numId w:val="0"/>
              </w:numPr>
              <w:rPr>
                <w:rFonts w:ascii="Arial" w:hAnsi="Arial" w:cs="Arial"/>
                <w:b/>
                <w:bCs/>
                <w:sz w:val="24"/>
                <w:szCs w:val="24"/>
              </w:rPr>
            </w:pPr>
            <w:r w:rsidRPr="0049707E">
              <w:rPr>
                <w:rFonts w:ascii="Arial" w:hAnsi="Arial" w:cs="Arial"/>
                <w:b/>
                <w:bCs/>
                <w:sz w:val="24"/>
                <w:szCs w:val="24"/>
              </w:rPr>
              <w:t>EP</w:t>
            </w:r>
          </w:p>
        </w:tc>
        <w:tc>
          <w:tcPr>
            <w:tcW w:w="2599" w:type="dxa"/>
          </w:tcPr>
          <w:p w14:paraId="68A8D94C" w14:textId="1661F5A7" w:rsidR="007B4FA5" w:rsidRPr="0049707E" w:rsidRDefault="007B4FA5" w:rsidP="00AA236F">
            <w:pPr>
              <w:pStyle w:val="VBAILTbullet1"/>
              <w:numPr>
                <w:ilvl w:val="0"/>
                <w:numId w:val="0"/>
              </w:numPr>
              <w:rPr>
                <w:rFonts w:ascii="Arial" w:hAnsi="Arial" w:cs="Arial"/>
                <w:b/>
                <w:bCs/>
                <w:sz w:val="24"/>
                <w:szCs w:val="24"/>
              </w:rPr>
            </w:pPr>
            <w:r w:rsidRPr="0049707E">
              <w:rPr>
                <w:rFonts w:ascii="Arial" w:hAnsi="Arial" w:cs="Arial"/>
                <w:b/>
                <w:bCs/>
                <w:sz w:val="24"/>
                <w:szCs w:val="24"/>
              </w:rPr>
              <w:t>Use this EP for a PACT Act-related claim for</w:t>
            </w:r>
          </w:p>
        </w:tc>
        <w:tc>
          <w:tcPr>
            <w:tcW w:w="6120" w:type="dxa"/>
          </w:tcPr>
          <w:p w14:paraId="3C3B9627" w14:textId="69B66F4D" w:rsidR="00230017" w:rsidRPr="0049707E" w:rsidRDefault="00230017" w:rsidP="0053041B">
            <w:pPr>
              <w:pStyle w:val="VBAILTbullet1"/>
              <w:numPr>
                <w:ilvl w:val="0"/>
                <w:numId w:val="0"/>
              </w:numPr>
              <w:rPr>
                <w:rFonts w:ascii="Arial" w:hAnsi="Arial" w:cs="Arial"/>
                <w:b/>
                <w:bCs/>
                <w:sz w:val="24"/>
                <w:szCs w:val="24"/>
              </w:rPr>
            </w:pPr>
            <w:r w:rsidRPr="0049707E">
              <w:rPr>
                <w:rFonts w:ascii="Arial" w:hAnsi="Arial" w:cs="Arial"/>
                <w:b/>
                <w:bCs/>
                <w:sz w:val="24"/>
                <w:szCs w:val="24"/>
              </w:rPr>
              <w:t>Special issues should be applied upon claims establishment or when otherwise identified.</w:t>
            </w:r>
          </w:p>
          <w:p w14:paraId="30A52D6D" w14:textId="0F5147C9" w:rsidR="007B4FA5" w:rsidRPr="0049707E" w:rsidRDefault="007B4FA5" w:rsidP="0053041B">
            <w:pPr>
              <w:pStyle w:val="VBAILTbullet1"/>
              <w:numPr>
                <w:ilvl w:val="0"/>
                <w:numId w:val="0"/>
              </w:numPr>
              <w:rPr>
                <w:rFonts w:ascii="Arial" w:hAnsi="Arial" w:cs="Arial"/>
                <w:b/>
                <w:bCs/>
                <w:sz w:val="24"/>
                <w:szCs w:val="24"/>
              </w:rPr>
            </w:pPr>
            <w:r w:rsidRPr="0049707E">
              <w:rPr>
                <w:rFonts w:ascii="Arial" w:hAnsi="Arial" w:cs="Arial"/>
                <w:b/>
                <w:bCs/>
                <w:sz w:val="24"/>
                <w:szCs w:val="24"/>
              </w:rPr>
              <w:t>The applied special issue should be</w:t>
            </w:r>
          </w:p>
        </w:tc>
      </w:tr>
      <w:tr w:rsidR="007B4FA5" w:rsidRPr="0049707E" w14:paraId="2CB293DD" w14:textId="77777777" w:rsidTr="0053041B">
        <w:trPr>
          <w:trHeight w:val="599"/>
        </w:trPr>
        <w:tc>
          <w:tcPr>
            <w:tcW w:w="636" w:type="dxa"/>
            <w:vMerge w:val="restart"/>
          </w:tcPr>
          <w:p w14:paraId="7BE0D8CD" w14:textId="2B374A35" w:rsidR="007B4FA5" w:rsidRPr="0049707E" w:rsidRDefault="007B4FA5" w:rsidP="00AA236F">
            <w:pPr>
              <w:pStyle w:val="VBAILTbullet1"/>
              <w:numPr>
                <w:ilvl w:val="0"/>
                <w:numId w:val="0"/>
              </w:numPr>
              <w:rPr>
                <w:rFonts w:ascii="Arial" w:hAnsi="Arial" w:cs="Arial"/>
                <w:sz w:val="24"/>
                <w:szCs w:val="24"/>
              </w:rPr>
            </w:pPr>
            <w:r w:rsidRPr="0049707E">
              <w:rPr>
                <w:rFonts w:ascii="Arial" w:hAnsi="Arial" w:cs="Arial"/>
                <w:sz w:val="24"/>
                <w:szCs w:val="24"/>
              </w:rPr>
              <w:t>140</w:t>
            </w:r>
          </w:p>
        </w:tc>
        <w:tc>
          <w:tcPr>
            <w:tcW w:w="2599" w:type="dxa"/>
            <w:vMerge w:val="restart"/>
          </w:tcPr>
          <w:p w14:paraId="7BEA38D7" w14:textId="0FF07218" w:rsidR="007B4FA5" w:rsidRPr="0049707E" w:rsidRDefault="007B4FA5" w:rsidP="00AA236F">
            <w:pPr>
              <w:pStyle w:val="VBAILTbullet1"/>
              <w:numPr>
                <w:ilvl w:val="0"/>
                <w:numId w:val="0"/>
              </w:numPr>
              <w:rPr>
                <w:rFonts w:ascii="Arial" w:hAnsi="Arial" w:cs="Arial"/>
                <w:sz w:val="24"/>
                <w:szCs w:val="24"/>
              </w:rPr>
            </w:pPr>
            <w:r w:rsidRPr="0049707E">
              <w:rPr>
                <w:rFonts w:ascii="Arial" w:hAnsi="Arial" w:cs="Arial"/>
                <w:sz w:val="24"/>
                <w:szCs w:val="24"/>
              </w:rPr>
              <w:t>original DIC where no prior claim for survivors’ benefits has been adjudicated</w:t>
            </w:r>
          </w:p>
        </w:tc>
        <w:tc>
          <w:tcPr>
            <w:tcW w:w="6120" w:type="dxa"/>
          </w:tcPr>
          <w:p w14:paraId="6113CC2E" w14:textId="77777777" w:rsidR="007B4FA5" w:rsidRPr="0049707E" w:rsidRDefault="007B4FA5" w:rsidP="00AA236F">
            <w:pPr>
              <w:pStyle w:val="VBAILTbullet1"/>
              <w:numPr>
                <w:ilvl w:val="0"/>
                <w:numId w:val="0"/>
              </w:numPr>
              <w:rPr>
                <w:rFonts w:ascii="Arial" w:hAnsi="Arial" w:cs="Arial"/>
                <w:sz w:val="24"/>
                <w:szCs w:val="24"/>
              </w:rPr>
            </w:pPr>
            <w:r w:rsidRPr="0049707E">
              <w:rPr>
                <w:rFonts w:ascii="Arial" w:hAnsi="Arial" w:cs="Arial"/>
                <w:sz w:val="24"/>
                <w:szCs w:val="24"/>
              </w:rPr>
              <w:t>the PACT special issue</w:t>
            </w:r>
          </w:p>
          <w:p w14:paraId="6393806C" w14:textId="32AF0EC6" w:rsidR="007B4FA5" w:rsidRPr="0049707E" w:rsidRDefault="007B4FA5" w:rsidP="007B4FA5">
            <w:pPr>
              <w:pStyle w:val="VBAILTbullet1"/>
              <w:numPr>
                <w:ilvl w:val="0"/>
                <w:numId w:val="0"/>
              </w:numPr>
              <w:rPr>
                <w:rFonts w:ascii="Arial" w:hAnsi="Arial" w:cs="Arial"/>
                <w:sz w:val="24"/>
                <w:szCs w:val="24"/>
              </w:rPr>
            </w:pPr>
          </w:p>
        </w:tc>
      </w:tr>
      <w:tr w:rsidR="007B4FA5" w:rsidRPr="0049707E" w14:paraId="3E7013B1" w14:textId="77777777" w:rsidTr="0053041B">
        <w:trPr>
          <w:trHeight w:val="598"/>
        </w:trPr>
        <w:tc>
          <w:tcPr>
            <w:tcW w:w="636" w:type="dxa"/>
            <w:vMerge/>
          </w:tcPr>
          <w:p w14:paraId="0F5F934A" w14:textId="77777777" w:rsidR="007B4FA5" w:rsidRPr="0049707E" w:rsidRDefault="007B4FA5" w:rsidP="00AA236F">
            <w:pPr>
              <w:pStyle w:val="VBAILTbullet1"/>
              <w:numPr>
                <w:ilvl w:val="0"/>
                <w:numId w:val="0"/>
              </w:numPr>
              <w:rPr>
                <w:rFonts w:ascii="Arial" w:hAnsi="Arial" w:cs="Arial"/>
                <w:sz w:val="24"/>
                <w:szCs w:val="24"/>
              </w:rPr>
            </w:pPr>
          </w:p>
        </w:tc>
        <w:tc>
          <w:tcPr>
            <w:tcW w:w="2599" w:type="dxa"/>
            <w:vMerge/>
          </w:tcPr>
          <w:p w14:paraId="60A23720" w14:textId="77777777" w:rsidR="007B4FA5" w:rsidRPr="0049707E" w:rsidRDefault="007B4FA5" w:rsidP="00AA236F">
            <w:pPr>
              <w:pStyle w:val="VBAILTbullet1"/>
              <w:numPr>
                <w:ilvl w:val="0"/>
                <w:numId w:val="0"/>
              </w:numPr>
              <w:rPr>
                <w:rFonts w:ascii="Arial" w:hAnsi="Arial" w:cs="Arial"/>
                <w:sz w:val="24"/>
                <w:szCs w:val="24"/>
              </w:rPr>
            </w:pPr>
          </w:p>
        </w:tc>
        <w:tc>
          <w:tcPr>
            <w:tcW w:w="6120" w:type="dxa"/>
          </w:tcPr>
          <w:p w14:paraId="7F55BEA9" w14:textId="77777777" w:rsidR="007B4FA5" w:rsidRPr="0049707E" w:rsidRDefault="007B4FA5" w:rsidP="00E44600">
            <w:pPr>
              <w:pStyle w:val="VBAILTbullet1"/>
              <w:numPr>
                <w:ilvl w:val="0"/>
                <w:numId w:val="5"/>
              </w:numPr>
              <w:rPr>
                <w:rFonts w:ascii="Arial" w:hAnsi="Arial" w:cs="Arial"/>
                <w:sz w:val="24"/>
                <w:szCs w:val="24"/>
              </w:rPr>
            </w:pPr>
            <w:r w:rsidRPr="0049707E">
              <w:rPr>
                <w:rFonts w:ascii="Arial" w:hAnsi="Arial" w:cs="Arial"/>
                <w:sz w:val="24"/>
                <w:szCs w:val="24"/>
              </w:rPr>
              <w:t>for claims that are identified as relating to the PACT Act, this special issue must be applied to the DIC contention in VBMS</w:t>
            </w:r>
          </w:p>
          <w:p w14:paraId="4A29BE23" w14:textId="482E49CA" w:rsidR="007B4FA5" w:rsidRPr="0049707E" w:rsidRDefault="007B4FA5" w:rsidP="00E44600">
            <w:pPr>
              <w:pStyle w:val="VBAILTbullet1"/>
              <w:numPr>
                <w:ilvl w:val="0"/>
                <w:numId w:val="5"/>
              </w:numPr>
              <w:rPr>
                <w:rFonts w:ascii="Arial" w:hAnsi="Arial" w:cs="Arial"/>
                <w:sz w:val="24"/>
                <w:szCs w:val="24"/>
              </w:rPr>
            </w:pPr>
            <w:r w:rsidRPr="0049707E">
              <w:rPr>
                <w:rFonts w:ascii="Arial" w:hAnsi="Arial" w:cs="Arial"/>
                <w:sz w:val="24"/>
                <w:szCs w:val="24"/>
              </w:rPr>
              <w:t>this special issue should be applied upon claims establishment or when otherwise identified</w:t>
            </w:r>
          </w:p>
        </w:tc>
      </w:tr>
      <w:tr w:rsidR="007B4FA5" w:rsidRPr="0049707E" w14:paraId="085B3E71" w14:textId="77777777" w:rsidTr="0053041B">
        <w:trPr>
          <w:trHeight w:val="913"/>
        </w:trPr>
        <w:tc>
          <w:tcPr>
            <w:tcW w:w="636" w:type="dxa"/>
            <w:vMerge w:val="restart"/>
          </w:tcPr>
          <w:p w14:paraId="5D3ABD99" w14:textId="6D344092" w:rsidR="007B4FA5" w:rsidRPr="0049707E" w:rsidRDefault="007B4FA5" w:rsidP="00AA236F">
            <w:pPr>
              <w:pStyle w:val="VBAILTbullet1"/>
              <w:numPr>
                <w:ilvl w:val="0"/>
                <w:numId w:val="0"/>
              </w:numPr>
              <w:rPr>
                <w:rFonts w:ascii="Arial" w:hAnsi="Arial" w:cs="Arial"/>
                <w:sz w:val="24"/>
                <w:szCs w:val="24"/>
              </w:rPr>
            </w:pPr>
            <w:r w:rsidRPr="0049707E">
              <w:rPr>
                <w:rFonts w:ascii="Arial" w:hAnsi="Arial" w:cs="Arial"/>
                <w:sz w:val="24"/>
                <w:szCs w:val="24"/>
              </w:rPr>
              <w:t>020</w:t>
            </w:r>
          </w:p>
        </w:tc>
        <w:tc>
          <w:tcPr>
            <w:tcW w:w="2599" w:type="dxa"/>
            <w:vMerge w:val="restart"/>
          </w:tcPr>
          <w:p w14:paraId="318890CB" w14:textId="7E2BB1F3" w:rsidR="007B4FA5" w:rsidRPr="0049707E" w:rsidRDefault="007B4FA5" w:rsidP="00AA236F">
            <w:pPr>
              <w:pStyle w:val="VBAILTbullet1"/>
              <w:numPr>
                <w:ilvl w:val="0"/>
                <w:numId w:val="0"/>
              </w:numPr>
              <w:rPr>
                <w:rFonts w:ascii="Arial" w:hAnsi="Arial" w:cs="Arial"/>
                <w:sz w:val="24"/>
                <w:szCs w:val="24"/>
              </w:rPr>
            </w:pPr>
            <w:r w:rsidRPr="0049707E">
              <w:rPr>
                <w:rFonts w:ascii="Arial" w:hAnsi="Arial" w:cs="Arial"/>
                <w:sz w:val="24"/>
                <w:szCs w:val="24"/>
              </w:rPr>
              <w:t>DIC after an initial eligibility decision has been made</w:t>
            </w:r>
          </w:p>
        </w:tc>
        <w:tc>
          <w:tcPr>
            <w:tcW w:w="6120" w:type="dxa"/>
          </w:tcPr>
          <w:p w14:paraId="40BCA9FA" w14:textId="77777777" w:rsidR="007B4FA5" w:rsidRPr="0049707E" w:rsidRDefault="007B4FA5" w:rsidP="00E44600">
            <w:pPr>
              <w:pStyle w:val="VBAILTbullet1"/>
              <w:numPr>
                <w:ilvl w:val="0"/>
                <w:numId w:val="6"/>
              </w:numPr>
              <w:rPr>
                <w:rFonts w:ascii="Arial" w:hAnsi="Arial" w:cs="Arial"/>
                <w:sz w:val="24"/>
                <w:szCs w:val="24"/>
              </w:rPr>
            </w:pPr>
            <w:r w:rsidRPr="0049707E">
              <w:rPr>
                <w:rFonts w:ascii="Arial" w:hAnsi="Arial" w:cs="Arial"/>
                <w:sz w:val="24"/>
                <w:szCs w:val="24"/>
              </w:rPr>
              <w:t xml:space="preserve">the PACT special issue, applied to the DIC contention in VBMS, when there is no claim for reevaluation of a previously denied claim for DIC under the PACT Act, </w:t>
            </w:r>
            <w:r w:rsidRPr="0049707E">
              <w:rPr>
                <w:rFonts w:ascii="Arial" w:hAnsi="Arial" w:cs="Arial"/>
                <w:b/>
                <w:bCs/>
                <w:sz w:val="24"/>
                <w:szCs w:val="24"/>
              </w:rPr>
              <w:t>OR</w:t>
            </w:r>
          </w:p>
          <w:p w14:paraId="5F277909" w14:textId="584A982C" w:rsidR="007B4FA5" w:rsidRPr="0049707E" w:rsidRDefault="007B4FA5" w:rsidP="00E44600">
            <w:pPr>
              <w:pStyle w:val="VBAILTbullet1"/>
              <w:numPr>
                <w:ilvl w:val="0"/>
                <w:numId w:val="6"/>
              </w:numPr>
              <w:rPr>
                <w:rFonts w:ascii="Arial" w:hAnsi="Arial" w:cs="Arial"/>
                <w:sz w:val="24"/>
                <w:szCs w:val="24"/>
              </w:rPr>
            </w:pPr>
            <w:r w:rsidRPr="0049707E">
              <w:rPr>
                <w:rFonts w:ascii="Arial" w:hAnsi="Arial" w:cs="Arial"/>
                <w:sz w:val="24"/>
                <w:szCs w:val="24"/>
              </w:rPr>
              <w:t>the PACT ACT DIC Reevaluation special issue, applied to the DIC contention in VBMS, when a valid claim for reevaluation is elected and received by the claimant</w:t>
            </w:r>
          </w:p>
        </w:tc>
      </w:tr>
      <w:tr w:rsidR="007B4FA5" w:rsidRPr="0049707E" w14:paraId="11F185C5" w14:textId="77777777" w:rsidTr="006C549D">
        <w:trPr>
          <w:trHeight w:val="620"/>
        </w:trPr>
        <w:tc>
          <w:tcPr>
            <w:tcW w:w="636" w:type="dxa"/>
            <w:vMerge/>
          </w:tcPr>
          <w:p w14:paraId="20384D8C" w14:textId="77777777" w:rsidR="007B4FA5" w:rsidRPr="0049707E" w:rsidRDefault="007B4FA5" w:rsidP="00AA236F">
            <w:pPr>
              <w:pStyle w:val="VBAILTbullet1"/>
              <w:numPr>
                <w:ilvl w:val="0"/>
                <w:numId w:val="0"/>
              </w:numPr>
              <w:rPr>
                <w:rFonts w:ascii="Arial" w:hAnsi="Arial" w:cs="Arial"/>
                <w:sz w:val="24"/>
                <w:szCs w:val="24"/>
              </w:rPr>
            </w:pPr>
          </w:p>
        </w:tc>
        <w:tc>
          <w:tcPr>
            <w:tcW w:w="2599" w:type="dxa"/>
            <w:vMerge/>
          </w:tcPr>
          <w:p w14:paraId="2B03BBA4" w14:textId="77777777" w:rsidR="007B4FA5" w:rsidRPr="0049707E" w:rsidRDefault="007B4FA5" w:rsidP="00AA236F">
            <w:pPr>
              <w:pStyle w:val="VBAILTbullet1"/>
              <w:numPr>
                <w:ilvl w:val="0"/>
                <w:numId w:val="0"/>
              </w:numPr>
              <w:rPr>
                <w:rFonts w:ascii="Arial" w:hAnsi="Arial" w:cs="Arial"/>
                <w:sz w:val="24"/>
                <w:szCs w:val="24"/>
              </w:rPr>
            </w:pPr>
          </w:p>
        </w:tc>
        <w:tc>
          <w:tcPr>
            <w:tcW w:w="6120" w:type="dxa"/>
          </w:tcPr>
          <w:p w14:paraId="448CC5AD" w14:textId="77777777" w:rsidR="007B4FA5" w:rsidRPr="0049707E" w:rsidRDefault="007B4FA5" w:rsidP="00E44600">
            <w:pPr>
              <w:pStyle w:val="VBAILTbullet1"/>
              <w:numPr>
                <w:ilvl w:val="0"/>
                <w:numId w:val="6"/>
              </w:numPr>
              <w:rPr>
                <w:rFonts w:ascii="Arial" w:hAnsi="Arial" w:cs="Arial"/>
                <w:sz w:val="24"/>
                <w:szCs w:val="24"/>
              </w:rPr>
            </w:pPr>
            <w:r w:rsidRPr="0049707E">
              <w:rPr>
                <w:rFonts w:ascii="Arial" w:hAnsi="Arial" w:cs="Arial"/>
                <w:sz w:val="24"/>
                <w:szCs w:val="24"/>
              </w:rPr>
              <w:t>A valid claim for reevaluation consists of an election by the claimant and the existence of a previously denied claim for DIC.</w:t>
            </w:r>
          </w:p>
          <w:p w14:paraId="49425CDE" w14:textId="6D638618" w:rsidR="007B4FA5" w:rsidRPr="0049707E" w:rsidRDefault="007B4FA5" w:rsidP="00E44600">
            <w:pPr>
              <w:pStyle w:val="VBAILTbullet1"/>
              <w:numPr>
                <w:ilvl w:val="0"/>
                <w:numId w:val="6"/>
              </w:numPr>
              <w:rPr>
                <w:rFonts w:ascii="Arial" w:hAnsi="Arial" w:cs="Arial"/>
                <w:sz w:val="24"/>
                <w:szCs w:val="24"/>
              </w:rPr>
            </w:pPr>
            <w:r w:rsidRPr="0049707E">
              <w:rPr>
                <w:rFonts w:ascii="Arial" w:hAnsi="Arial" w:cs="Arial"/>
                <w:sz w:val="24"/>
                <w:szCs w:val="24"/>
              </w:rPr>
              <w:t>An election for a reevaluation of a previously denied DIC claim is accepted if correspondence requesting such a reevaluation is received with, or following receipt of, a prescribed form for survivor benefits.</w:t>
            </w:r>
          </w:p>
        </w:tc>
      </w:tr>
      <w:tr w:rsidR="009850A4" w:rsidRPr="0049707E" w14:paraId="5F9725D3" w14:textId="77777777" w:rsidTr="006C549D">
        <w:trPr>
          <w:trHeight w:val="620"/>
        </w:trPr>
        <w:tc>
          <w:tcPr>
            <w:tcW w:w="636" w:type="dxa"/>
          </w:tcPr>
          <w:p w14:paraId="527EDC8A" w14:textId="0ADDC4F7" w:rsidR="009850A4" w:rsidRPr="0049707E" w:rsidRDefault="009850A4" w:rsidP="00AA236F">
            <w:pPr>
              <w:pStyle w:val="VBAILTbullet1"/>
              <w:numPr>
                <w:ilvl w:val="0"/>
                <w:numId w:val="0"/>
              </w:numPr>
              <w:rPr>
                <w:rFonts w:ascii="Arial" w:hAnsi="Arial" w:cs="Arial"/>
                <w:sz w:val="24"/>
                <w:szCs w:val="24"/>
              </w:rPr>
            </w:pPr>
            <w:r w:rsidRPr="0049707E">
              <w:rPr>
                <w:rFonts w:ascii="Arial" w:hAnsi="Arial" w:cs="Arial"/>
                <w:sz w:val="24"/>
                <w:szCs w:val="24"/>
              </w:rPr>
              <w:t>040</w:t>
            </w:r>
          </w:p>
        </w:tc>
        <w:tc>
          <w:tcPr>
            <w:tcW w:w="2599" w:type="dxa"/>
          </w:tcPr>
          <w:p w14:paraId="67DF8BA6" w14:textId="6EC4A7D2" w:rsidR="009850A4" w:rsidRPr="0049707E" w:rsidRDefault="009850A4" w:rsidP="00AA236F">
            <w:pPr>
              <w:pStyle w:val="VBAILTbullet1"/>
              <w:numPr>
                <w:ilvl w:val="0"/>
                <w:numId w:val="0"/>
              </w:numPr>
              <w:rPr>
                <w:rFonts w:ascii="Arial" w:hAnsi="Arial" w:cs="Arial"/>
                <w:sz w:val="24"/>
                <w:szCs w:val="24"/>
              </w:rPr>
            </w:pPr>
            <w:r w:rsidRPr="0049707E">
              <w:rPr>
                <w:rFonts w:ascii="Arial" w:hAnsi="Arial" w:cs="Arial"/>
                <w:sz w:val="24"/>
                <w:szCs w:val="24"/>
              </w:rPr>
              <w:t>Supplemental claim</w:t>
            </w:r>
          </w:p>
        </w:tc>
        <w:tc>
          <w:tcPr>
            <w:tcW w:w="6120" w:type="dxa"/>
          </w:tcPr>
          <w:p w14:paraId="02A94F3F" w14:textId="31CFAD66" w:rsidR="009850A4" w:rsidRPr="0049707E" w:rsidRDefault="009850A4" w:rsidP="009850A4">
            <w:pPr>
              <w:pStyle w:val="VBAILTbullet1"/>
              <w:numPr>
                <w:ilvl w:val="0"/>
                <w:numId w:val="0"/>
              </w:numPr>
              <w:rPr>
                <w:rFonts w:ascii="Arial" w:hAnsi="Arial" w:cs="Arial"/>
                <w:sz w:val="24"/>
                <w:szCs w:val="24"/>
              </w:rPr>
            </w:pPr>
            <w:r w:rsidRPr="0049707E">
              <w:rPr>
                <w:rFonts w:ascii="Arial" w:hAnsi="Arial" w:cs="Arial"/>
                <w:sz w:val="24"/>
                <w:szCs w:val="24"/>
              </w:rPr>
              <w:t xml:space="preserve">when a supplemental claim is submitted on the prescribed supplemental claim form, </w:t>
            </w:r>
            <w:r w:rsidRPr="0049707E">
              <w:rPr>
                <w:rFonts w:ascii="Arial" w:hAnsi="Arial" w:cs="Arial"/>
                <w:b/>
                <w:bCs/>
                <w:sz w:val="24"/>
                <w:szCs w:val="24"/>
              </w:rPr>
              <w:t xml:space="preserve">VA Form 20-0995, Decision Review </w:t>
            </w:r>
            <w:r w:rsidRPr="0049707E">
              <w:rPr>
                <w:rFonts w:ascii="Arial" w:hAnsi="Arial" w:cs="Arial"/>
                <w:sz w:val="24"/>
                <w:szCs w:val="24"/>
              </w:rPr>
              <w:t xml:space="preserve">Request, use EP 040 </w:t>
            </w:r>
          </w:p>
          <w:p w14:paraId="05FD4044" w14:textId="53F212E4" w:rsidR="003E354A" w:rsidRPr="0049707E" w:rsidRDefault="003E354A" w:rsidP="00E44600">
            <w:pPr>
              <w:pStyle w:val="VBAILTbullet1"/>
              <w:numPr>
                <w:ilvl w:val="0"/>
                <w:numId w:val="17"/>
              </w:numPr>
              <w:rPr>
                <w:rFonts w:ascii="Arial" w:hAnsi="Arial" w:cs="Arial"/>
                <w:sz w:val="24"/>
                <w:szCs w:val="24"/>
              </w:rPr>
            </w:pPr>
            <w:r w:rsidRPr="0049707E">
              <w:rPr>
                <w:rFonts w:ascii="Arial" w:hAnsi="Arial" w:cs="Arial"/>
                <w:sz w:val="24"/>
                <w:szCs w:val="24"/>
              </w:rPr>
              <w:t>PACT ACT DIC Reevaluation” special issue is used.</w:t>
            </w:r>
          </w:p>
        </w:tc>
      </w:tr>
      <w:tr w:rsidR="007B4FA5" w:rsidRPr="0049707E" w14:paraId="496EA32F" w14:textId="77777777" w:rsidTr="0053041B">
        <w:trPr>
          <w:trHeight w:val="457"/>
        </w:trPr>
        <w:tc>
          <w:tcPr>
            <w:tcW w:w="636" w:type="dxa"/>
            <w:vMerge w:val="restart"/>
          </w:tcPr>
          <w:p w14:paraId="13AB2304" w14:textId="1D9DC8BE" w:rsidR="007B4FA5" w:rsidRPr="0049707E" w:rsidRDefault="007B4FA5" w:rsidP="00AA236F">
            <w:pPr>
              <w:pStyle w:val="VBAILTbullet1"/>
              <w:numPr>
                <w:ilvl w:val="0"/>
                <w:numId w:val="0"/>
              </w:numPr>
              <w:rPr>
                <w:rFonts w:ascii="Arial" w:hAnsi="Arial" w:cs="Arial"/>
                <w:sz w:val="24"/>
                <w:szCs w:val="24"/>
              </w:rPr>
            </w:pPr>
            <w:r w:rsidRPr="0049707E">
              <w:rPr>
                <w:rFonts w:ascii="Arial" w:hAnsi="Arial" w:cs="Arial"/>
                <w:sz w:val="24"/>
                <w:szCs w:val="24"/>
              </w:rPr>
              <w:t>130</w:t>
            </w:r>
          </w:p>
        </w:tc>
        <w:tc>
          <w:tcPr>
            <w:tcW w:w="2599" w:type="dxa"/>
            <w:vMerge w:val="restart"/>
          </w:tcPr>
          <w:p w14:paraId="276B0D39" w14:textId="00039FE3" w:rsidR="007B4FA5" w:rsidRPr="0049707E" w:rsidRDefault="007B4FA5" w:rsidP="00AA236F">
            <w:pPr>
              <w:pStyle w:val="VBAILTbullet1"/>
              <w:numPr>
                <w:ilvl w:val="0"/>
                <w:numId w:val="0"/>
              </w:numPr>
              <w:rPr>
                <w:rFonts w:ascii="Arial" w:hAnsi="Arial" w:cs="Arial"/>
                <w:sz w:val="24"/>
                <w:szCs w:val="24"/>
              </w:rPr>
            </w:pPr>
            <w:r w:rsidRPr="0049707E">
              <w:rPr>
                <w:rFonts w:ascii="Arial" w:hAnsi="Arial" w:cs="Arial"/>
                <w:sz w:val="24"/>
                <w:szCs w:val="24"/>
              </w:rPr>
              <w:t xml:space="preserve">DIC claims from other beneficiaries </w:t>
            </w:r>
            <w:r w:rsidR="005F1A3E" w:rsidRPr="0049707E">
              <w:rPr>
                <w:rFonts w:ascii="Arial" w:hAnsi="Arial" w:cs="Arial"/>
                <w:sz w:val="24"/>
                <w:szCs w:val="24"/>
              </w:rPr>
              <w:t>after</w:t>
            </w:r>
            <w:r w:rsidRPr="0049707E">
              <w:rPr>
                <w:rFonts w:ascii="Arial" w:hAnsi="Arial" w:cs="Arial"/>
                <w:sz w:val="24"/>
                <w:szCs w:val="24"/>
              </w:rPr>
              <w:t xml:space="preserve"> initial claims adjudicated under EP 140</w:t>
            </w:r>
          </w:p>
        </w:tc>
        <w:tc>
          <w:tcPr>
            <w:tcW w:w="6120" w:type="dxa"/>
          </w:tcPr>
          <w:p w14:paraId="50E70318" w14:textId="3E4907B5" w:rsidR="007B4FA5" w:rsidRPr="0049707E" w:rsidRDefault="007B4FA5" w:rsidP="007B4FA5">
            <w:pPr>
              <w:pStyle w:val="VBAILTbullet1"/>
              <w:numPr>
                <w:ilvl w:val="0"/>
                <w:numId w:val="0"/>
              </w:numPr>
              <w:ind w:left="360" w:hanging="360"/>
              <w:rPr>
                <w:rFonts w:ascii="Arial" w:hAnsi="Arial" w:cs="Arial"/>
                <w:sz w:val="24"/>
                <w:szCs w:val="24"/>
              </w:rPr>
            </w:pPr>
            <w:r w:rsidRPr="0049707E">
              <w:rPr>
                <w:rFonts w:ascii="Arial" w:hAnsi="Arial" w:cs="Arial"/>
                <w:sz w:val="24"/>
                <w:szCs w:val="24"/>
              </w:rPr>
              <w:t>the PACT special issue</w:t>
            </w:r>
          </w:p>
        </w:tc>
      </w:tr>
      <w:tr w:rsidR="007B4FA5" w:rsidRPr="0049707E" w14:paraId="434039F0" w14:textId="77777777" w:rsidTr="0053041B">
        <w:trPr>
          <w:trHeight w:val="456"/>
        </w:trPr>
        <w:tc>
          <w:tcPr>
            <w:tcW w:w="636" w:type="dxa"/>
            <w:vMerge/>
          </w:tcPr>
          <w:p w14:paraId="41774614" w14:textId="77777777" w:rsidR="007B4FA5" w:rsidRPr="0049707E" w:rsidRDefault="007B4FA5" w:rsidP="00AA236F">
            <w:pPr>
              <w:pStyle w:val="VBAILTbullet1"/>
              <w:numPr>
                <w:ilvl w:val="0"/>
                <w:numId w:val="0"/>
              </w:numPr>
              <w:rPr>
                <w:rFonts w:ascii="Arial" w:hAnsi="Arial" w:cs="Arial"/>
                <w:sz w:val="24"/>
                <w:szCs w:val="24"/>
              </w:rPr>
            </w:pPr>
          </w:p>
        </w:tc>
        <w:tc>
          <w:tcPr>
            <w:tcW w:w="2599" w:type="dxa"/>
            <w:vMerge/>
          </w:tcPr>
          <w:p w14:paraId="17C84F6D" w14:textId="77777777" w:rsidR="007B4FA5" w:rsidRPr="0049707E" w:rsidRDefault="007B4FA5" w:rsidP="00AA236F">
            <w:pPr>
              <w:pStyle w:val="VBAILTbullet1"/>
              <w:numPr>
                <w:ilvl w:val="0"/>
                <w:numId w:val="0"/>
              </w:numPr>
              <w:rPr>
                <w:rFonts w:ascii="Arial" w:hAnsi="Arial" w:cs="Arial"/>
                <w:sz w:val="24"/>
                <w:szCs w:val="24"/>
              </w:rPr>
            </w:pPr>
          </w:p>
        </w:tc>
        <w:tc>
          <w:tcPr>
            <w:tcW w:w="6120" w:type="dxa"/>
          </w:tcPr>
          <w:p w14:paraId="0152B758" w14:textId="6D6B84CB" w:rsidR="007B4FA5" w:rsidRPr="0049707E" w:rsidRDefault="005F1A3E" w:rsidP="00E44600">
            <w:pPr>
              <w:pStyle w:val="VBAILTbullet1"/>
              <w:numPr>
                <w:ilvl w:val="0"/>
                <w:numId w:val="7"/>
              </w:numPr>
              <w:rPr>
                <w:rFonts w:ascii="Arial" w:hAnsi="Arial" w:cs="Arial"/>
                <w:sz w:val="24"/>
                <w:szCs w:val="24"/>
              </w:rPr>
            </w:pPr>
            <w:r w:rsidRPr="0049707E">
              <w:rPr>
                <w:rFonts w:ascii="Arial" w:hAnsi="Arial" w:cs="Arial"/>
                <w:sz w:val="24"/>
                <w:szCs w:val="24"/>
              </w:rPr>
              <w:t>f</w:t>
            </w:r>
            <w:r w:rsidR="007B4FA5" w:rsidRPr="0049707E">
              <w:rPr>
                <w:rFonts w:ascii="Arial" w:hAnsi="Arial" w:cs="Arial"/>
                <w:sz w:val="24"/>
                <w:szCs w:val="24"/>
              </w:rPr>
              <w:t>or claims that are PACT Act-related, this special issue must be applied to the DIC contention in VBMS.</w:t>
            </w:r>
          </w:p>
          <w:p w14:paraId="7A9BBA1F" w14:textId="2DE66AFF" w:rsidR="007B4FA5" w:rsidRPr="0049707E" w:rsidRDefault="005F1A3E" w:rsidP="00E44600">
            <w:pPr>
              <w:pStyle w:val="VBAILTbullet1"/>
              <w:numPr>
                <w:ilvl w:val="0"/>
                <w:numId w:val="7"/>
              </w:numPr>
              <w:rPr>
                <w:rFonts w:ascii="Arial" w:hAnsi="Arial" w:cs="Arial"/>
                <w:sz w:val="24"/>
                <w:szCs w:val="24"/>
              </w:rPr>
            </w:pPr>
            <w:r w:rsidRPr="0049707E">
              <w:rPr>
                <w:rFonts w:ascii="Arial" w:hAnsi="Arial" w:cs="Arial"/>
                <w:sz w:val="24"/>
                <w:szCs w:val="24"/>
              </w:rPr>
              <w:t>t</w:t>
            </w:r>
            <w:r w:rsidR="007B4FA5" w:rsidRPr="0049707E">
              <w:rPr>
                <w:rFonts w:ascii="Arial" w:hAnsi="Arial" w:cs="Arial"/>
                <w:sz w:val="24"/>
                <w:szCs w:val="24"/>
              </w:rPr>
              <w:t>his special issue should be applied upon claims establishment or when otherwise identified.</w:t>
            </w:r>
          </w:p>
        </w:tc>
      </w:tr>
      <w:tr w:rsidR="005F1A3E" w:rsidRPr="0049707E" w14:paraId="23AFF582" w14:textId="77777777" w:rsidTr="0053041B">
        <w:trPr>
          <w:trHeight w:val="913"/>
        </w:trPr>
        <w:tc>
          <w:tcPr>
            <w:tcW w:w="636" w:type="dxa"/>
            <w:vMerge w:val="restart"/>
          </w:tcPr>
          <w:p w14:paraId="2FA55980" w14:textId="7F49BECB" w:rsidR="005F1A3E" w:rsidRPr="0049707E" w:rsidRDefault="005F1A3E" w:rsidP="00AA236F">
            <w:pPr>
              <w:pStyle w:val="VBAILTbullet1"/>
              <w:numPr>
                <w:ilvl w:val="0"/>
                <w:numId w:val="0"/>
              </w:numPr>
              <w:rPr>
                <w:rFonts w:ascii="Arial" w:hAnsi="Arial" w:cs="Arial"/>
                <w:sz w:val="24"/>
                <w:szCs w:val="24"/>
              </w:rPr>
            </w:pPr>
            <w:r w:rsidRPr="0049707E">
              <w:rPr>
                <w:rFonts w:ascii="Arial" w:hAnsi="Arial" w:cs="Arial"/>
                <w:sz w:val="24"/>
                <w:szCs w:val="24"/>
              </w:rPr>
              <w:t>160</w:t>
            </w:r>
          </w:p>
        </w:tc>
        <w:tc>
          <w:tcPr>
            <w:tcW w:w="2599" w:type="dxa"/>
            <w:vMerge w:val="restart"/>
          </w:tcPr>
          <w:p w14:paraId="75673F11" w14:textId="1480EDCD" w:rsidR="005F1A3E" w:rsidRPr="0049707E" w:rsidRDefault="005F1A3E" w:rsidP="00AA236F">
            <w:pPr>
              <w:pStyle w:val="VBAILTbullet1"/>
              <w:numPr>
                <w:ilvl w:val="0"/>
                <w:numId w:val="0"/>
              </w:numPr>
              <w:rPr>
                <w:rFonts w:ascii="Arial" w:hAnsi="Arial" w:cs="Arial"/>
                <w:sz w:val="24"/>
                <w:szCs w:val="24"/>
              </w:rPr>
            </w:pPr>
            <w:r w:rsidRPr="0049707E">
              <w:rPr>
                <w:rFonts w:ascii="Arial" w:hAnsi="Arial" w:cs="Arial"/>
                <w:sz w:val="24"/>
                <w:szCs w:val="24"/>
              </w:rPr>
              <w:t>service-connected burial allowance</w:t>
            </w:r>
          </w:p>
        </w:tc>
        <w:tc>
          <w:tcPr>
            <w:tcW w:w="6120" w:type="dxa"/>
          </w:tcPr>
          <w:p w14:paraId="3AB04F42" w14:textId="6D9E7748" w:rsidR="005F1A3E" w:rsidRPr="0049707E" w:rsidRDefault="005F1A3E" w:rsidP="00E44600">
            <w:pPr>
              <w:pStyle w:val="VBAILTbullet1"/>
              <w:numPr>
                <w:ilvl w:val="0"/>
                <w:numId w:val="8"/>
              </w:numPr>
              <w:rPr>
                <w:rFonts w:ascii="Arial" w:hAnsi="Arial" w:cs="Arial"/>
                <w:sz w:val="24"/>
                <w:szCs w:val="24"/>
              </w:rPr>
            </w:pPr>
            <w:r w:rsidRPr="0049707E">
              <w:rPr>
                <w:rFonts w:ascii="Arial" w:hAnsi="Arial" w:cs="Arial"/>
                <w:sz w:val="24"/>
                <w:szCs w:val="24"/>
              </w:rPr>
              <w:t xml:space="preserve">the PACT special issue, applied to the appropriate contention, </w:t>
            </w:r>
            <w:r w:rsidRPr="0049707E">
              <w:rPr>
                <w:rFonts w:ascii="Arial" w:hAnsi="Arial" w:cs="Arial"/>
                <w:b/>
                <w:bCs/>
                <w:sz w:val="24"/>
                <w:szCs w:val="24"/>
              </w:rPr>
              <w:t>OR</w:t>
            </w:r>
          </w:p>
          <w:p w14:paraId="14EB5887" w14:textId="1695AFEF" w:rsidR="005F1A3E" w:rsidRPr="0049707E" w:rsidRDefault="005F1A3E" w:rsidP="00E44600">
            <w:pPr>
              <w:pStyle w:val="VBAILTbullet1"/>
              <w:numPr>
                <w:ilvl w:val="0"/>
                <w:numId w:val="8"/>
              </w:numPr>
              <w:rPr>
                <w:rFonts w:ascii="Arial" w:hAnsi="Arial" w:cs="Arial"/>
                <w:sz w:val="24"/>
                <w:szCs w:val="24"/>
              </w:rPr>
            </w:pPr>
            <w:r w:rsidRPr="0049707E">
              <w:rPr>
                <w:rFonts w:ascii="Arial" w:hAnsi="Arial" w:cs="Arial"/>
                <w:sz w:val="24"/>
                <w:szCs w:val="24"/>
              </w:rPr>
              <w:t>in instances where service-connected burial is being addressed because of a grant of DIC benefits by reevaluation, the PACT Act DIC Reevaluation special issue should be used in lieu of the PACT special issue</w:t>
            </w:r>
          </w:p>
        </w:tc>
      </w:tr>
      <w:tr w:rsidR="005F1A3E" w:rsidRPr="0049707E" w14:paraId="2DEA26F6" w14:textId="77777777" w:rsidTr="0053041B">
        <w:trPr>
          <w:trHeight w:val="912"/>
        </w:trPr>
        <w:tc>
          <w:tcPr>
            <w:tcW w:w="636" w:type="dxa"/>
            <w:vMerge/>
          </w:tcPr>
          <w:p w14:paraId="75C3A840" w14:textId="77777777" w:rsidR="005F1A3E" w:rsidRPr="0049707E" w:rsidRDefault="005F1A3E" w:rsidP="00AA236F">
            <w:pPr>
              <w:pStyle w:val="VBAILTbullet1"/>
              <w:numPr>
                <w:ilvl w:val="0"/>
                <w:numId w:val="0"/>
              </w:numPr>
              <w:rPr>
                <w:rFonts w:ascii="Arial" w:hAnsi="Arial" w:cs="Arial"/>
                <w:sz w:val="24"/>
                <w:szCs w:val="24"/>
              </w:rPr>
            </w:pPr>
          </w:p>
        </w:tc>
        <w:tc>
          <w:tcPr>
            <w:tcW w:w="2599" w:type="dxa"/>
            <w:vMerge/>
          </w:tcPr>
          <w:p w14:paraId="6E1AA226" w14:textId="77777777" w:rsidR="005F1A3E" w:rsidRPr="0049707E" w:rsidRDefault="005F1A3E" w:rsidP="00AA236F">
            <w:pPr>
              <w:pStyle w:val="VBAILTbullet1"/>
              <w:numPr>
                <w:ilvl w:val="0"/>
                <w:numId w:val="0"/>
              </w:numPr>
              <w:rPr>
                <w:rFonts w:ascii="Arial" w:hAnsi="Arial" w:cs="Arial"/>
                <w:sz w:val="24"/>
                <w:szCs w:val="24"/>
              </w:rPr>
            </w:pPr>
          </w:p>
        </w:tc>
        <w:tc>
          <w:tcPr>
            <w:tcW w:w="6120" w:type="dxa"/>
          </w:tcPr>
          <w:p w14:paraId="1C35DA7B" w14:textId="77777777" w:rsidR="005F1A3E" w:rsidRPr="0049707E" w:rsidRDefault="005F1A3E" w:rsidP="005F1A3E">
            <w:pPr>
              <w:pStyle w:val="VBAILTbullet1"/>
              <w:numPr>
                <w:ilvl w:val="0"/>
                <w:numId w:val="0"/>
              </w:numPr>
              <w:rPr>
                <w:rFonts w:ascii="Arial" w:hAnsi="Arial" w:cs="Arial"/>
                <w:sz w:val="24"/>
                <w:szCs w:val="24"/>
              </w:rPr>
            </w:pPr>
            <w:r w:rsidRPr="0049707E">
              <w:rPr>
                <w:rFonts w:ascii="Arial" w:hAnsi="Arial" w:cs="Arial"/>
                <w:sz w:val="24"/>
                <w:szCs w:val="24"/>
              </w:rPr>
              <w:t xml:space="preserve">If service connection can be granted under existing procedures and existing authorities (direct, secondary, aggravation, or established presumptions other than those specified by the PACT Act), do not apply any PACT Act-related special issues. </w:t>
            </w:r>
          </w:p>
          <w:p w14:paraId="0ECB723C" w14:textId="095AD409" w:rsidR="005F1A3E" w:rsidRPr="0049707E" w:rsidRDefault="005F1A3E" w:rsidP="005F1A3E">
            <w:pPr>
              <w:pStyle w:val="VBAILTbullet1"/>
              <w:numPr>
                <w:ilvl w:val="0"/>
                <w:numId w:val="0"/>
              </w:numPr>
              <w:rPr>
                <w:rFonts w:ascii="Arial" w:hAnsi="Arial" w:cs="Arial"/>
                <w:sz w:val="24"/>
                <w:szCs w:val="24"/>
              </w:rPr>
            </w:pPr>
            <w:r w:rsidRPr="0049707E">
              <w:rPr>
                <w:rFonts w:ascii="Arial" w:hAnsi="Arial" w:cs="Arial"/>
                <w:b/>
                <w:bCs/>
                <w:sz w:val="24"/>
                <w:szCs w:val="24"/>
              </w:rPr>
              <w:t>IMPORTANT</w:t>
            </w:r>
            <w:r w:rsidRPr="0049707E">
              <w:rPr>
                <w:rFonts w:ascii="Arial" w:hAnsi="Arial" w:cs="Arial"/>
                <w:sz w:val="24"/>
                <w:szCs w:val="24"/>
              </w:rPr>
              <w:t>:  Follow current procedures to review for service connection entitlement.</w:t>
            </w:r>
          </w:p>
        </w:tc>
      </w:tr>
      <w:tr w:rsidR="005F1A3E" w:rsidRPr="0049707E" w14:paraId="3A156FE6" w14:textId="77777777" w:rsidTr="0053041B">
        <w:trPr>
          <w:trHeight w:val="912"/>
        </w:trPr>
        <w:tc>
          <w:tcPr>
            <w:tcW w:w="636" w:type="dxa"/>
          </w:tcPr>
          <w:p w14:paraId="29F36AED" w14:textId="139360F6" w:rsidR="005F1A3E" w:rsidRPr="0049707E" w:rsidRDefault="005F1A3E" w:rsidP="00AA236F">
            <w:pPr>
              <w:pStyle w:val="VBAILTbullet1"/>
              <w:numPr>
                <w:ilvl w:val="0"/>
                <w:numId w:val="0"/>
              </w:numPr>
              <w:rPr>
                <w:rFonts w:ascii="Arial" w:hAnsi="Arial" w:cs="Arial"/>
                <w:sz w:val="24"/>
                <w:szCs w:val="24"/>
              </w:rPr>
            </w:pPr>
            <w:r w:rsidRPr="0049707E">
              <w:rPr>
                <w:rFonts w:ascii="Arial" w:hAnsi="Arial" w:cs="Arial"/>
                <w:sz w:val="24"/>
                <w:szCs w:val="24"/>
              </w:rPr>
              <w:t>165</w:t>
            </w:r>
          </w:p>
        </w:tc>
        <w:tc>
          <w:tcPr>
            <w:tcW w:w="2599" w:type="dxa"/>
          </w:tcPr>
          <w:p w14:paraId="7A59DAD7" w14:textId="5F7DC317" w:rsidR="005F1A3E" w:rsidRPr="0049707E" w:rsidRDefault="005F1A3E" w:rsidP="00AA236F">
            <w:pPr>
              <w:pStyle w:val="VBAILTbullet1"/>
              <w:numPr>
                <w:ilvl w:val="0"/>
                <w:numId w:val="0"/>
              </w:numPr>
              <w:rPr>
                <w:rFonts w:ascii="Arial" w:hAnsi="Arial" w:cs="Arial"/>
                <w:sz w:val="24"/>
                <w:szCs w:val="24"/>
              </w:rPr>
            </w:pPr>
            <w:r w:rsidRPr="0049707E">
              <w:rPr>
                <w:rFonts w:ascii="Arial" w:hAnsi="Arial" w:cs="Arial"/>
                <w:sz w:val="24"/>
                <w:szCs w:val="24"/>
              </w:rPr>
              <w:t>accrued, including when substitution is at issue</w:t>
            </w:r>
          </w:p>
        </w:tc>
        <w:tc>
          <w:tcPr>
            <w:tcW w:w="6120" w:type="dxa"/>
          </w:tcPr>
          <w:p w14:paraId="642D54A7" w14:textId="1DF23A31" w:rsidR="005F1A3E" w:rsidRPr="0049707E" w:rsidRDefault="005F1A3E" w:rsidP="005F1A3E">
            <w:pPr>
              <w:pStyle w:val="VBAILTbullet1"/>
              <w:numPr>
                <w:ilvl w:val="0"/>
                <w:numId w:val="0"/>
              </w:numPr>
              <w:rPr>
                <w:rFonts w:ascii="Arial" w:hAnsi="Arial" w:cs="Arial"/>
                <w:sz w:val="24"/>
                <w:szCs w:val="24"/>
              </w:rPr>
            </w:pPr>
            <w:r w:rsidRPr="0049707E">
              <w:rPr>
                <w:rFonts w:ascii="Arial" w:hAnsi="Arial" w:cs="Arial"/>
                <w:sz w:val="24"/>
                <w:szCs w:val="24"/>
              </w:rPr>
              <w:t>either the PACT or PACT ACT DIC Reevaluation special issue applied to the appropriate contention.</w:t>
            </w:r>
          </w:p>
        </w:tc>
      </w:tr>
      <w:tr w:rsidR="005F1A3E" w:rsidRPr="0049707E" w14:paraId="08992218" w14:textId="77777777" w:rsidTr="00FF65C4">
        <w:trPr>
          <w:trHeight w:val="530"/>
        </w:trPr>
        <w:tc>
          <w:tcPr>
            <w:tcW w:w="636" w:type="dxa"/>
          </w:tcPr>
          <w:p w14:paraId="3C4748FC" w14:textId="09BC68A9" w:rsidR="005F1A3E" w:rsidRPr="0049707E" w:rsidRDefault="005F1A3E" w:rsidP="00AA236F">
            <w:pPr>
              <w:pStyle w:val="VBAILTbullet1"/>
              <w:numPr>
                <w:ilvl w:val="0"/>
                <w:numId w:val="0"/>
              </w:numPr>
              <w:rPr>
                <w:rFonts w:ascii="Arial" w:hAnsi="Arial" w:cs="Arial"/>
                <w:sz w:val="24"/>
                <w:szCs w:val="24"/>
              </w:rPr>
            </w:pPr>
            <w:r w:rsidRPr="0049707E">
              <w:rPr>
                <w:rFonts w:ascii="Arial" w:hAnsi="Arial" w:cs="Arial"/>
                <w:sz w:val="24"/>
                <w:szCs w:val="24"/>
              </w:rPr>
              <w:lastRenderedPageBreak/>
              <w:t>290</w:t>
            </w:r>
          </w:p>
        </w:tc>
        <w:tc>
          <w:tcPr>
            <w:tcW w:w="2599" w:type="dxa"/>
          </w:tcPr>
          <w:p w14:paraId="15C7C71D" w14:textId="31460A38" w:rsidR="005F1A3E" w:rsidRPr="0049707E" w:rsidRDefault="005F1A3E" w:rsidP="00AA236F">
            <w:pPr>
              <w:pStyle w:val="VBAILTbullet1"/>
              <w:numPr>
                <w:ilvl w:val="0"/>
                <w:numId w:val="0"/>
              </w:numPr>
              <w:rPr>
                <w:rFonts w:ascii="Arial" w:hAnsi="Arial" w:cs="Arial"/>
                <w:sz w:val="24"/>
                <w:szCs w:val="24"/>
              </w:rPr>
            </w:pPr>
            <w:r w:rsidRPr="0049707E">
              <w:rPr>
                <w:rFonts w:ascii="Arial" w:hAnsi="Arial" w:cs="Arial"/>
                <w:sz w:val="24"/>
                <w:szCs w:val="24"/>
              </w:rPr>
              <w:t>request for substitution, without an accompanying accrued claim, is received</w:t>
            </w:r>
          </w:p>
        </w:tc>
        <w:tc>
          <w:tcPr>
            <w:tcW w:w="6120" w:type="dxa"/>
          </w:tcPr>
          <w:p w14:paraId="2C2E55AA" w14:textId="0C39BC1C" w:rsidR="005F1A3E" w:rsidRPr="0049707E" w:rsidRDefault="005F1A3E" w:rsidP="005F1A3E">
            <w:pPr>
              <w:pStyle w:val="VBAILTbullet1"/>
              <w:numPr>
                <w:ilvl w:val="0"/>
                <w:numId w:val="0"/>
              </w:numPr>
              <w:rPr>
                <w:rFonts w:ascii="Arial" w:hAnsi="Arial" w:cs="Arial"/>
                <w:sz w:val="24"/>
                <w:szCs w:val="24"/>
              </w:rPr>
            </w:pPr>
            <w:r w:rsidRPr="0049707E">
              <w:rPr>
                <w:rFonts w:ascii="Arial" w:hAnsi="Arial" w:cs="Arial"/>
                <w:sz w:val="24"/>
                <w:szCs w:val="24"/>
              </w:rPr>
              <w:t>either the PACT or PACT ACT DIC Reevaluation special issue applied to the appropriate contention.</w:t>
            </w:r>
          </w:p>
        </w:tc>
      </w:tr>
    </w:tbl>
    <w:p w14:paraId="61C51332" w14:textId="77777777" w:rsidR="006C549D" w:rsidRPr="0049707E" w:rsidRDefault="006C549D" w:rsidP="00AA236F">
      <w:pPr>
        <w:pStyle w:val="VBAILTbullet1"/>
        <w:numPr>
          <w:ilvl w:val="0"/>
          <w:numId w:val="0"/>
        </w:numPr>
        <w:rPr>
          <w:rFonts w:ascii="Arial" w:hAnsi="Arial" w:cs="Arial"/>
          <w:b/>
          <w:bCs/>
          <w:sz w:val="24"/>
          <w:szCs w:val="24"/>
        </w:rPr>
      </w:pPr>
    </w:p>
    <w:p w14:paraId="2DB05DB8" w14:textId="787F3AF0" w:rsidR="000820B1" w:rsidRPr="0049707E" w:rsidRDefault="005F1A3E" w:rsidP="00FF65C4">
      <w:pPr>
        <w:pStyle w:val="VBAILTbullet1"/>
        <w:numPr>
          <w:ilvl w:val="0"/>
          <w:numId w:val="0"/>
        </w:numPr>
        <w:rPr>
          <w:rFonts w:ascii="Arial" w:hAnsi="Arial" w:cs="Arial"/>
          <w:sz w:val="24"/>
          <w:szCs w:val="24"/>
        </w:rPr>
      </w:pPr>
      <w:r w:rsidRPr="0049707E">
        <w:rPr>
          <w:rFonts w:ascii="Arial" w:hAnsi="Arial" w:cs="Arial"/>
          <w:b/>
          <w:bCs/>
          <w:sz w:val="24"/>
          <w:szCs w:val="24"/>
        </w:rPr>
        <w:t>NOTE:</w:t>
      </w:r>
      <w:r w:rsidRPr="0049707E">
        <w:rPr>
          <w:rFonts w:ascii="Arial" w:hAnsi="Arial" w:cs="Arial"/>
          <w:sz w:val="24"/>
          <w:szCs w:val="24"/>
        </w:rPr>
        <w:t xml:space="preserve"> The PACT ACT DIC Reevaluation and PACT special issue should not both be applied to the same EP. Therefore, when the PACT ACT DIC Reevaluation special issue is applicable, then the PACT special issue should not be added and, if it was already added, then it should be removed prior to applying the PACT ACT DIC Reevaluation special issue to the EP.</w:t>
      </w:r>
    </w:p>
    <w:p w14:paraId="02DC7785" w14:textId="5E2ADEC0" w:rsidR="006C549D" w:rsidRPr="0049707E" w:rsidRDefault="006C549D" w:rsidP="006C549D">
      <w:pPr>
        <w:pStyle w:val="VBAILTHeading2"/>
        <w:rPr>
          <w:rFonts w:ascii="Arial" w:hAnsi="Arial" w:cs="Arial"/>
        </w:rPr>
      </w:pPr>
      <w:bookmarkStart w:id="10" w:name="_Toc169247176"/>
      <w:r w:rsidRPr="0049707E">
        <w:rPr>
          <w:rFonts w:ascii="Arial" w:hAnsi="Arial" w:cs="Arial"/>
        </w:rPr>
        <w:t>Processing New DIC Claims Related to PACT Act</w:t>
      </w:r>
      <w:bookmarkEnd w:id="10"/>
    </w:p>
    <w:p w14:paraId="1405E1B7" w14:textId="4C59212A" w:rsidR="006C549D" w:rsidRPr="0049707E" w:rsidRDefault="006C549D" w:rsidP="00AA236F">
      <w:pPr>
        <w:pStyle w:val="VBAILTbullet1"/>
        <w:numPr>
          <w:ilvl w:val="0"/>
          <w:numId w:val="0"/>
        </w:numPr>
        <w:rPr>
          <w:rFonts w:ascii="Arial" w:hAnsi="Arial" w:cs="Arial"/>
          <w:sz w:val="24"/>
          <w:szCs w:val="24"/>
        </w:rPr>
      </w:pPr>
      <w:r w:rsidRPr="0049707E">
        <w:rPr>
          <w:rFonts w:ascii="Arial" w:hAnsi="Arial" w:cs="Arial"/>
          <w:sz w:val="24"/>
          <w:szCs w:val="24"/>
        </w:rPr>
        <w:t>When potential entitlement to DIC retroactivity is shown, but a proper reevaluation election has not been received, solicit for a VA Form 21P</w:t>
      </w:r>
      <w:r w:rsidR="00824B09" w:rsidRPr="0049707E">
        <w:rPr>
          <w:rFonts w:ascii="Arial" w:hAnsi="Arial" w:cs="Arial"/>
          <w:sz w:val="24"/>
          <w:szCs w:val="24"/>
        </w:rPr>
        <w:t>-</w:t>
      </w:r>
      <w:r w:rsidRPr="0049707E">
        <w:rPr>
          <w:rFonts w:ascii="Arial" w:hAnsi="Arial" w:cs="Arial"/>
          <w:sz w:val="24"/>
          <w:szCs w:val="24"/>
        </w:rPr>
        <w:t>534EZ or VA Form 21P-535 in the notification letter and inform the claimant they could be entitled to retroactivity.</w:t>
      </w:r>
    </w:p>
    <w:p w14:paraId="5DFB26B4" w14:textId="77777777" w:rsidR="00824B09" w:rsidRPr="0049707E" w:rsidRDefault="00824B09" w:rsidP="00AA236F">
      <w:pPr>
        <w:pStyle w:val="VBAILTbullet1"/>
        <w:numPr>
          <w:ilvl w:val="0"/>
          <w:numId w:val="0"/>
        </w:numPr>
        <w:rPr>
          <w:rFonts w:ascii="Arial" w:hAnsi="Arial" w:cs="Arial"/>
          <w:sz w:val="24"/>
          <w:szCs w:val="24"/>
        </w:rPr>
      </w:pPr>
      <w:r w:rsidRPr="0049707E">
        <w:rPr>
          <w:rFonts w:ascii="Arial" w:hAnsi="Arial" w:cs="Arial"/>
          <w:sz w:val="24"/>
          <w:szCs w:val="24"/>
        </w:rPr>
        <w:t xml:space="preserve">PL 114-315 allows VBA to grant service-connected burial allowance to a surviving spouse without a claim when DIC benefits are granted upon reevaluation, and the Veteran's date of death occurred </w:t>
      </w:r>
      <w:r w:rsidRPr="0049707E">
        <w:rPr>
          <w:rFonts w:ascii="Arial" w:hAnsi="Arial" w:cs="Arial"/>
          <w:b/>
          <w:bCs/>
          <w:sz w:val="24"/>
          <w:szCs w:val="24"/>
        </w:rPr>
        <w:t>on or after December 16, 2016</w:t>
      </w:r>
      <w:r w:rsidRPr="0049707E">
        <w:rPr>
          <w:rFonts w:ascii="Arial" w:hAnsi="Arial" w:cs="Arial"/>
          <w:sz w:val="24"/>
          <w:szCs w:val="24"/>
        </w:rPr>
        <w:t xml:space="preserve">. </w:t>
      </w:r>
    </w:p>
    <w:p w14:paraId="79622221" w14:textId="69AF9D6F" w:rsidR="00D933EB" w:rsidRPr="0049707E" w:rsidRDefault="00824B09" w:rsidP="00E44600">
      <w:pPr>
        <w:pStyle w:val="VBAILTbullet1"/>
        <w:numPr>
          <w:ilvl w:val="0"/>
          <w:numId w:val="10"/>
        </w:numPr>
        <w:rPr>
          <w:rFonts w:ascii="Arial" w:hAnsi="Arial" w:cs="Arial"/>
          <w:b/>
          <w:bCs/>
          <w:i/>
          <w:iCs/>
          <w:sz w:val="24"/>
          <w:szCs w:val="24"/>
        </w:rPr>
      </w:pPr>
      <w:r w:rsidRPr="0049707E">
        <w:rPr>
          <w:rFonts w:ascii="Arial" w:hAnsi="Arial" w:cs="Arial"/>
          <w:b/>
          <w:bCs/>
          <w:i/>
          <w:iCs/>
          <w:sz w:val="24"/>
          <w:szCs w:val="24"/>
        </w:rPr>
        <w:t>The DIC award establishes entitlement and dependency.</w:t>
      </w:r>
    </w:p>
    <w:p w14:paraId="40018F7C" w14:textId="77777777" w:rsidR="00536621" w:rsidRPr="0049707E" w:rsidRDefault="00536621">
      <w:pPr>
        <w:rPr>
          <w:rFonts w:ascii="Arial" w:hAnsi="Arial" w:cs="Arial"/>
          <w:b/>
          <w:bCs/>
          <w:sz w:val="24"/>
          <w:szCs w:val="24"/>
        </w:rPr>
      </w:pPr>
      <w:r w:rsidRPr="0049707E">
        <w:rPr>
          <w:rFonts w:ascii="Arial" w:hAnsi="Arial" w:cs="Arial"/>
          <w:b/>
          <w:bCs/>
          <w:sz w:val="24"/>
          <w:szCs w:val="24"/>
        </w:rPr>
        <w:br w:type="page"/>
      </w:r>
    </w:p>
    <w:p w14:paraId="685D62D9" w14:textId="56601B3B" w:rsidR="006C549D" w:rsidRPr="0049707E" w:rsidRDefault="006C549D" w:rsidP="00AA236F">
      <w:pPr>
        <w:pStyle w:val="VBAILTbullet1"/>
        <w:numPr>
          <w:ilvl w:val="0"/>
          <w:numId w:val="0"/>
        </w:numPr>
        <w:rPr>
          <w:rFonts w:ascii="Arial" w:hAnsi="Arial" w:cs="Arial"/>
          <w:b/>
          <w:bCs/>
          <w:sz w:val="24"/>
          <w:szCs w:val="24"/>
        </w:rPr>
      </w:pPr>
      <w:r w:rsidRPr="0049707E">
        <w:rPr>
          <w:rFonts w:ascii="Arial" w:hAnsi="Arial" w:cs="Arial"/>
          <w:b/>
          <w:bCs/>
          <w:sz w:val="24"/>
          <w:szCs w:val="24"/>
        </w:rPr>
        <w:lastRenderedPageBreak/>
        <w:t>Follow the below guidance when processing new PACT Act-related claims for DIC:</w:t>
      </w:r>
    </w:p>
    <w:tbl>
      <w:tblPr>
        <w:tblStyle w:val="TableGrid"/>
        <w:tblW w:w="0" w:type="auto"/>
        <w:tblLook w:val="04A0" w:firstRow="1" w:lastRow="0" w:firstColumn="1" w:lastColumn="0" w:noHBand="0" w:noVBand="1"/>
      </w:tblPr>
      <w:tblGrid>
        <w:gridCol w:w="1075"/>
        <w:gridCol w:w="8275"/>
      </w:tblGrid>
      <w:tr w:rsidR="006C549D" w:rsidRPr="0049707E" w14:paraId="5FFD1A21" w14:textId="77777777" w:rsidTr="006C549D">
        <w:tc>
          <w:tcPr>
            <w:tcW w:w="1075" w:type="dxa"/>
          </w:tcPr>
          <w:p w14:paraId="1F424495" w14:textId="5B487E6A" w:rsidR="006C549D" w:rsidRPr="0049707E" w:rsidRDefault="006C549D" w:rsidP="00AA236F">
            <w:pPr>
              <w:pStyle w:val="VBAILTbullet1"/>
              <w:numPr>
                <w:ilvl w:val="0"/>
                <w:numId w:val="0"/>
              </w:numPr>
              <w:rPr>
                <w:rFonts w:ascii="Arial" w:hAnsi="Arial" w:cs="Arial"/>
                <w:b/>
                <w:bCs/>
                <w:sz w:val="24"/>
                <w:szCs w:val="24"/>
              </w:rPr>
            </w:pPr>
            <w:r w:rsidRPr="0049707E">
              <w:rPr>
                <w:rFonts w:ascii="Arial" w:hAnsi="Arial" w:cs="Arial"/>
                <w:b/>
                <w:bCs/>
                <w:sz w:val="24"/>
                <w:szCs w:val="24"/>
              </w:rPr>
              <w:t>Stage</w:t>
            </w:r>
          </w:p>
        </w:tc>
        <w:tc>
          <w:tcPr>
            <w:tcW w:w="8275" w:type="dxa"/>
          </w:tcPr>
          <w:p w14:paraId="4C4DCEA3" w14:textId="38BEBCCC" w:rsidR="006C549D" w:rsidRPr="0049707E" w:rsidRDefault="006C549D" w:rsidP="00AA236F">
            <w:pPr>
              <w:pStyle w:val="VBAILTbullet1"/>
              <w:numPr>
                <w:ilvl w:val="0"/>
                <w:numId w:val="0"/>
              </w:numPr>
              <w:rPr>
                <w:rFonts w:ascii="Arial" w:hAnsi="Arial" w:cs="Arial"/>
                <w:b/>
                <w:bCs/>
                <w:sz w:val="24"/>
                <w:szCs w:val="24"/>
              </w:rPr>
            </w:pPr>
            <w:r w:rsidRPr="0049707E">
              <w:rPr>
                <w:rFonts w:ascii="Arial" w:hAnsi="Arial" w:cs="Arial"/>
                <w:b/>
                <w:bCs/>
                <w:sz w:val="24"/>
                <w:szCs w:val="24"/>
              </w:rPr>
              <w:t>Description</w:t>
            </w:r>
          </w:p>
        </w:tc>
      </w:tr>
      <w:tr w:rsidR="006C549D" w:rsidRPr="0049707E" w14:paraId="0EBB84F8" w14:textId="77777777" w:rsidTr="006C549D">
        <w:tc>
          <w:tcPr>
            <w:tcW w:w="1075" w:type="dxa"/>
          </w:tcPr>
          <w:p w14:paraId="0BE058CE" w14:textId="085DB5EE" w:rsidR="006C549D" w:rsidRPr="0049707E" w:rsidRDefault="006C549D" w:rsidP="00AA236F">
            <w:pPr>
              <w:pStyle w:val="VBAILTbullet1"/>
              <w:numPr>
                <w:ilvl w:val="0"/>
                <w:numId w:val="0"/>
              </w:numPr>
              <w:rPr>
                <w:rFonts w:ascii="Arial" w:hAnsi="Arial" w:cs="Arial"/>
                <w:sz w:val="24"/>
                <w:szCs w:val="24"/>
              </w:rPr>
            </w:pPr>
            <w:r w:rsidRPr="0049707E">
              <w:rPr>
                <w:rFonts w:ascii="Arial" w:hAnsi="Arial" w:cs="Arial"/>
                <w:sz w:val="24"/>
                <w:szCs w:val="24"/>
              </w:rPr>
              <w:t>1</w:t>
            </w:r>
          </w:p>
        </w:tc>
        <w:tc>
          <w:tcPr>
            <w:tcW w:w="8275" w:type="dxa"/>
          </w:tcPr>
          <w:p w14:paraId="38BB9122" w14:textId="27406F2D" w:rsidR="006C549D" w:rsidRPr="0049707E" w:rsidRDefault="006C549D" w:rsidP="00AA236F">
            <w:pPr>
              <w:pStyle w:val="VBAILTbullet1"/>
              <w:numPr>
                <w:ilvl w:val="0"/>
                <w:numId w:val="0"/>
              </w:numPr>
              <w:rPr>
                <w:rFonts w:ascii="Arial" w:hAnsi="Arial" w:cs="Arial"/>
                <w:sz w:val="24"/>
                <w:szCs w:val="24"/>
              </w:rPr>
            </w:pPr>
            <w:r w:rsidRPr="0049707E">
              <w:rPr>
                <w:rFonts w:ascii="Arial" w:hAnsi="Arial" w:cs="Arial"/>
                <w:sz w:val="24"/>
                <w:szCs w:val="24"/>
              </w:rPr>
              <w:t xml:space="preserve">Review the submitted claim to confirm the application was received on the appropriate prescribed form, </w:t>
            </w:r>
            <w:r w:rsidRPr="0049707E">
              <w:rPr>
                <w:rFonts w:ascii="Arial" w:hAnsi="Arial" w:cs="Arial"/>
                <w:b/>
                <w:bCs/>
                <w:sz w:val="24"/>
                <w:szCs w:val="24"/>
              </w:rPr>
              <w:t>and</w:t>
            </w:r>
            <w:r w:rsidRPr="0049707E">
              <w:rPr>
                <w:rFonts w:ascii="Arial" w:hAnsi="Arial" w:cs="Arial"/>
                <w:sz w:val="24"/>
                <w:szCs w:val="24"/>
              </w:rPr>
              <w:t xml:space="preserve"> claim is a PACT Act-related claim.</w:t>
            </w:r>
          </w:p>
        </w:tc>
      </w:tr>
      <w:tr w:rsidR="006C549D" w:rsidRPr="0049707E" w14:paraId="2FA1B042" w14:textId="77777777" w:rsidTr="006C549D">
        <w:tc>
          <w:tcPr>
            <w:tcW w:w="1075" w:type="dxa"/>
          </w:tcPr>
          <w:p w14:paraId="3BA4B3C3" w14:textId="68F39D67" w:rsidR="006C549D" w:rsidRPr="0049707E" w:rsidRDefault="006C549D" w:rsidP="00AA236F">
            <w:pPr>
              <w:pStyle w:val="VBAILTbullet1"/>
              <w:numPr>
                <w:ilvl w:val="0"/>
                <w:numId w:val="0"/>
              </w:numPr>
              <w:rPr>
                <w:rFonts w:ascii="Arial" w:hAnsi="Arial" w:cs="Arial"/>
                <w:sz w:val="24"/>
                <w:szCs w:val="24"/>
              </w:rPr>
            </w:pPr>
            <w:r w:rsidRPr="0049707E">
              <w:rPr>
                <w:rFonts w:ascii="Arial" w:hAnsi="Arial" w:cs="Arial"/>
                <w:sz w:val="24"/>
                <w:szCs w:val="24"/>
              </w:rPr>
              <w:t>2</w:t>
            </w:r>
          </w:p>
        </w:tc>
        <w:tc>
          <w:tcPr>
            <w:tcW w:w="8275" w:type="dxa"/>
          </w:tcPr>
          <w:p w14:paraId="38910CB8" w14:textId="04A27782" w:rsidR="006C549D" w:rsidRPr="0049707E" w:rsidRDefault="006C549D" w:rsidP="00AA236F">
            <w:pPr>
              <w:pStyle w:val="VBAILTbullet1"/>
              <w:numPr>
                <w:ilvl w:val="0"/>
                <w:numId w:val="0"/>
              </w:numPr>
              <w:rPr>
                <w:rFonts w:ascii="Arial" w:hAnsi="Arial" w:cs="Arial"/>
                <w:sz w:val="24"/>
                <w:szCs w:val="24"/>
              </w:rPr>
            </w:pPr>
            <w:r w:rsidRPr="0049707E">
              <w:rPr>
                <w:rFonts w:ascii="Arial" w:hAnsi="Arial" w:cs="Arial"/>
                <w:sz w:val="24"/>
                <w:szCs w:val="24"/>
              </w:rPr>
              <w:t xml:space="preserve">Establish claims as described within the content titled Manual Claims Establishment, </w:t>
            </w:r>
            <w:r w:rsidRPr="0049707E">
              <w:rPr>
                <w:rFonts w:ascii="Arial" w:hAnsi="Arial" w:cs="Arial"/>
                <w:b/>
                <w:bCs/>
                <w:sz w:val="24"/>
                <w:szCs w:val="24"/>
              </w:rPr>
              <w:t>and</w:t>
            </w:r>
            <w:r w:rsidRPr="0049707E">
              <w:rPr>
                <w:rFonts w:ascii="Arial" w:hAnsi="Arial" w:cs="Arial"/>
                <w:sz w:val="24"/>
                <w:szCs w:val="24"/>
              </w:rPr>
              <w:t xml:space="preserve"> add the PACT special issue to the DIC contention in VBMS.</w:t>
            </w:r>
          </w:p>
        </w:tc>
      </w:tr>
      <w:tr w:rsidR="006C549D" w:rsidRPr="0049707E" w14:paraId="01F7D190" w14:textId="77777777" w:rsidTr="006C549D">
        <w:trPr>
          <w:trHeight w:val="249"/>
        </w:trPr>
        <w:tc>
          <w:tcPr>
            <w:tcW w:w="1075" w:type="dxa"/>
            <w:vMerge w:val="restart"/>
          </w:tcPr>
          <w:p w14:paraId="0F504EA4" w14:textId="1B2F3B03" w:rsidR="006C549D" w:rsidRPr="0049707E" w:rsidRDefault="006C549D" w:rsidP="00AA236F">
            <w:pPr>
              <w:pStyle w:val="VBAILTbullet1"/>
              <w:numPr>
                <w:ilvl w:val="0"/>
                <w:numId w:val="0"/>
              </w:numPr>
              <w:rPr>
                <w:rFonts w:ascii="Arial" w:hAnsi="Arial" w:cs="Arial"/>
                <w:sz w:val="24"/>
                <w:szCs w:val="24"/>
              </w:rPr>
            </w:pPr>
            <w:r w:rsidRPr="0049707E">
              <w:rPr>
                <w:rFonts w:ascii="Arial" w:hAnsi="Arial" w:cs="Arial"/>
                <w:sz w:val="24"/>
                <w:szCs w:val="24"/>
              </w:rPr>
              <w:t>3</w:t>
            </w:r>
          </w:p>
        </w:tc>
        <w:tc>
          <w:tcPr>
            <w:tcW w:w="8275" w:type="dxa"/>
          </w:tcPr>
          <w:p w14:paraId="16E59E55" w14:textId="366F3619" w:rsidR="006C549D" w:rsidRPr="0049707E" w:rsidRDefault="006C549D" w:rsidP="00AA236F">
            <w:pPr>
              <w:pStyle w:val="VBAILTbullet1"/>
              <w:numPr>
                <w:ilvl w:val="0"/>
                <w:numId w:val="0"/>
              </w:numPr>
              <w:rPr>
                <w:rFonts w:ascii="Arial" w:hAnsi="Arial" w:cs="Arial"/>
                <w:sz w:val="24"/>
                <w:szCs w:val="24"/>
              </w:rPr>
            </w:pPr>
            <w:r w:rsidRPr="0049707E">
              <w:rPr>
                <w:rFonts w:ascii="Arial" w:hAnsi="Arial" w:cs="Arial"/>
                <w:sz w:val="24"/>
                <w:szCs w:val="24"/>
              </w:rPr>
              <w:t>Initiate any necessary development for entitlement issues, to include gathering STRs.</w:t>
            </w:r>
          </w:p>
        </w:tc>
      </w:tr>
      <w:tr w:rsidR="006C549D" w:rsidRPr="0049707E" w14:paraId="71D2DF0D" w14:textId="77777777" w:rsidTr="006C549D">
        <w:trPr>
          <w:trHeight w:val="248"/>
        </w:trPr>
        <w:tc>
          <w:tcPr>
            <w:tcW w:w="1075" w:type="dxa"/>
            <w:vMerge/>
          </w:tcPr>
          <w:p w14:paraId="331457F8" w14:textId="77777777" w:rsidR="006C549D" w:rsidRPr="0049707E" w:rsidRDefault="006C549D" w:rsidP="00AA236F">
            <w:pPr>
              <w:pStyle w:val="VBAILTbullet1"/>
              <w:numPr>
                <w:ilvl w:val="0"/>
                <w:numId w:val="0"/>
              </w:numPr>
              <w:rPr>
                <w:rFonts w:ascii="Arial" w:hAnsi="Arial" w:cs="Arial"/>
                <w:sz w:val="24"/>
                <w:szCs w:val="24"/>
              </w:rPr>
            </w:pPr>
          </w:p>
        </w:tc>
        <w:tc>
          <w:tcPr>
            <w:tcW w:w="8275" w:type="dxa"/>
          </w:tcPr>
          <w:p w14:paraId="1A3D075D" w14:textId="77777777" w:rsidR="006C549D" w:rsidRPr="0049707E" w:rsidRDefault="006C549D" w:rsidP="00AA236F">
            <w:pPr>
              <w:pStyle w:val="VBAILTbullet1"/>
              <w:numPr>
                <w:ilvl w:val="0"/>
                <w:numId w:val="0"/>
              </w:numPr>
              <w:rPr>
                <w:rFonts w:ascii="Arial" w:hAnsi="Arial" w:cs="Arial"/>
                <w:b/>
                <w:bCs/>
                <w:sz w:val="24"/>
                <w:szCs w:val="24"/>
              </w:rPr>
            </w:pPr>
            <w:r w:rsidRPr="0049707E">
              <w:rPr>
                <w:rFonts w:ascii="Arial" w:hAnsi="Arial" w:cs="Arial"/>
                <w:b/>
                <w:bCs/>
                <w:sz w:val="24"/>
                <w:szCs w:val="24"/>
              </w:rPr>
              <w:t>References:</w:t>
            </w:r>
          </w:p>
          <w:p w14:paraId="78082848" w14:textId="77777777" w:rsidR="006C549D" w:rsidRPr="0049707E" w:rsidRDefault="006C549D" w:rsidP="00E44600">
            <w:pPr>
              <w:pStyle w:val="VBAILTbullet1"/>
              <w:numPr>
                <w:ilvl w:val="0"/>
                <w:numId w:val="9"/>
              </w:numPr>
              <w:rPr>
                <w:rFonts w:ascii="Arial" w:hAnsi="Arial" w:cs="Arial"/>
                <w:sz w:val="24"/>
                <w:szCs w:val="24"/>
              </w:rPr>
            </w:pPr>
            <w:r w:rsidRPr="0049707E">
              <w:rPr>
                <w:rFonts w:ascii="Arial" w:hAnsi="Arial" w:cs="Arial"/>
                <w:sz w:val="24"/>
                <w:szCs w:val="24"/>
              </w:rPr>
              <w:t xml:space="preserve">obtaining STRs, see M21-1, Part III, Subpart ii, 2.B </w:t>
            </w:r>
          </w:p>
          <w:p w14:paraId="12B692B2" w14:textId="77777777" w:rsidR="006C549D" w:rsidRPr="0049707E" w:rsidRDefault="006C549D" w:rsidP="00E44600">
            <w:pPr>
              <w:pStyle w:val="VBAILTbullet1"/>
              <w:numPr>
                <w:ilvl w:val="0"/>
                <w:numId w:val="9"/>
              </w:numPr>
              <w:rPr>
                <w:rFonts w:ascii="Arial" w:hAnsi="Arial" w:cs="Arial"/>
                <w:sz w:val="24"/>
                <w:szCs w:val="24"/>
              </w:rPr>
            </w:pPr>
            <w:r w:rsidRPr="0049707E">
              <w:rPr>
                <w:rFonts w:ascii="Arial" w:hAnsi="Arial" w:cs="Arial"/>
                <w:sz w:val="24"/>
                <w:szCs w:val="24"/>
              </w:rPr>
              <w:t xml:space="preserve">common DIC processing issues, see M21-1, Part XII, Subpart i, 1.B, and </w:t>
            </w:r>
          </w:p>
          <w:p w14:paraId="2E7FA467" w14:textId="39ABB9C9" w:rsidR="006C549D" w:rsidRPr="0049707E" w:rsidRDefault="006C549D" w:rsidP="00E44600">
            <w:pPr>
              <w:pStyle w:val="VBAILTbullet1"/>
              <w:numPr>
                <w:ilvl w:val="0"/>
                <w:numId w:val="9"/>
              </w:numPr>
              <w:rPr>
                <w:rFonts w:ascii="Arial" w:hAnsi="Arial" w:cs="Arial"/>
                <w:sz w:val="24"/>
                <w:szCs w:val="24"/>
              </w:rPr>
            </w:pPr>
            <w:r w:rsidRPr="0049707E">
              <w:rPr>
                <w:rFonts w:ascii="Arial" w:hAnsi="Arial" w:cs="Arial"/>
                <w:sz w:val="24"/>
                <w:szCs w:val="24"/>
              </w:rPr>
              <w:t>general claims development, see M21-1, Part III, Subpart i, 2.A-F</w:t>
            </w:r>
          </w:p>
        </w:tc>
      </w:tr>
      <w:tr w:rsidR="006C549D" w:rsidRPr="0049707E" w14:paraId="737A938C" w14:textId="77777777" w:rsidTr="006C549D">
        <w:trPr>
          <w:trHeight w:val="248"/>
        </w:trPr>
        <w:tc>
          <w:tcPr>
            <w:tcW w:w="1075" w:type="dxa"/>
          </w:tcPr>
          <w:p w14:paraId="0896835A" w14:textId="407B4E6E" w:rsidR="006C549D" w:rsidRPr="0049707E" w:rsidRDefault="006C549D" w:rsidP="00AA236F">
            <w:pPr>
              <w:pStyle w:val="VBAILTbullet1"/>
              <w:numPr>
                <w:ilvl w:val="0"/>
                <w:numId w:val="0"/>
              </w:numPr>
              <w:rPr>
                <w:rFonts w:ascii="Arial" w:hAnsi="Arial" w:cs="Arial"/>
                <w:sz w:val="24"/>
                <w:szCs w:val="24"/>
              </w:rPr>
            </w:pPr>
            <w:r w:rsidRPr="0049707E">
              <w:rPr>
                <w:rFonts w:ascii="Arial" w:hAnsi="Arial" w:cs="Arial"/>
                <w:sz w:val="24"/>
                <w:szCs w:val="24"/>
              </w:rPr>
              <w:t>4</w:t>
            </w:r>
          </w:p>
        </w:tc>
        <w:tc>
          <w:tcPr>
            <w:tcW w:w="8275" w:type="dxa"/>
          </w:tcPr>
          <w:p w14:paraId="1139DA5B" w14:textId="22C61F82" w:rsidR="006C549D" w:rsidRPr="0049707E" w:rsidRDefault="006C549D" w:rsidP="00AA236F">
            <w:pPr>
              <w:pStyle w:val="VBAILTbullet1"/>
              <w:numPr>
                <w:ilvl w:val="0"/>
                <w:numId w:val="0"/>
              </w:numPr>
              <w:rPr>
                <w:rFonts w:ascii="Arial" w:hAnsi="Arial" w:cs="Arial"/>
                <w:sz w:val="24"/>
                <w:szCs w:val="24"/>
              </w:rPr>
            </w:pPr>
            <w:r w:rsidRPr="0049707E">
              <w:rPr>
                <w:rFonts w:ascii="Arial" w:hAnsi="Arial" w:cs="Arial"/>
                <w:sz w:val="24"/>
                <w:szCs w:val="24"/>
              </w:rPr>
              <w:t>Continue processing the claim under existing DIC processing guidance unless otherwise specified within this letter.</w:t>
            </w:r>
          </w:p>
        </w:tc>
      </w:tr>
      <w:tr w:rsidR="006C549D" w:rsidRPr="0049707E" w14:paraId="384DE4FF" w14:textId="77777777" w:rsidTr="006C549D">
        <w:trPr>
          <w:trHeight w:val="248"/>
        </w:trPr>
        <w:tc>
          <w:tcPr>
            <w:tcW w:w="1075" w:type="dxa"/>
          </w:tcPr>
          <w:p w14:paraId="6F0573AC" w14:textId="1F56CF20" w:rsidR="006C549D" w:rsidRPr="0049707E" w:rsidRDefault="006C549D" w:rsidP="00AA236F">
            <w:pPr>
              <w:pStyle w:val="VBAILTbullet1"/>
              <w:numPr>
                <w:ilvl w:val="0"/>
                <w:numId w:val="0"/>
              </w:numPr>
              <w:rPr>
                <w:rFonts w:ascii="Arial" w:hAnsi="Arial" w:cs="Arial"/>
                <w:sz w:val="24"/>
                <w:szCs w:val="24"/>
              </w:rPr>
            </w:pPr>
            <w:r w:rsidRPr="0049707E">
              <w:rPr>
                <w:rFonts w:ascii="Arial" w:hAnsi="Arial" w:cs="Arial"/>
                <w:sz w:val="24"/>
                <w:szCs w:val="24"/>
              </w:rPr>
              <w:t>5</w:t>
            </w:r>
          </w:p>
        </w:tc>
        <w:tc>
          <w:tcPr>
            <w:tcW w:w="8275" w:type="dxa"/>
          </w:tcPr>
          <w:p w14:paraId="3F3390FC" w14:textId="7E6D537D" w:rsidR="006C549D" w:rsidRPr="0049707E" w:rsidRDefault="006C549D" w:rsidP="00AA236F">
            <w:pPr>
              <w:pStyle w:val="VBAILTbullet1"/>
              <w:numPr>
                <w:ilvl w:val="0"/>
                <w:numId w:val="0"/>
              </w:numPr>
              <w:rPr>
                <w:rFonts w:ascii="Arial" w:hAnsi="Arial" w:cs="Arial"/>
                <w:sz w:val="24"/>
                <w:szCs w:val="24"/>
              </w:rPr>
            </w:pPr>
            <w:r w:rsidRPr="0049707E">
              <w:rPr>
                <w:rFonts w:ascii="Arial" w:hAnsi="Arial" w:cs="Arial"/>
                <w:sz w:val="24"/>
                <w:szCs w:val="24"/>
              </w:rPr>
              <w:t>At the authorization stage, if a deferral is necessary, defer all PACT Act-impacted contentions using the appropriate deferral reason.</w:t>
            </w:r>
          </w:p>
        </w:tc>
      </w:tr>
    </w:tbl>
    <w:p w14:paraId="1C6E6917" w14:textId="32B043C9" w:rsidR="00824B09" w:rsidRPr="0049707E" w:rsidRDefault="00824B09">
      <w:pPr>
        <w:rPr>
          <w:rFonts w:ascii="Arial" w:hAnsi="Arial" w:cs="Arial"/>
          <w:sz w:val="24"/>
          <w:szCs w:val="24"/>
        </w:rPr>
      </w:pPr>
    </w:p>
    <w:p w14:paraId="52C25A6A" w14:textId="6772D559" w:rsidR="00824B09" w:rsidRPr="0049707E" w:rsidRDefault="00824B09" w:rsidP="00824B09">
      <w:pPr>
        <w:pStyle w:val="VBAILTHeading2"/>
        <w:rPr>
          <w:rFonts w:ascii="Arial" w:hAnsi="Arial" w:cs="Arial"/>
        </w:rPr>
      </w:pPr>
      <w:bookmarkStart w:id="11" w:name="_Toc169247177"/>
      <w:r w:rsidRPr="0049707E">
        <w:rPr>
          <w:rFonts w:ascii="Arial" w:hAnsi="Arial" w:cs="Arial"/>
        </w:rPr>
        <w:t>Processing DIC Claims for Reevaluation of Previously Denied DIC</w:t>
      </w:r>
      <w:bookmarkEnd w:id="11"/>
    </w:p>
    <w:p w14:paraId="13FE2FFD" w14:textId="355D7A55" w:rsidR="00824B09" w:rsidRPr="0049707E" w:rsidRDefault="00824B09" w:rsidP="00AA236F">
      <w:pPr>
        <w:pStyle w:val="VBAILTbullet1"/>
        <w:numPr>
          <w:ilvl w:val="0"/>
          <w:numId w:val="0"/>
        </w:numPr>
        <w:rPr>
          <w:rFonts w:ascii="Arial" w:hAnsi="Arial" w:cs="Arial"/>
          <w:sz w:val="24"/>
          <w:szCs w:val="24"/>
        </w:rPr>
      </w:pPr>
      <w:r w:rsidRPr="0049707E">
        <w:rPr>
          <w:rFonts w:ascii="Arial" w:hAnsi="Arial" w:cs="Arial"/>
          <w:sz w:val="24"/>
          <w:szCs w:val="24"/>
        </w:rPr>
        <w:t>Requirements for submission of a valid claim for DIC have changed over time. Prior to March 24, 2015, a standardized claim form was not a requirement for a substantially complete application (M21-1, Part II, Subpart iii, 2.A.1.a</w:t>
      </w:r>
      <w:r w:rsidR="000820B1" w:rsidRPr="0049707E">
        <w:rPr>
          <w:rFonts w:ascii="Arial" w:hAnsi="Arial" w:cs="Arial"/>
          <w:sz w:val="24"/>
          <w:szCs w:val="24"/>
        </w:rPr>
        <w:t>.,</w:t>
      </w:r>
      <w:r w:rsidRPr="0049707E">
        <w:rPr>
          <w:rFonts w:ascii="Arial" w:hAnsi="Arial" w:cs="Arial"/>
          <w:sz w:val="24"/>
          <w:szCs w:val="24"/>
        </w:rPr>
        <w:t xml:space="preserve"> and M21-1, Part I, Subpart i, 1.A.4.f.).</w:t>
      </w:r>
    </w:p>
    <w:p w14:paraId="111D5AFE" w14:textId="667ED5B4" w:rsidR="00824B09" w:rsidRDefault="00824B09" w:rsidP="00AA236F">
      <w:pPr>
        <w:pStyle w:val="VBAILTbullet1"/>
        <w:numPr>
          <w:ilvl w:val="0"/>
          <w:numId w:val="0"/>
        </w:numPr>
        <w:rPr>
          <w:rFonts w:ascii="Arial" w:hAnsi="Arial" w:cs="Arial"/>
          <w:sz w:val="24"/>
          <w:szCs w:val="24"/>
        </w:rPr>
      </w:pPr>
      <w:r w:rsidRPr="0049707E">
        <w:rPr>
          <w:rFonts w:ascii="Arial" w:hAnsi="Arial" w:cs="Arial"/>
          <w:sz w:val="24"/>
          <w:szCs w:val="24"/>
        </w:rPr>
        <w:t>If the corporate record does not indicate a claim for DIC has been previously filed, claims processors must exhaust all methods to determine if a claim has been previously filed, such as completing a full review of the claims folder to identify any documentation showing a previous claim for DIC (eFolder and physical claims folder if necessary), prior to moving to the next step.</w:t>
      </w:r>
    </w:p>
    <w:p w14:paraId="2AD94038" w14:textId="6B817869" w:rsidR="004F7416" w:rsidRDefault="004F7416" w:rsidP="00AA236F">
      <w:pPr>
        <w:pStyle w:val="VBAILTbullet1"/>
        <w:numPr>
          <w:ilvl w:val="0"/>
          <w:numId w:val="0"/>
        </w:numPr>
        <w:rPr>
          <w:rFonts w:ascii="Arial" w:hAnsi="Arial" w:cs="Arial"/>
          <w:sz w:val="24"/>
          <w:szCs w:val="24"/>
        </w:rPr>
      </w:pPr>
    </w:p>
    <w:p w14:paraId="60F54CB4" w14:textId="77777777" w:rsidR="004F7416" w:rsidRPr="0049707E" w:rsidRDefault="004F7416" w:rsidP="00AA236F">
      <w:pPr>
        <w:pStyle w:val="VBAILTbullet1"/>
        <w:numPr>
          <w:ilvl w:val="0"/>
          <w:numId w:val="0"/>
        </w:numPr>
        <w:rPr>
          <w:rFonts w:ascii="Arial" w:hAnsi="Arial" w:cs="Arial"/>
          <w:sz w:val="24"/>
          <w:szCs w:val="24"/>
        </w:rPr>
      </w:pPr>
    </w:p>
    <w:p w14:paraId="2260742E" w14:textId="64FB33C6" w:rsidR="006C549D" w:rsidRPr="0049707E" w:rsidRDefault="00824B09" w:rsidP="00AA236F">
      <w:pPr>
        <w:pStyle w:val="VBAILTbullet1"/>
        <w:numPr>
          <w:ilvl w:val="0"/>
          <w:numId w:val="0"/>
        </w:numPr>
        <w:rPr>
          <w:rFonts w:ascii="Arial" w:hAnsi="Arial" w:cs="Arial"/>
          <w:b/>
          <w:bCs/>
          <w:sz w:val="24"/>
          <w:szCs w:val="24"/>
        </w:rPr>
      </w:pPr>
      <w:r w:rsidRPr="0049707E">
        <w:rPr>
          <w:rFonts w:ascii="Arial" w:hAnsi="Arial" w:cs="Arial"/>
          <w:b/>
          <w:bCs/>
          <w:sz w:val="24"/>
          <w:szCs w:val="24"/>
        </w:rPr>
        <w:lastRenderedPageBreak/>
        <w:t xml:space="preserve">Follow the below guidance when processing DIC claims for reevaluation of a previously </w:t>
      </w:r>
      <w:r w:rsidRPr="0049707E">
        <w:rPr>
          <w:rFonts w:ascii="Arial" w:hAnsi="Arial" w:cs="Arial"/>
          <w:b/>
          <w:bCs/>
          <w:sz w:val="24"/>
          <w:szCs w:val="24"/>
          <w:u w:val="single"/>
        </w:rPr>
        <w:t>denied</w:t>
      </w:r>
      <w:r w:rsidRPr="0049707E">
        <w:rPr>
          <w:rFonts w:ascii="Arial" w:hAnsi="Arial" w:cs="Arial"/>
          <w:b/>
          <w:bCs/>
          <w:sz w:val="24"/>
          <w:szCs w:val="24"/>
        </w:rPr>
        <w:t xml:space="preserve"> PACT Act-related claim for DIC.</w:t>
      </w:r>
    </w:p>
    <w:tbl>
      <w:tblPr>
        <w:tblStyle w:val="TableGrid"/>
        <w:tblW w:w="0" w:type="auto"/>
        <w:tblLook w:val="04A0" w:firstRow="1" w:lastRow="0" w:firstColumn="1" w:lastColumn="0" w:noHBand="0" w:noVBand="1"/>
      </w:tblPr>
      <w:tblGrid>
        <w:gridCol w:w="773"/>
        <w:gridCol w:w="4442"/>
        <w:gridCol w:w="3960"/>
      </w:tblGrid>
      <w:tr w:rsidR="00824B09" w:rsidRPr="0049707E" w14:paraId="2057F913" w14:textId="77777777" w:rsidTr="00D933EB">
        <w:tc>
          <w:tcPr>
            <w:tcW w:w="773" w:type="dxa"/>
          </w:tcPr>
          <w:p w14:paraId="43A82382" w14:textId="0B6F982F" w:rsidR="00824B09" w:rsidRPr="0049707E" w:rsidRDefault="00824B09" w:rsidP="00AA236F">
            <w:pPr>
              <w:pStyle w:val="VBAILTbullet1"/>
              <w:numPr>
                <w:ilvl w:val="0"/>
                <w:numId w:val="0"/>
              </w:numPr>
              <w:rPr>
                <w:rFonts w:ascii="Arial" w:hAnsi="Arial" w:cs="Arial"/>
                <w:b/>
                <w:bCs/>
                <w:sz w:val="24"/>
                <w:szCs w:val="24"/>
              </w:rPr>
            </w:pPr>
            <w:r w:rsidRPr="0049707E">
              <w:rPr>
                <w:rFonts w:ascii="Arial" w:hAnsi="Arial" w:cs="Arial"/>
                <w:b/>
                <w:bCs/>
                <w:sz w:val="24"/>
                <w:szCs w:val="24"/>
              </w:rPr>
              <w:t>Step</w:t>
            </w:r>
          </w:p>
        </w:tc>
        <w:tc>
          <w:tcPr>
            <w:tcW w:w="8402" w:type="dxa"/>
            <w:gridSpan w:val="2"/>
          </w:tcPr>
          <w:p w14:paraId="24670C84" w14:textId="1B47BC27" w:rsidR="00824B09" w:rsidRPr="0049707E" w:rsidRDefault="00824B09" w:rsidP="00AA236F">
            <w:pPr>
              <w:pStyle w:val="VBAILTbullet1"/>
              <w:numPr>
                <w:ilvl w:val="0"/>
                <w:numId w:val="0"/>
              </w:numPr>
              <w:rPr>
                <w:rFonts w:ascii="Arial" w:hAnsi="Arial" w:cs="Arial"/>
                <w:b/>
                <w:bCs/>
                <w:sz w:val="24"/>
                <w:szCs w:val="24"/>
              </w:rPr>
            </w:pPr>
            <w:r w:rsidRPr="0049707E">
              <w:rPr>
                <w:rFonts w:ascii="Arial" w:hAnsi="Arial" w:cs="Arial"/>
                <w:b/>
                <w:bCs/>
                <w:sz w:val="24"/>
                <w:szCs w:val="24"/>
              </w:rPr>
              <w:t>Action</w:t>
            </w:r>
          </w:p>
        </w:tc>
      </w:tr>
      <w:tr w:rsidR="00824B09" w:rsidRPr="0049707E" w14:paraId="0DC2EDC1" w14:textId="77777777" w:rsidTr="00D933EB">
        <w:tc>
          <w:tcPr>
            <w:tcW w:w="773" w:type="dxa"/>
          </w:tcPr>
          <w:p w14:paraId="12AAD266" w14:textId="0A27CC60" w:rsidR="00824B09" w:rsidRPr="0049707E" w:rsidRDefault="00824B09" w:rsidP="00AA236F">
            <w:pPr>
              <w:pStyle w:val="VBAILTbullet1"/>
              <w:numPr>
                <w:ilvl w:val="0"/>
                <w:numId w:val="0"/>
              </w:numPr>
              <w:rPr>
                <w:rFonts w:ascii="Arial" w:hAnsi="Arial" w:cs="Arial"/>
                <w:sz w:val="24"/>
                <w:szCs w:val="24"/>
              </w:rPr>
            </w:pPr>
            <w:r w:rsidRPr="0049707E">
              <w:rPr>
                <w:rFonts w:ascii="Arial" w:hAnsi="Arial" w:cs="Arial"/>
                <w:sz w:val="24"/>
                <w:szCs w:val="24"/>
              </w:rPr>
              <w:t>1</w:t>
            </w:r>
          </w:p>
        </w:tc>
        <w:tc>
          <w:tcPr>
            <w:tcW w:w="8402" w:type="dxa"/>
            <w:gridSpan w:val="2"/>
          </w:tcPr>
          <w:p w14:paraId="3E563F30" w14:textId="32C11F65" w:rsidR="00824B09" w:rsidRPr="0049707E" w:rsidRDefault="00824B09" w:rsidP="00AA236F">
            <w:pPr>
              <w:pStyle w:val="VBAILTbullet1"/>
              <w:numPr>
                <w:ilvl w:val="0"/>
                <w:numId w:val="0"/>
              </w:numPr>
              <w:rPr>
                <w:rFonts w:ascii="Arial" w:hAnsi="Arial" w:cs="Arial"/>
                <w:sz w:val="24"/>
                <w:szCs w:val="24"/>
              </w:rPr>
            </w:pPr>
            <w:r w:rsidRPr="0049707E">
              <w:rPr>
                <w:rFonts w:ascii="Arial" w:hAnsi="Arial" w:cs="Arial"/>
                <w:sz w:val="24"/>
                <w:szCs w:val="24"/>
              </w:rPr>
              <w:t>Review the submitted claim to confirm that a request for a reevaluation of a previously denied DIC claim, has been received by the original claimant or valid substitute claimant.</w:t>
            </w:r>
          </w:p>
        </w:tc>
      </w:tr>
      <w:tr w:rsidR="00824B09" w:rsidRPr="0049707E" w14:paraId="7969F4B0" w14:textId="77777777" w:rsidTr="00D933EB">
        <w:tc>
          <w:tcPr>
            <w:tcW w:w="773" w:type="dxa"/>
          </w:tcPr>
          <w:p w14:paraId="69B7E159" w14:textId="70DCEC9C" w:rsidR="00824B09" w:rsidRPr="0049707E" w:rsidRDefault="00824B09" w:rsidP="00AA236F">
            <w:pPr>
              <w:pStyle w:val="VBAILTbullet1"/>
              <w:numPr>
                <w:ilvl w:val="0"/>
                <w:numId w:val="0"/>
              </w:numPr>
              <w:rPr>
                <w:rFonts w:ascii="Arial" w:hAnsi="Arial" w:cs="Arial"/>
                <w:sz w:val="24"/>
                <w:szCs w:val="24"/>
              </w:rPr>
            </w:pPr>
            <w:r w:rsidRPr="0049707E">
              <w:rPr>
                <w:rFonts w:ascii="Arial" w:hAnsi="Arial" w:cs="Arial"/>
                <w:sz w:val="24"/>
                <w:szCs w:val="24"/>
              </w:rPr>
              <w:t>2</w:t>
            </w:r>
          </w:p>
        </w:tc>
        <w:tc>
          <w:tcPr>
            <w:tcW w:w="8402" w:type="dxa"/>
            <w:gridSpan w:val="2"/>
          </w:tcPr>
          <w:p w14:paraId="4E4CF543" w14:textId="7D4246DB" w:rsidR="00824B09" w:rsidRPr="0049707E" w:rsidRDefault="00824B09" w:rsidP="00AA236F">
            <w:pPr>
              <w:pStyle w:val="VBAILTbullet1"/>
              <w:numPr>
                <w:ilvl w:val="0"/>
                <w:numId w:val="0"/>
              </w:numPr>
              <w:rPr>
                <w:rFonts w:ascii="Arial" w:hAnsi="Arial" w:cs="Arial"/>
                <w:sz w:val="24"/>
                <w:szCs w:val="24"/>
              </w:rPr>
            </w:pPr>
            <w:r w:rsidRPr="0049707E">
              <w:rPr>
                <w:rFonts w:ascii="Arial" w:hAnsi="Arial" w:cs="Arial"/>
                <w:sz w:val="24"/>
                <w:szCs w:val="24"/>
              </w:rPr>
              <w:t xml:space="preserve">Establish claims as described within the content titled, Manual Claims Establishment section of this letter, </w:t>
            </w:r>
            <w:r w:rsidRPr="0049707E">
              <w:rPr>
                <w:rFonts w:ascii="Arial" w:hAnsi="Arial" w:cs="Arial"/>
                <w:b/>
                <w:bCs/>
                <w:sz w:val="24"/>
                <w:szCs w:val="24"/>
              </w:rPr>
              <w:t>and</w:t>
            </w:r>
            <w:r w:rsidRPr="0049707E">
              <w:rPr>
                <w:rFonts w:ascii="Arial" w:hAnsi="Arial" w:cs="Arial"/>
                <w:sz w:val="24"/>
                <w:szCs w:val="24"/>
              </w:rPr>
              <w:t xml:space="preserve"> add the PACT ACT DIC Reevaluation special issue to the DIC contention in VBMS</w:t>
            </w:r>
            <w:r w:rsidR="00D933EB" w:rsidRPr="0049707E">
              <w:rPr>
                <w:rFonts w:ascii="Arial" w:hAnsi="Arial" w:cs="Arial"/>
                <w:sz w:val="24"/>
                <w:szCs w:val="24"/>
              </w:rPr>
              <w:t>.</w:t>
            </w:r>
          </w:p>
        </w:tc>
      </w:tr>
      <w:tr w:rsidR="00824B09" w:rsidRPr="0049707E" w14:paraId="412995FA" w14:textId="77777777" w:rsidTr="00D933EB">
        <w:tc>
          <w:tcPr>
            <w:tcW w:w="773" w:type="dxa"/>
          </w:tcPr>
          <w:p w14:paraId="1E0E73D8" w14:textId="27EC5F6B" w:rsidR="00824B09" w:rsidRPr="0049707E" w:rsidRDefault="00824B09" w:rsidP="00AA236F">
            <w:pPr>
              <w:pStyle w:val="VBAILTbullet1"/>
              <w:numPr>
                <w:ilvl w:val="0"/>
                <w:numId w:val="0"/>
              </w:numPr>
              <w:rPr>
                <w:rFonts w:ascii="Arial" w:hAnsi="Arial" w:cs="Arial"/>
                <w:sz w:val="24"/>
                <w:szCs w:val="24"/>
              </w:rPr>
            </w:pPr>
            <w:r w:rsidRPr="0049707E">
              <w:rPr>
                <w:rFonts w:ascii="Arial" w:hAnsi="Arial" w:cs="Arial"/>
                <w:sz w:val="24"/>
                <w:szCs w:val="24"/>
              </w:rPr>
              <w:t>3</w:t>
            </w:r>
          </w:p>
        </w:tc>
        <w:tc>
          <w:tcPr>
            <w:tcW w:w="8402" w:type="dxa"/>
            <w:gridSpan w:val="2"/>
          </w:tcPr>
          <w:p w14:paraId="2B7EF92A" w14:textId="43DD6EF0" w:rsidR="00824B09" w:rsidRPr="0049707E" w:rsidRDefault="00824B09" w:rsidP="00AA236F">
            <w:pPr>
              <w:pStyle w:val="VBAILTbullet1"/>
              <w:numPr>
                <w:ilvl w:val="0"/>
                <w:numId w:val="0"/>
              </w:numPr>
              <w:rPr>
                <w:rFonts w:ascii="Arial" w:hAnsi="Arial" w:cs="Arial"/>
                <w:sz w:val="24"/>
                <w:szCs w:val="24"/>
              </w:rPr>
            </w:pPr>
            <w:r w:rsidRPr="0049707E">
              <w:rPr>
                <w:rFonts w:ascii="Arial" w:hAnsi="Arial" w:cs="Arial"/>
                <w:sz w:val="24"/>
                <w:szCs w:val="24"/>
              </w:rPr>
              <w:t xml:space="preserve">Claims processors should utilize the corporate record in Share, and/or VBMS, to identify the date of claim of a previously established EP 140, or the dates of claim of any subsequent EP 020, </w:t>
            </w:r>
            <w:r w:rsidRPr="0049707E">
              <w:rPr>
                <w:rFonts w:ascii="Arial" w:hAnsi="Arial" w:cs="Arial"/>
                <w:b/>
                <w:bCs/>
                <w:sz w:val="24"/>
                <w:szCs w:val="24"/>
              </w:rPr>
              <w:t>and</w:t>
            </w:r>
            <w:r w:rsidRPr="0049707E">
              <w:rPr>
                <w:rFonts w:ascii="Arial" w:hAnsi="Arial" w:cs="Arial"/>
                <w:sz w:val="24"/>
                <w:szCs w:val="24"/>
              </w:rPr>
              <w:t xml:space="preserve"> use these dates as a basis to review documents in the claims folder.</w:t>
            </w:r>
          </w:p>
        </w:tc>
      </w:tr>
      <w:tr w:rsidR="00AB1522" w:rsidRPr="0049707E" w14:paraId="3D4E4053" w14:textId="77777777" w:rsidTr="00D933EB">
        <w:trPr>
          <w:trHeight w:val="289"/>
        </w:trPr>
        <w:tc>
          <w:tcPr>
            <w:tcW w:w="773" w:type="dxa"/>
            <w:vMerge w:val="restart"/>
          </w:tcPr>
          <w:p w14:paraId="1B5A4619" w14:textId="7E0689B0" w:rsidR="00AB1522" w:rsidRPr="0049707E" w:rsidRDefault="00AB1522" w:rsidP="00AA236F">
            <w:pPr>
              <w:pStyle w:val="VBAILTbullet1"/>
              <w:numPr>
                <w:ilvl w:val="0"/>
                <w:numId w:val="0"/>
              </w:numPr>
              <w:rPr>
                <w:rFonts w:ascii="Arial" w:hAnsi="Arial" w:cs="Arial"/>
                <w:sz w:val="24"/>
                <w:szCs w:val="24"/>
              </w:rPr>
            </w:pPr>
            <w:r w:rsidRPr="0049707E">
              <w:rPr>
                <w:rFonts w:ascii="Arial" w:hAnsi="Arial" w:cs="Arial"/>
                <w:sz w:val="24"/>
                <w:szCs w:val="24"/>
              </w:rPr>
              <w:t>4</w:t>
            </w:r>
          </w:p>
        </w:tc>
        <w:tc>
          <w:tcPr>
            <w:tcW w:w="8402" w:type="dxa"/>
            <w:gridSpan w:val="2"/>
          </w:tcPr>
          <w:p w14:paraId="713FF2B0" w14:textId="4E08AF78" w:rsidR="00AB1522" w:rsidRPr="0049707E" w:rsidRDefault="00AB1522" w:rsidP="004C4FBD">
            <w:pPr>
              <w:pStyle w:val="VBAILTbullet1"/>
              <w:numPr>
                <w:ilvl w:val="0"/>
                <w:numId w:val="0"/>
              </w:numPr>
              <w:rPr>
                <w:rFonts w:ascii="Arial" w:hAnsi="Arial" w:cs="Arial"/>
                <w:sz w:val="24"/>
                <w:szCs w:val="24"/>
              </w:rPr>
            </w:pPr>
            <w:r w:rsidRPr="0049707E">
              <w:rPr>
                <w:rFonts w:ascii="Arial" w:hAnsi="Arial" w:cs="Arial"/>
                <w:sz w:val="24"/>
                <w:szCs w:val="24"/>
              </w:rPr>
              <w:t>If a valid claim for reevaluation is shown go to Step 5.</w:t>
            </w:r>
          </w:p>
        </w:tc>
      </w:tr>
      <w:tr w:rsidR="00AB1522" w:rsidRPr="0049707E" w14:paraId="526CA388" w14:textId="77777777" w:rsidTr="00D933EB">
        <w:trPr>
          <w:trHeight w:val="289"/>
        </w:trPr>
        <w:tc>
          <w:tcPr>
            <w:tcW w:w="773" w:type="dxa"/>
            <w:vMerge/>
          </w:tcPr>
          <w:p w14:paraId="6F7EC569" w14:textId="77777777" w:rsidR="00AB1522" w:rsidRPr="0049707E" w:rsidRDefault="00AB1522" w:rsidP="00AA236F">
            <w:pPr>
              <w:pStyle w:val="VBAILTbullet1"/>
              <w:numPr>
                <w:ilvl w:val="0"/>
                <w:numId w:val="0"/>
              </w:numPr>
              <w:rPr>
                <w:rFonts w:ascii="Arial" w:hAnsi="Arial" w:cs="Arial"/>
                <w:sz w:val="24"/>
                <w:szCs w:val="24"/>
              </w:rPr>
            </w:pPr>
          </w:p>
        </w:tc>
        <w:tc>
          <w:tcPr>
            <w:tcW w:w="4442" w:type="dxa"/>
          </w:tcPr>
          <w:p w14:paraId="0A34E902" w14:textId="3AD3BD84" w:rsidR="004C4FBD" w:rsidRPr="0049707E" w:rsidRDefault="00AB1522" w:rsidP="00D933EB">
            <w:pPr>
              <w:pStyle w:val="VBAILTbullet1"/>
              <w:numPr>
                <w:ilvl w:val="0"/>
                <w:numId w:val="0"/>
              </w:numPr>
              <w:rPr>
                <w:rFonts w:ascii="Arial" w:hAnsi="Arial" w:cs="Arial"/>
                <w:sz w:val="24"/>
                <w:szCs w:val="24"/>
              </w:rPr>
            </w:pPr>
            <w:r w:rsidRPr="0049707E">
              <w:rPr>
                <w:rFonts w:ascii="Arial" w:hAnsi="Arial" w:cs="Arial"/>
                <w:b/>
                <w:bCs/>
                <w:sz w:val="24"/>
                <w:szCs w:val="24"/>
              </w:rPr>
              <w:t xml:space="preserve">If </w:t>
            </w:r>
            <w:r w:rsidRPr="0049707E">
              <w:rPr>
                <w:rFonts w:ascii="Arial" w:hAnsi="Arial" w:cs="Arial"/>
                <w:sz w:val="24"/>
                <w:szCs w:val="24"/>
              </w:rPr>
              <w:t xml:space="preserve">the corporate record indicates no original claim for survivor benefits was ever previously filed, the claims folder is void of any source documents related to a previously filed claim for survivors benefits, </w:t>
            </w:r>
            <w:r w:rsidRPr="0049707E">
              <w:rPr>
                <w:rFonts w:ascii="Arial" w:hAnsi="Arial" w:cs="Arial"/>
                <w:b/>
                <w:bCs/>
                <w:sz w:val="24"/>
                <w:szCs w:val="24"/>
              </w:rPr>
              <w:t>and</w:t>
            </w:r>
            <w:r w:rsidRPr="0049707E">
              <w:rPr>
                <w:rFonts w:ascii="Arial" w:hAnsi="Arial" w:cs="Arial"/>
                <w:sz w:val="24"/>
                <w:szCs w:val="24"/>
              </w:rPr>
              <w:t xml:space="preserve"> the current claim for survivor benefits is filed on a prescribed form with the reevaluation request</w:t>
            </w:r>
            <w:r w:rsidR="004C4FBD" w:rsidRPr="0049707E">
              <w:rPr>
                <w:rFonts w:ascii="Arial" w:hAnsi="Arial" w:cs="Arial"/>
                <w:sz w:val="24"/>
                <w:szCs w:val="24"/>
              </w:rPr>
              <w:t xml:space="preserve"> the same scenario exists as stated above, except that the current claim for reevaluation was </w:t>
            </w:r>
            <w:r w:rsidR="004C4FBD" w:rsidRPr="0049707E">
              <w:rPr>
                <w:rFonts w:ascii="Arial" w:hAnsi="Arial" w:cs="Arial"/>
                <w:b/>
                <w:bCs/>
                <w:sz w:val="24"/>
                <w:szCs w:val="24"/>
              </w:rPr>
              <w:t>not</w:t>
            </w:r>
            <w:r w:rsidR="004C4FBD" w:rsidRPr="0049707E">
              <w:rPr>
                <w:rFonts w:ascii="Arial" w:hAnsi="Arial" w:cs="Arial"/>
                <w:sz w:val="24"/>
                <w:szCs w:val="24"/>
              </w:rPr>
              <w:t xml:space="preserve"> filed on a prescribed form</w:t>
            </w:r>
            <w:r w:rsidR="00D933EB" w:rsidRPr="0049707E">
              <w:rPr>
                <w:rFonts w:ascii="Arial" w:hAnsi="Arial" w:cs="Arial"/>
                <w:sz w:val="24"/>
                <w:szCs w:val="24"/>
              </w:rPr>
              <w:t>.</w:t>
            </w:r>
          </w:p>
        </w:tc>
        <w:tc>
          <w:tcPr>
            <w:tcW w:w="3960" w:type="dxa"/>
          </w:tcPr>
          <w:p w14:paraId="6D683957" w14:textId="62554B9A" w:rsidR="00AB1522" w:rsidRPr="0049707E" w:rsidRDefault="00D933EB" w:rsidP="00AA236F">
            <w:pPr>
              <w:pStyle w:val="VBAILTbullet1"/>
              <w:numPr>
                <w:ilvl w:val="0"/>
                <w:numId w:val="0"/>
              </w:numPr>
              <w:rPr>
                <w:rFonts w:ascii="Arial" w:hAnsi="Arial" w:cs="Arial"/>
                <w:sz w:val="24"/>
                <w:szCs w:val="24"/>
              </w:rPr>
            </w:pPr>
            <w:r w:rsidRPr="0049707E">
              <w:rPr>
                <w:rFonts w:ascii="Arial" w:hAnsi="Arial" w:cs="Arial"/>
                <w:sz w:val="24"/>
                <w:szCs w:val="24"/>
              </w:rPr>
              <w:t xml:space="preserve">Then change the EP to 140, the PACT special issue must replace the PACT ACT DIC Reevaluation special issue, an initial claim for DIC should be adjudicated, </w:t>
            </w:r>
            <w:r w:rsidRPr="0049707E">
              <w:rPr>
                <w:rFonts w:ascii="Arial" w:hAnsi="Arial" w:cs="Arial"/>
                <w:b/>
                <w:bCs/>
                <w:sz w:val="24"/>
                <w:szCs w:val="24"/>
              </w:rPr>
              <w:t>and</w:t>
            </w:r>
            <w:r w:rsidRPr="0049707E">
              <w:rPr>
                <w:rFonts w:ascii="Arial" w:hAnsi="Arial" w:cs="Arial"/>
                <w:sz w:val="24"/>
                <w:szCs w:val="24"/>
              </w:rPr>
              <w:t xml:space="preserve"> the claimed reevaluation should be denied in the final notification letter, the special issue should be removed, the EP should be changed to an EP 400, a request for application should be provided to the claimant, </w:t>
            </w:r>
            <w:r w:rsidRPr="0049707E">
              <w:rPr>
                <w:rFonts w:ascii="Arial" w:hAnsi="Arial" w:cs="Arial"/>
                <w:b/>
                <w:bCs/>
                <w:sz w:val="24"/>
                <w:szCs w:val="24"/>
              </w:rPr>
              <w:t>and</w:t>
            </w:r>
            <w:r w:rsidRPr="0049707E">
              <w:rPr>
                <w:rFonts w:ascii="Arial" w:hAnsi="Arial" w:cs="Arial"/>
                <w:sz w:val="24"/>
                <w:szCs w:val="24"/>
              </w:rPr>
              <w:t xml:space="preserve"> the EP should be closed.</w:t>
            </w:r>
          </w:p>
        </w:tc>
      </w:tr>
      <w:tr w:rsidR="00D933EB" w:rsidRPr="0049707E" w14:paraId="426C4F51" w14:textId="77777777" w:rsidTr="00E524B7">
        <w:trPr>
          <w:trHeight w:val="289"/>
        </w:trPr>
        <w:tc>
          <w:tcPr>
            <w:tcW w:w="773" w:type="dxa"/>
          </w:tcPr>
          <w:p w14:paraId="383435DC" w14:textId="502BABC5" w:rsidR="00D933EB" w:rsidRPr="0049707E" w:rsidRDefault="00D933EB" w:rsidP="00AA236F">
            <w:pPr>
              <w:pStyle w:val="VBAILTbullet1"/>
              <w:numPr>
                <w:ilvl w:val="0"/>
                <w:numId w:val="0"/>
              </w:numPr>
              <w:rPr>
                <w:rFonts w:ascii="Arial" w:hAnsi="Arial" w:cs="Arial"/>
                <w:sz w:val="24"/>
                <w:szCs w:val="24"/>
              </w:rPr>
            </w:pPr>
            <w:r w:rsidRPr="0049707E">
              <w:rPr>
                <w:rFonts w:ascii="Arial" w:hAnsi="Arial" w:cs="Arial"/>
                <w:sz w:val="24"/>
                <w:szCs w:val="24"/>
              </w:rPr>
              <w:t>5</w:t>
            </w:r>
          </w:p>
        </w:tc>
        <w:tc>
          <w:tcPr>
            <w:tcW w:w="8402" w:type="dxa"/>
            <w:gridSpan w:val="2"/>
          </w:tcPr>
          <w:p w14:paraId="7CDCEC90" w14:textId="25A20685" w:rsidR="00D933EB" w:rsidRPr="0049707E" w:rsidRDefault="00D933EB" w:rsidP="00AA236F">
            <w:pPr>
              <w:pStyle w:val="VBAILTbullet1"/>
              <w:numPr>
                <w:ilvl w:val="0"/>
                <w:numId w:val="0"/>
              </w:numPr>
              <w:rPr>
                <w:rFonts w:ascii="Arial" w:hAnsi="Arial" w:cs="Arial"/>
                <w:sz w:val="24"/>
                <w:szCs w:val="24"/>
              </w:rPr>
            </w:pPr>
            <w:r w:rsidRPr="0049707E">
              <w:rPr>
                <w:rFonts w:ascii="Arial" w:hAnsi="Arial" w:cs="Arial"/>
                <w:sz w:val="24"/>
                <w:szCs w:val="24"/>
              </w:rPr>
              <w:t>Initiate any necessary development for entitlement issues, to include gathering STRs.</w:t>
            </w:r>
          </w:p>
        </w:tc>
      </w:tr>
      <w:tr w:rsidR="00D933EB" w:rsidRPr="0049707E" w14:paraId="388580DE" w14:textId="77777777" w:rsidTr="00E524B7">
        <w:trPr>
          <w:trHeight w:val="289"/>
        </w:trPr>
        <w:tc>
          <w:tcPr>
            <w:tcW w:w="773" w:type="dxa"/>
          </w:tcPr>
          <w:p w14:paraId="70DDB07B" w14:textId="74AD9FE9" w:rsidR="00D933EB" w:rsidRPr="0049707E" w:rsidRDefault="00D933EB" w:rsidP="00AA236F">
            <w:pPr>
              <w:pStyle w:val="VBAILTbullet1"/>
              <w:numPr>
                <w:ilvl w:val="0"/>
                <w:numId w:val="0"/>
              </w:numPr>
              <w:rPr>
                <w:rFonts w:ascii="Arial" w:hAnsi="Arial" w:cs="Arial"/>
                <w:sz w:val="24"/>
                <w:szCs w:val="24"/>
              </w:rPr>
            </w:pPr>
            <w:r w:rsidRPr="0049707E">
              <w:rPr>
                <w:rFonts w:ascii="Arial" w:hAnsi="Arial" w:cs="Arial"/>
                <w:sz w:val="24"/>
                <w:szCs w:val="24"/>
              </w:rPr>
              <w:t>6</w:t>
            </w:r>
          </w:p>
        </w:tc>
        <w:tc>
          <w:tcPr>
            <w:tcW w:w="8402" w:type="dxa"/>
            <w:gridSpan w:val="2"/>
          </w:tcPr>
          <w:p w14:paraId="51152AC6" w14:textId="77777777" w:rsidR="00D933EB" w:rsidRDefault="00D933EB" w:rsidP="00AA236F">
            <w:pPr>
              <w:pStyle w:val="VBAILTbullet1"/>
              <w:numPr>
                <w:ilvl w:val="0"/>
                <w:numId w:val="0"/>
              </w:numPr>
              <w:rPr>
                <w:rFonts w:ascii="Arial" w:hAnsi="Arial" w:cs="Arial"/>
                <w:sz w:val="24"/>
                <w:szCs w:val="24"/>
              </w:rPr>
            </w:pPr>
            <w:r w:rsidRPr="0049707E">
              <w:rPr>
                <w:rFonts w:ascii="Arial" w:hAnsi="Arial" w:cs="Arial"/>
                <w:sz w:val="24"/>
                <w:szCs w:val="24"/>
              </w:rPr>
              <w:t>Continue processing the claim under existing DIC processing guidance unless otherwise specified within this letter.</w:t>
            </w:r>
          </w:p>
          <w:p w14:paraId="03C85C31" w14:textId="3D8C7945" w:rsidR="004F7416" w:rsidRPr="0049707E" w:rsidRDefault="004F7416" w:rsidP="00AA236F">
            <w:pPr>
              <w:pStyle w:val="VBAILTbullet1"/>
              <w:numPr>
                <w:ilvl w:val="0"/>
                <w:numId w:val="0"/>
              </w:numPr>
              <w:rPr>
                <w:rFonts w:ascii="Arial" w:hAnsi="Arial" w:cs="Arial"/>
                <w:sz w:val="24"/>
                <w:szCs w:val="24"/>
              </w:rPr>
            </w:pPr>
          </w:p>
        </w:tc>
      </w:tr>
    </w:tbl>
    <w:p w14:paraId="51B56686" w14:textId="0FA1DDFB" w:rsidR="00D933EB" w:rsidRPr="0049707E" w:rsidRDefault="00D933EB" w:rsidP="00D933EB">
      <w:pPr>
        <w:pStyle w:val="VBAILTHeading2"/>
        <w:rPr>
          <w:rFonts w:ascii="Arial" w:hAnsi="Arial" w:cs="Arial"/>
        </w:rPr>
      </w:pPr>
      <w:bookmarkStart w:id="12" w:name="_Toc169247178"/>
      <w:r w:rsidRPr="0049707E">
        <w:rPr>
          <w:rFonts w:ascii="Arial" w:hAnsi="Arial" w:cs="Arial"/>
        </w:rPr>
        <w:lastRenderedPageBreak/>
        <w:t>Processing Service-Connected Burial Claims Related to PACT Act</w:t>
      </w:r>
      <w:bookmarkEnd w:id="12"/>
    </w:p>
    <w:p w14:paraId="01D54FD0" w14:textId="10784C98" w:rsidR="00824B09" w:rsidRPr="0049707E" w:rsidRDefault="00230017" w:rsidP="00230017">
      <w:pPr>
        <w:pStyle w:val="VBAILTbullet1"/>
        <w:numPr>
          <w:ilvl w:val="0"/>
          <w:numId w:val="0"/>
        </w:numPr>
        <w:rPr>
          <w:rFonts w:ascii="Arial" w:hAnsi="Arial" w:cs="Arial"/>
          <w:sz w:val="24"/>
          <w:szCs w:val="24"/>
        </w:rPr>
      </w:pPr>
      <w:r w:rsidRPr="0049707E">
        <w:rPr>
          <w:rFonts w:ascii="Arial" w:hAnsi="Arial" w:cs="Arial"/>
          <w:sz w:val="24"/>
          <w:szCs w:val="24"/>
        </w:rPr>
        <w:t>When a claim is received for service-connected burial benefits based on newly recognized presumptive eligibility under the PACT Act, claims processors should confirm a PACT Act-related claim has been received, and establish claims as required.</w:t>
      </w:r>
    </w:p>
    <w:p w14:paraId="080F6630" w14:textId="497214A6" w:rsidR="00230017" w:rsidRPr="0049707E" w:rsidRDefault="00230017" w:rsidP="00230017">
      <w:pPr>
        <w:pStyle w:val="VBAILTHeading2"/>
        <w:rPr>
          <w:rFonts w:ascii="Arial" w:hAnsi="Arial" w:cs="Arial"/>
        </w:rPr>
      </w:pPr>
      <w:bookmarkStart w:id="13" w:name="_Toc169247179"/>
      <w:r w:rsidRPr="0049707E">
        <w:rPr>
          <w:rFonts w:ascii="Arial" w:hAnsi="Arial" w:cs="Arial"/>
        </w:rPr>
        <w:t xml:space="preserve">Processing Accrued Claims and Requests for </w:t>
      </w:r>
      <w:r w:rsidR="007601CA" w:rsidRPr="0049707E">
        <w:rPr>
          <w:rFonts w:ascii="Arial" w:hAnsi="Arial" w:cs="Arial"/>
        </w:rPr>
        <w:t>Substitution</w:t>
      </w:r>
      <w:r w:rsidRPr="0049707E">
        <w:rPr>
          <w:rFonts w:ascii="Arial" w:hAnsi="Arial" w:cs="Arial"/>
        </w:rPr>
        <w:t xml:space="preserve"> Related to PACT Act</w:t>
      </w:r>
      <w:bookmarkEnd w:id="13"/>
    </w:p>
    <w:p w14:paraId="0B4ED416" w14:textId="413A82CC" w:rsidR="00230017" w:rsidRPr="0049707E" w:rsidRDefault="00230017" w:rsidP="00230017">
      <w:pPr>
        <w:pStyle w:val="VBAILTbullet1"/>
        <w:numPr>
          <w:ilvl w:val="0"/>
          <w:numId w:val="0"/>
        </w:numPr>
        <w:rPr>
          <w:rFonts w:ascii="Arial" w:hAnsi="Arial" w:cs="Arial"/>
          <w:b/>
          <w:bCs/>
          <w:sz w:val="24"/>
          <w:szCs w:val="24"/>
        </w:rPr>
      </w:pPr>
      <w:r w:rsidRPr="0049707E">
        <w:rPr>
          <w:rFonts w:ascii="Arial" w:hAnsi="Arial" w:cs="Arial"/>
          <w:sz w:val="24"/>
          <w:szCs w:val="24"/>
        </w:rPr>
        <w:t xml:space="preserve">There is </w:t>
      </w:r>
      <w:r w:rsidRPr="0049707E">
        <w:rPr>
          <w:rFonts w:ascii="Arial" w:hAnsi="Arial" w:cs="Arial"/>
          <w:b/>
          <w:bCs/>
          <w:sz w:val="24"/>
          <w:szCs w:val="24"/>
        </w:rPr>
        <w:t>no language in the PACT Act that supersedes 38 CFR 3.1010(g), therefore, a substitute claimant</w:t>
      </w:r>
      <w:r w:rsidRPr="0049707E">
        <w:rPr>
          <w:rFonts w:ascii="Arial" w:hAnsi="Arial" w:cs="Arial"/>
          <w:sz w:val="24"/>
          <w:szCs w:val="24"/>
        </w:rPr>
        <w:t xml:space="preserve"> </w:t>
      </w:r>
      <w:r w:rsidRPr="0049707E">
        <w:rPr>
          <w:rFonts w:ascii="Arial" w:hAnsi="Arial" w:cs="Arial"/>
          <w:b/>
          <w:bCs/>
          <w:sz w:val="24"/>
          <w:szCs w:val="24"/>
        </w:rPr>
        <w:t>can only pursue claims and appeals that were pending</w:t>
      </w:r>
      <w:r w:rsidRPr="0049707E">
        <w:rPr>
          <w:rFonts w:ascii="Arial" w:hAnsi="Arial" w:cs="Arial"/>
          <w:sz w:val="24"/>
          <w:szCs w:val="24"/>
        </w:rPr>
        <w:t xml:space="preserve">, </w:t>
      </w:r>
      <w:r w:rsidRPr="0049707E">
        <w:rPr>
          <w:rFonts w:ascii="Arial" w:hAnsi="Arial" w:cs="Arial"/>
          <w:b/>
          <w:bCs/>
          <w:sz w:val="24"/>
          <w:szCs w:val="24"/>
        </w:rPr>
        <w:t>and</w:t>
      </w:r>
      <w:r w:rsidRPr="0049707E">
        <w:rPr>
          <w:rFonts w:ascii="Arial" w:hAnsi="Arial" w:cs="Arial"/>
          <w:sz w:val="24"/>
          <w:szCs w:val="24"/>
        </w:rPr>
        <w:t xml:space="preserve"> </w:t>
      </w:r>
      <w:r w:rsidRPr="0049707E">
        <w:rPr>
          <w:rFonts w:ascii="Arial" w:hAnsi="Arial" w:cs="Arial"/>
          <w:b/>
          <w:bCs/>
          <w:sz w:val="24"/>
          <w:szCs w:val="24"/>
        </w:rPr>
        <w:t>cannot not pursue a new claim that was not filed by the deceased DIC claimant</w:t>
      </w:r>
      <w:r w:rsidR="007601CA" w:rsidRPr="0049707E">
        <w:rPr>
          <w:rFonts w:ascii="Arial" w:hAnsi="Arial" w:cs="Arial"/>
          <w:b/>
          <w:bCs/>
          <w:sz w:val="24"/>
          <w:szCs w:val="24"/>
        </w:rPr>
        <w:t>.</w:t>
      </w:r>
    </w:p>
    <w:p w14:paraId="7CB8A891" w14:textId="3A7283EF" w:rsidR="007601CA" w:rsidRPr="0049707E" w:rsidRDefault="007601CA" w:rsidP="00230017">
      <w:pPr>
        <w:pStyle w:val="VBAILTbullet1"/>
        <w:numPr>
          <w:ilvl w:val="0"/>
          <w:numId w:val="0"/>
        </w:numPr>
        <w:rPr>
          <w:rFonts w:ascii="Arial" w:hAnsi="Arial" w:cs="Arial"/>
          <w:b/>
          <w:bCs/>
          <w:sz w:val="24"/>
          <w:szCs w:val="24"/>
        </w:rPr>
      </w:pPr>
      <w:r w:rsidRPr="0049707E">
        <w:rPr>
          <w:rFonts w:ascii="Arial" w:hAnsi="Arial" w:cs="Arial"/>
          <w:sz w:val="24"/>
          <w:szCs w:val="24"/>
        </w:rPr>
        <w:t xml:space="preserve">An individual seeking </w:t>
      </w:r>
      <w:r w:rsidRPr="0049707E">
        <w:rPr>
          <w:rFonts w:ascii="Arial" w:hAnsi="Arial" w:cs="Arial"/>
          <w:b/>
          <w:bCs/>
          <w:sz w:val="24"/>
          <w:szCs w:val="24"/>
        </w:rPr>
        <w:t>accrued benefits or substitution could elect to have an original claim reevaluated</w:t>
      </w:r>
      <w:r w:rsidRPr="0049707E">
        <w:rPr>
          <w:rFonts w:ascii="Arial" w:hAnsi="Arial" w:cs="Arial"/>
          <w:sz w:val="24"/>
          <w:szCs w:val="24"/>
        </w:rPr>
        <w:t>, even if the original claimant had not made such an election, if a relevant DIC claim was pending at the time of the original claimant’s death.</w:t>
      </w:r>
    </w:p>
    <w:p w14:paraId="721F25FA" w14:textId="3A9899BE" w:rsidR="00230017" w:rsidRPr="0049707E" w:rsidRDefault="00230017" w:rsidP="00230017">
      <w:pPr>
        <w:pStyle w:val="VBAILTbullet1"/>
        <w:numPr>
          <w:ilvl w:val="0"/>
          <w:numId w:val="0"/>
        </w:numPr>
        <w:rPr>
          <w:rFonts w:ascii="Arial" w:hAnsi="Arial" w:cs="Arial"/>
          <w:sz w:val="24"/>
          <w:szCs w:val="24"/>
        </w:rPr>
      </w:pPr>
      <w:r w:rsidRPr="0049707E">
        <w:rPr>
          <w:rFonts w:ascii="Arial" w:hAnsi="Arial" w:cs="Arial"/>
          <w:sz w:val="24"/>
          <w:szCs w:val="24"/>
        </w:rPr>
        <w:t>When a claim is received for accrued benefits or a request for substitution based on expanded presumptive eligibility under the PACT Act, claims processors should apply the following guidance:</w:t>
      </w:r>
    </w:p>
    <w:p w14:paraId="02A5D45B" w14:textId="77777777" w:rsidR="00230017" w:rsidRPr="0049707E" w:rsidRDefault="00230017" w:rsidP="00E44600">
      <w:pPr>
        <w:pStyle w:val="VBAILTbullet1"/>
        <w:numPr>
          <w:ilvl w:val="0"/>
          <w:numId w:val="11"/>
        </w:numPr>
        <w:rPr>
          <w:rFonts w:ascii="Arial" w:hAnsi="Arial" w:cs="Arial"/>
          <w:sz w:val="24"/>
          <w:szCs w:val="24"/>
        </w:rPr>
      </w:pPr>
      <w:r w:rsidRPr="0049707E">
        <w:rPr>
          <w:rFonts w:ascii="Arial" w:hAnsi="Arial" w:cs="Arial"/>
          <w:sz w:val="24"/>
          <w:szCs w:val="24"/>
        </w:rPr>
        <w:t>confirm a PACT Act-related claim has been received by referencing Topic1, Overview of the PACT Act and that the prescribed application (where applicable) has been submitted,</w:t>
      </w:r>
    </w:p>
    <w:p w14:paraId="5AAF8196" w14:textId="77777777" w:rsidR="00230017" w:rsidRPr="0049707E" w:rsidRDefault="00230017" w:rsidP="00E44600">
      <w:pPr>
        <w:pStyle w:val="VBAILTbullet1"/>
        <w:numPr>
          <w:ilvl w:val="0"/>
          <w:numId w:val="11"/>
        </w:numPr>
        <w:rPr>
          <w:rFonts w:ascii="Arial" w:hAnsi="Arial" w:cs="Arial"/>
          <w:sz w:val="24"/>
          <w:szCs w:val="24"/>
        </w:rPr>
      </w:pPr>
      <w:r w:rsidRPr="0049707E">
        <w:rPr>
          <w:rFonts w:ascii="Arial" w:hAnsi="Arial" w:cs="Arial"/>
          <w:sz w:val="24"/>
          <w:szCs w:val="24"/>
        </w:rPr>
        <w:t xml:space="preserve">establish claims as described within the content titled, Manual Claims Establishment of this letter. Special issues should be applied upon claims establishment or when otherwise identified, </w:t>
      </w:r>
      <w:r w:rsidRPr="0049707E">
        <w:rPr>
          <w:rFonts w:ascii="Arial" w:hAnsi="Arial" w:cs="Arial"/>
          <w:b/>
          <w:bCs/>
          <w:sz w:val="24"/>
          <w:szCs w:val="24"/>
        </w:rPr>
        <w:t>and</w:t>
      </w:r>
    </w:p>
    <w:p w14:paraId="61000813" w14:textId="6F164C68" w:rsidR="00AF2C0D" w:rsidRPr="0049707E" w:rsidRDefault="00230017" w:rsidP="00E44600">
      <w:pPr>
        <w:pStyle w:val="VBAILTbullet1"/>
        <w:numPr>
          <w:ilvl w:val="0"/>
          <w:numId w:val="11"/>
        </w:numPr>
        <w:rPr>
          <w:rFonts w:ascii="Arial" w:hAnsi="Arial" w:cs="Arial"/>
          <w:sz w:val="24"/>
          <w:szCs w:val="24"/>
        </w:rPr>
      </w:pPr>
      <w:r w:rsidRPr="0049707E">
        <w:rPr>
          <w:rFonts w:ascii="Arial" w:hAnsi="Arial" w:cs="Arial"/>
          <w:sz w:val="24"/>
          <w:szCs w:val="24"/>
        </w:rPr>
        <w:t>utilize current accrued/substitution procedures found in M21-1, Part XI, Subpart ii.3 while applying policy letter benefit-specific guidance associated with the claim pending at death to address potential entitlement under the PACT Act.</w:t>
      </w:r>
    </w:p>
    <w:p w14:paraId="16ADD5C6" w14:textId="1A362965" w:rsidR="007601CA" w:rsidRPr="0049707E" w:rsidRDefault="007601CA" w:rsidP="007601CA">
      <w:pPr>
        <w:pStyle w:val="VBAILTHeading2"/>
        <w:rPr>
          <w:rFonts w:ascii="Arial" w:hAnsi="Arial" w:cs="Arial"/>
        </w:rPr>
      </w:pPr>
      <w:bookmarkStart w:id="14" w:name="_Toc169247180"/>
      <w:r w:rsidRPr="0049707E">
        <w:rPr>
          <w:rFonts w:ascii="Arial" w:hAnsi="Arial" w:cs="Arial"/>
        </w:rPr>
        <w:t xml:space="preserve">Processing Supplemental Claims Requesting </w:t>
      </w:r>
      <w:r w:rsidR="00BC396F" w:rsidRPr="0049707E">
        <w:rPr>
          <w:rFonts w:ascii="Arial" w:hAnsi="Arial" w:cs="Arial"/>
        </w:rPr>
        <w:t>DIC</w:t>
      </w:r>
      <w:bookmarkEnd w:id="14"/>
    </w:p>
    <w:p w14:paraId="01489089" w14:textId="558E96F3" w:rsidR="007601CA" w:rsidRPr="0049707E" w:rsidRDefault="007601CA" w:rsidP="007601CA">
      <w:pPr>
        <w:pStyle w:val="VBAILTbullet1"/>
        <w:numPr>
          <w:ilvl w:val="0"/>
          <w:numId w:val="0"/>
        </w:numPr>
        <w:rPr>
          <w:rFonts w:ascii="Arial" w:hAnsi="Arial" w:cs="Arial"/>
          <w:sz w:val="24"/>
          <w:szCs w:val="24"/>
        </w:rPr>
      </w:pPr>
      <w:r w:rsidRPr="0049707E">
        <w:rPr>
          <w:rFonts w:ascii="Arial" w:hAnsi="Arial" w:cs="Arial"/>
          <w:sz w:val="24"/>
          <w:szCs w:val="24"/>
        </w:rPr>
        <w:t xml:space="preserve">When a supplemental claim is received and is associated with a PACT Act-related claim for DIC, </w:t>
      </w:r>
      <w:r w:rsidR="00BC396F" w:rsidRPr="0049707E">
        <w:rPr>
          <w:rFonts w:ascii="Arial" w:hAnsi="Arial" w:cs="Arial"/>
          <w:sz w:val="24"/>
          <w:szCs w:val="24"/>
        </w:rPr>
        <w:t>use the guidance listed below:</w:t>
      </w:r>
    </w:p>
    <w:tbl>
      <w:tblPr>
        <w:tblStyle w:val="TableGrid"/>
        <w:tblW w:w="0" w:type="auto"/>
        <w:tblLook w:val="04A0" w:firstRow="1" w:lastRow="0" w:firstColumn="1" w:lastColumn="0" w:noHBand="0" w:noVBand="1"/>
      </w:tblPr>
      <w:tblGrid>
        <w:gridCol w:w="895"/>
        <w:gridCol w:w="8455"/>
      </w:tblGrid>
      <w:tr w:rsidR="00BC396F" w:rsidRPr="0049707E" w14:paraId="26B58FEE" w14:textId="77777777" w:rsidTr="00BC396F">
        <w:tc>
          <w:tcPr>
            <w:tcW w:w="895" w:type="dxa"/>
          </w:tcPr>
          <w:p w14:paraId="4D50A557" w14:textId="70350216" w:rsidR="00BC396F" w:rsidRPr="0049707E" w:rsidRDefault="00BC396F" w:rsidP="007601CA">
            <w:pPr>
              <w:pStyle w:val="VBAILTbullet1"/>
              <w:numPr>
                <w:ilvl w:val="0"/>
                <w:numId w:val="0"/>
              </w:numPr>
              <w:rPr>
                <w:rFonts w:ascii="Arial" w:hAnsi="Arial" w:cs="Arial"/>
                <w:b/>
                <w:bCs/>
                <w:sz w:val="24"/>
                <w:szCs w:val="24"/>
              </w:rPr>
            </w:pPr>
            <w:r w:rsidRPr="0049707E">
              <w:rPr>
                <w:rFonts w:ascii="Arial" w:hAnsi="Arial" w:cs="Arial"/>
                <w:b/>
                <w:bCs/>
                <w:sz w:val="24"/>
                <w:szCs w:val="24"/>
              </w:rPr>
              <w:t>Step</w:t>
            </w:r>
          </w:p>
        </w:tc>
        <w:tc>
          <w:tcPr>
            <w:tcW w:w="8455" w:type="dxa"/>
          </w:tcPr>
          <w:p w14:paraId="29E3E42E" w14:textId="43039BEE" w:rsidR="00BC396F" w:rsidRPr="0049707E" w:rsidRDefault="00BC396F" w:rsidP="007601CA">
            <w:pPr>
              <w:pStyle w:val="VBAILTbullet1"/>
              <w:numPr>
                <w:ilvl w:val="0"/>
                <w:numId w:val="0"/>
              </w:numPr>
              <w:rPr>
                <w:rFonts w:ascii="Arial" w:hAnsi="Arial" w:cs="Arial"/>
                <w:b/>
                <w:bCs/>
                <w:sz w:val="24"/>
                <w:szCs w:val="24"/>
              </w:rPr>
            </w:pPr>
            <w:r w:rsidRPr="0049707E">
              <w:rPr>
                <w:rFonts w:ascii="Arial" w:hAnsi="Arial" w:cs="Arial"/>
                <w:b/>
                <w:bCs/>
                <w:sz w:val="24"/>
                <w:szCs w:val="24"/>
              </w:rPr>
              <w:t>Action</w:t>
            </w:r>
          </w:p>
        </w:tc>
      </w:tr>
      <w:tr w:rsidR="00BC396F" w:rsidRPr="0049707E" w14:paraId="5568CD1A" w14:textId="77777777" w:rsidTr="00BC396F">
        <w:tc>
          <w:tcPr>
            <w:tcW w:w="895" w:type="dxa"/>
          </w:tcPr>
          <w:p w14:paraId="788F8F75" w14:textId="30913A75" w:rsidR="00BC396F" w:rsidRPr="0049707E" w:rsidRDefault="00BC396F" w:rsidP="007601CA">
            <w:pPr>
              <w:pStyle w:val="VBAILTbullet1"/>
              <w:numPr>
                <w:ilvl w:val="0"/>
                <w:numId w:val="0"/>
              </w:numPr>
              <w:rPr>
                <w:rFonts w:ascii="Arial" w:hAnsi="Arial" w:cs="Arial"/>
                <w:sz w:val="24"/>
                <w:szCs w:val="24"/>
              </w:rPr>
            </w:pPr>
            <w:r w:rsidRPr="0049707E">
              <w:rPr>
                <w:rFonts w:ascii="Arial" w:hAnsi="Arial" w:cs="Arial"/>
                <w:sz w:val="24"/>
                <w:szCs w:val="24"/>
              </w:rPr>
              <w:t>1</w:t>
            </w:r>
          </w:p>
        </w:tc>
        <w:tc>
          <w:tcPr>
            <w:tcW w:w="8455" w:type="dxa"/>
          </w:tcPr>
          <w:p w14:paraId="367F86F2" w14:textId="39D6532D" w:rsidR="00BC396F" w:rsidRPr="0049707E" w:rsidRDefault="00BC396F" w:rsidP="007601CA">
            <w:pPr>
              <w:pStyle w:val="VBAILTbullet1"/>
              <w:numPr>
                <w:ilvl w:val="0"/>
                <w:numId w:val="0"/>
              </w:numPr>
              <w:rPr>
                <w:rFonts w:ascii="Arial" w:hAnsi="Arial" w:cs="Arial"/>
                <w:sz w:val="24"/>
                <w:szCs w:val="24"/>
              </w:rPr>
            </w:pPr>
            <w:r w:rsidRPr="0049707E">
              <w:rPr>
                <w:rFonts w:ascii="Arial" w:hAnsi="Arial" w:cs="Arial"/>
                <w:sz w:val="24"/>
                <w:szCs w:val="24"/>
              </w:rPr>
              <w:t>Review the submitted claim to confirm the application was received on the appropriate prescribed form, and claim is a PACT Act-related claim.</w:t>
            </w:r>
          </w:p>
        </w:tc>
      </w:tr>
      <w:tr w:rsidR="00BC396F" w:rsidRPr="0049707E" w14:paraId="7F881CA7" w14:textId="77777777" w:rsidTr="00BC396F">
        <w:tc>
          <w:tcPr>
            <w:tcW w:w="895" w:type="dxa"/>
          </w:tcPr>
          <w:p w14:paraId="0E73EF56" w14:textId="23C02E87" w:rsidR="00BC396F" w:rsidRPr="0049707E" w:rsidRDefault="00BC396F" w:rsidP="007601CA">
            <w:pPr>
              <w:pStyle w:val="VBAILTbullet1"/>
              <w:numPr>
                <w:ilvl w:val="0"/>
                <w:numId w:val="0"/>
              </w:numPr>
              <w:rPr>
                <w:rFonts w:ascii="Arial" w:hAnsi="Arial" w:cs="Arial"/>
                <w:sz w:val="24"/>
                <w:szCs w:val="24"/>
              </w:rPr>
            </w:pPr>
            <w:r w:rsidRPr="0049707E">
              <w:rPr>
                <w:rFonts w:ascii="Arial" w:hAnsi="Arial" w:cs="Arial"/>
                <w:sz w:val="24"/>
                <w:szCs w:val="24"/>
              </w:rPr>
              <w:t>2</w:t>
            </w:r>
          </w:p>
        </w:tc>
        <w:tc>
          <w:tcPr>
            <w:tcW w:w="8455" w:type="dxa"/>
          </w:tcPr>
          <w:p w14:paraId="10B15EA2" w14:textId="4DF6F4D1" w:rsidR="00BC396F" w:rsidRPr="0049707E" w:rsidRDefault="00BC396F" w:rsidP="007601CA">
            <w:pPr>
              <w:pStyle w:val="VBAILTbullet1"/>
              <w:numPr>
                <w:ilvl w:val="0"/>
                <w:numId w:val="0"/>
              </w:numPr>
              <w:rPr>
                <w:rFonts w:ascii="Arial" w:hAnsi="Arial" w:cs="Arial"/>
                <w:sz w:val="24"/>
                <w:szCs w:val="24"/>
              </w:rPr>
            </w:pPr>
            <w:r w:rsidRPr="0049707E">
              <w:rPr>
                <w:rFonts w:ascii="Arial" w:hAnsi="Arial" w:cs="Arial"/>
                <w:sz w:val="24"/>
                <w:szCs w:val="24"/>
              </w:rPr>
              <w:t>Establish an EP 040, and add the PACT special issue to the DIC contention in VBMS.</w:t>
            </w:r>
          </w:p>
        </w:tc>
      </w:tr>
      <w:tr w:rsidR="00BC396F" w:rsidRPr="0049707E" w14:paraId="59D80388" w14:textId="77777777" w:rsidTr="00BC396F">
        <w:tc>
          <w:tcPr>
            <w:tcW w:w="895" w:type="dxa"/>
          </w:tcPr>
          <w:p w14:paraId="58F7D3BE" w14:textId="4F0C7131" w:rsidR="00BC396F" w:rsidRPr="0049707E" w:rsidRDefault="00BC396F" w:rsidP="007601CA">
            <w:pPr>
              <w:pStyle w:val="VBAILTbullet1"/>
              <w:numPr>
                <w:ilvl w:val="0"/>
                <w:numId w:val="0"/>
              </w:numPr>
              <w:rPr>
                <w:rFonts w:ascii="Arial" w:hAnsi="Arial" w:cs="Arial"/>
                <w:sz w:val="24"/>
                <w:szCs w:val="24"/>
              </w:rPr>
            </w:pPr>
            <w:r w:rsidRPr="0049707E">
              <w:rPr>
                <w:rFonts w:ascii="Arial" w:hAnsi="Arial" w:cs="Arial"/>
                <w:sz w:val="24"/>
                <w:szCs w:val="24"/>
              </w:rPr>
              <w:t>3</w:t>
            </w:r>
          </w:p>
        </w:tc>
        <w:tc>
          <w:tcPr>
            <w:tcW w:w="8455" w:type="dxa"/>
          </w:tcPr>
          <w:p w14:paraId="3682FAB0" w14:textId="12190B3E" w:rsidR="00BC396F" w:rsidRPr="0049707E" w:rsidRDefault="00BC396F" w:rsidP="007601CA">
            <w:pPr>
              <w:pStyle w:val="VBAILTbullet1"/>
              <w:numPr>
                <w:ilvl w:val="0"/>
                <w:numId w:val="0"/>
              </w:numPr>
              <w:rPr>
                <w:rFonts w:ascii="Arial" w:hAnsi="Arial" w:cs="Arial"/>
                <w:sz w:val="24"/>
                <w:szCs w:val="24"/>
              </w:rPr>
            </w:pPr>
            <w:r w:rsidRPr="0049707E">
              <w:rPr>
                <w:rFonts w:ascii="Arial" w:hAnsi="Arial" w:cs="Arial"/>
                <w:sz w:val="24"/>
                <w:szCs w:val="24"/>
              </w:rPr>
              <w:t>Initiate any necessary development for entitlement issues, to include gathering STRs.</w:t>
            </w:r>
          </w:p>
        </w:tc>
      </w:tr>
      <w:tr w:rsidR="00BC396F" w:rsidRPr="0049707E" w14:paraId="071F926B" w14:textId="77777777" w:rsidTr="00BC396F">
        <w:tc>
          <w:tcPr>
            <w:tcW w:w="895" w:type="dxa"/>
          </w:tcPr>
          <w:p w14:paraId="52CD4DCF" w14:textId="6140C55F" w:rsidR="00BC396F" w:rsidRPr="0049707E" w:rsidRDefault="00BC396F" w:rsidP="007601CA">
            <w:pPr>
              <w:pStyle w:val="VBAILTbullet1"/>
              <w:numPr>
                <w:ilvl w:val="0"/>
                <w:numId w:val="0"/>
              </w:numPr>
              <w:rPr>
                <w:rFonts w:ascii="Arial" w:hAnsi="Arial" w:cs="Arial"/>
                <w:sz w:val="24"/>
                <w:szCs w:val="24"/>
              </w:rPr>
            </w:pPr>
            <w:r w:rsidRPr="0049707E">
              <w:rPr>
                <w:rFonts w:ascii="Arial" w:hAnsi="Arial" w:cs="Arial"/>
                <w:sz w:val="24"/>
                <w:szCs w:val="24"/>
              </w:rPr>
              <w:lastRenderedPageBreak/>
              <w:t>4</w:t>
            </w:r>
          </w:p>
        </w:tc>
        <w:tc>
          <w:tcPr>
            <w:tcW w:w="8455" w:type="dxa"/>
          </w:tcPr>
          <w:p w14:paraId="292EE54D" w14:textId="22BD5B01" w:rsidR="00BC396F" w:rsidRPr="0049707E" w:rsidRDefault="00BC396F" w:rsidP="007601CA">
            <w:pPr>
              <w:pStyle w:val="VBAILTbullet1"/>
              <w:numPr>
                <w:ilvl w:val="0"/>
                <w:numId w:val="0"/>
              </w:numPr>
              <w:rPr>
                <w:rFonts w:ascii="Arial" w:hAnsi="Arial" w:cs="Arial"/>
                <w:sz w:val="24"/>
                <w:szCs w:val="24"/>
              </w:rPr>
            </w:pPr>
            <w:r w:rsidRPr="0049707E">
              <w:rPr>
                <w:rFonts w:ascii="Arial" w:hAnsi="Arial" w:cs="Arial"/>
                <w:sz w:val="24"/>
                <w:szCs w:val="24"/>
              </w:rPr>
              <w:t>Continue processing the claim under existing DIC processing guidance unless otherwise specified within this letter.</w:t>
            </w:r>
          </w:p>
        </w:tc>
      </w:tr>
    </w:tbl>
    <w:p w14:paraId="47559C4A" w14:textId="56B1693A" w:rsidR="00BC396F" w:rsidRPr="0049707E" w:rsidRDefault="00BC396F" w:rsidP="00BC396F">
      <w:pPr>
        <w:pStyle w:val="VBAILTHeading2"/>
        <w:rPr>
          <w:rFonts w:ascii="Arial" w:hAnsi="Arial" w:cs="Arial"/>
        </w:rPr>
      </w:pPr>
      <w:bookmarkStart w:id="15" w:name="_Toc169247181"/>
      <w:r w:rsidRPr="0049707E">
        <w:rPr>
          <w:rFonts w:ascii="Arial" w:hAnsi="Arial" w:cs="Arial"/>
        </w:rPr>
        <w:t xml:space="preserve">Processing </w:t>
      </w:r>
      <w:r w:rsidR="000820B1" w:rsidRPr="0049707E">
        <w:rPr>
          <w:rFonts w:ascii="Arial" w:hAnsi="Arial" w:cs="Arial"/>
        </w:rPr>
        <w:t xml:space="preserve">HLRs and </w:t>
      </w:r>
      <w:r w:rsidRPr="0049707E">
        <w:rPr>
          <w:rFonts w:ascii="Arial" w:hAnsi="Arial" w:cs="Arial"/>
        </w:rPr>
        <w:t>Supplemental Claims Requesting Reevaluation of a Previously Denied DIC Claim</w:t>
      </w:r>
      <w:bookmarkEnd w:id="15"/>
    </w:p>
    <w:p w14:paraId="316CF647" w14:textId="3D394370" w:rsidR="000820B1" w:rsidRPr="0049707E" w:rsidRDefault="000820B1" w:rsidP="007601CA">
      <w:pPr>
        <w:pStyle w:val="VBAILTbullet1"/>
        <w:numPr>
          <w:ilvl w:val="0"/>
          <w:numId w:val="0"/>
        </w:numPr>
        <w:rPr>
          <w:rFonts w:ascii="Arial" w:hAnsi="Arial" w:cs="Arial"/>
          <w:sz w:val="24"/>
          <w:szCs w:val="24"/>
        </w:rPr>
      </w:pPr>
      <w:r w:rsidRPr="0049707E">
        <w:rPr>
          <w:rFonts w:ascii="Arial" w:hAnsi="Arial" w:cs="Arial"/>
          <w:sz w:val="24"/>
          <w:szCs w:val="24"/>
        </w:rPr>
        <w:t xml:space="preserve">With </w:t>
      </w:r>
      <w:r w:rsidRPr="0049707E">
        <w:rPr>
          <w:rFonts w:ascii="Arial" w:hAnsi="Arial" w:cs="Arial"/>
          <w:b/>
          <w:bCs/>
          <w:sz w:val="24"/>
          <w:szCs w:val="24"/>
        </w:rPr>
        <w:t>higher-level reviews</w:t>
      </w:r>
      <w:r w:rsidR="00B1790F" w:rsidRPr="0049707E">
        <w:rPr>
          <w:rFonts w:ascii="Arial" w:hAnsi="Arial" w:cs="Arial"/>
          <w:b/>
          <w:bCs/>
          <w:sz w:val="24"/>
          <w:szCs w:val="24"/>
        </w:rPr>
        <w:t xml:space="preserve"> (HLRs)</w:t>
      </w:r>
      <w:r w:rsidRPr="0049707E">
        <w:rPr>
          <w:rFonts w:ascii="Arial" w:hAnsi="Arial" w:cs="Arial"/>
          <w:sz w:val="24"/>
          <w:szCs w:val="24"/>
        </w:rPr>
        <w:t xml:space="preserve"> are closed evidentiary records, </w:t>
      </w:r>
      <w:r w:rsidR="00BC6D4C" w:rsidRPr="0049707E">
        <w:rPr>
          <w:rFonts w:ascii="Arial" w:hAnsi="Arial" w:cs="Arial"/>
          <w:sz w:val="24"/>
          <w:szCs w:val="24"/>
        </w:rPr>
        <w:t xml:space="preserve">therefore, </w:t>
      </w:r>
      <w:r w:rsidRPr="0049707E">
        <w:rPr>
          <w:rFonts w:ascii="Arial" w:hAnsi="Arial" w:cs="Arial"/>
          <w:sz w:val="24"/>
          <w:szCs w:val="24"/>
        </w:rPr>
        <w:t xml:space="preserve">reevaluation must have been previously elected. </w:t>
      </w:r>
      <w:r w:rsidR="00BC6D4C" w:rsidRPr="0049707E">
        <w:rPr>
          <w:rFonts w:ascii="Arial" w:hAnsi="Arial" w:cs="Arial"/>
          <w:sz w:val="24"/>
          <w:szCs w:val="24"/>
        </w:rPr>
        <w:t>For consideration</w:t>
      </w:r>
      <w:r w:rsidRPr="0049707E">
        <w:rPr>
          <w:rFonts w:ascii="Arial" w:hAnsi="Arial" w:cs="Arial"/>
          <w:sz w:val="24"/>
          <w:szCs w:val="24"/>
        </w:rPr>
        <w:t xml:space="preserve"> for</w:t>
      </w:r>
      <w:r w:rsidR="00BC6D4C" w:rsidRPr="0049707E">
        <w:rPr>
          <w:rFonts w:ascii="Arial" w:hAnsi="Arial" w:cs="Arial"/>
          <w:sz w:val="24"/>
          <w:szCs w:val="24"/>
        </w:rPr>
        <w:t xml:space="preserve"> </w:t>
      </w:r>
      <w:r w:rsidRPr="0049707E">
        <w:rPr>
          <w:rFonts w:ascii="Arial" w:hAnsi="Arial" w:cs="Arial"/>
          <w:sz w:val="24"/>
          <w:szCs w:val="24"/>
        </w:rPr>
        <w:t>reevaluation that was not previously claimed, the claimant must select the supplemental claim lane, appeal to the Board of Veterans’ Appeals (</w:t>
      </w:r>
      <w:r w:rsidR="00BC6D4C" w:rsidRPr="0049707E">
        <w:rPr>
          <w:rFonts w:ascii="Arial" w:hAnsi="Arial" w:cs="Arial"/>
          <w:sz w:val="24"/>
          <w:szCs w:val="24"/>
        </w:rPr>
        <w:t>BVA</w:t>
      </w:r>
      <w:r w:rsidRPr="0049707E">
        <w:rPr>
          <w:rFonts w:ascii="Arial" w:hAnsi="Arial" w:cs="Arial"/>
          <w:sz w:val="24"/>
          <w:szCs w:val="24"/>
        </w:rPr>
        <w:t>) or file a new claim altogether</w:t>
      </w:r>
      <w:r w:rsidR="00BC6D4C" w:rsidRPr="0049707E">
        <w:rPr>
          <w:rFonts w:ascii="Arial" w:hAnsi="Arial" w:cs="Arial"/>
          <w:sz w:val="24"/>
          <w:szCs w:val="24"/>
        </w:rPr>
        <w:t>.</w:t>
      </w:r>
    </w:p>
    <w:p w14:paraId="59B32B9B" w14:textId="664CF557" w:rsidR="00BC396F" w:rsidRPr="0049707E" w:rsidRDefault="00BC396F" w:rsidP="007601CA">
      <w:pPr>
        <w:pStyle w:val="VBAILTbullet1"/>
        <w:numPr>
          <w:ilvl w:val="0"/>
          <w:numId w:val="0"/>
        </w:numPr>
        <w:rPr>
          <w:rFonts w:ascii="Arial" w:hAnsi="Arial" w:cs="Arial"/>
          <w:sz w:val="24"/>
          <w:szCs w:val="24"/>
        </w:rPr>
      </w:pPr>
      <w:r w:rsidRPr="0049707E">
        <w:rPr>
          <w:rFonts w:ascii="Arial" w:hAnsi="Arial" w:cs="Arial"/>
          <w:sz w:val="24"/>
          <w:szCs w:val="24"/>
        </w:rPr>
        <w:t xml:space="preserve">When a </w:t>
      </w:r>
      <w:r w:rsidRPr="0049707E">
        <w:rPr>
          <w:rFonts w:ascii="Arial" w:hAnsi="Arial" w:cs="Arial"/>
          <w:b/>
          <w:bCs/>
          <w:sz w:val="24"/>
          <w:szCs w:val="24"/>
        </w:rPr>
        <w:t>supplemental claim</w:t>
      </w:r>
      <w:r w:rsidRPr="0049707E">
        <w:rPr>
          <w:rFonts w:ascii="Arial" w:hAnsi="Arial" w:cs="Arial"/>
          <w:sz w:val="24"/>
          <w:szCs w:val="24"/>
        </w:rPr>
        <w:t xml:space="preserve"> is received requesting a reevaluation of a previously denied DIC claim due to the PACT Act, use the following guidelines:</w:t>
      </w:r>
    </w:p>
    <w:tbl>
      <w:tblPr>
        <w:tblStyle w:val="TableGrid"/>
        <w:tblW w:w="0" w:type="auto"/>
        <w:tblLook w:val="04A0" w:firstRow="1" w:lastRow="0" w:firstColumn="1" w:lastColumn="0" w:noHBand="0" w:noVBand="1"/>
      </w:tblPr>
      <w:tblGrid>
        <w:gridCol w:w="737"/>
        <w:gridCol w:w="4230"/>
        <w:gridCol w:w="4230"/>
      </w:tblGrid>
      <w:tr w:rsidR="00BC396F" w:rsidRPr="0049707E" w14:paraId="5C77BA23" w14:textId="77777777" w:rsidTr="000820B1">
        <w:tc>
          <w:tcPr>
            <w:tcW w:w="722" w:type="dxa"/>
          </w:tcPr>
          <w:p w14:paraId="3FA7C8DD" w14:textId="28851A40" w:rsidR="00BC396F" w:rsidRPr="0049707E" w:rsidRDefault="00BC396F" w:rsidP="007601CA">
            <w:pPr>
              <w:pStyle w:val="VBAILTbullet1"/>
              <w:numPr>
                <w:ilvl w:val="0"/>
                <w:numId w:val="0"/>
              </w:numPr>
              <w:rPr>
                <w:rFonts w:ascii="Arial" w:hAnsi="Arial" w:cs="Arial"/>
                <w:b/>
                <w:bCs/>
                <w:sz w:val="24"/>
                <w:szCs w:val="24"/>
              </w:rPr>
            </w:pPr>
            <w:r w:rsidRPr="0049707E">
              <w:rPr>
                <w:rFonts w:ascii="Arial" w:hAnsi="Arial" w:cs="Arial"/>
                <w:b/>
                <w:bCs/>
                <w:sz w:val="24"/>
                <w:szCs w:val="24"/>
              </w:rPr>
              <w:t>Step</w:t>
            </w:r>
          </w:p>
        </w:tc>
        <w:tc>
          <w:tcPr>
            <w:tcW w:w="8460" w:type="dxa"/>
            <w:gridSpan w:val="2"/>
          </w:tcPr>
          <w:p w14:paraId="22D18F6B" w14:textId="563A0CFC" w:rsidR="00BC396F" w:rsidRPr="0049707E" w:rsidRDefault="00BC396F" w:rsidP="007601CA">
            <w:pPr>
              <w:pStyle w:val="VBAILTbullet1"/>
              <w:numPr>
                <w:ilvl w:val="0"/>
                <w:numId w:val="0"/>
              </w:numPr>
              <w:rPr>
                <w:rFonts w:ascii="Arial" w:hAnsi="Arial" w:cs="Arial"/>
                <w:b/>
                <w:bCs/>
                <w:sz w:val="24"/>
                <w:szCs w:val="24"/>
              </w:rPr>
            </w:pPr>
            <w:r w:rsidRPr="0049707E">
              <w:rPr>
                <w:rFonts w:ascii="Arial" w:hAnsi="Arial" w:cs="Arial"/>
                <w:b/>
                <w:bCs/>
                <w:sz w:val="24"/>
                <w:szCs w:val="24"/>
              </w:rPr>
              <w:t>Action</w:t>
            </w:r>
          </w:p>
        </w:tc>
      </w:tr>
      <w:tr w:rsidR="00BC396F" w:rsidRPr="0049707E" w14:paraId="2E54612A" w14:textId="77777777" w:rsidTr="000820B1">
        <w:tc>
          <w:tcPr>
            <w:tcW w:w="722" w:type="dxa"/>
          </w:tcPr>
          <w:p w14:paraId="361E4022" w14:textId="762062C5" w:rsidR="00BC396F" w:rsidRPr="0049707E" w:rsidRDefault="00BC396F" w:rsidP="007601CA">
            <w:pPr>
              <w:pStyle w:val="VBAILTbullet1"/>
              <w:numPr>
                <w:ilvl w:val="0"/>
                <w:numId w:val="0"/>
              </w:numPr>
              <w:rPr>
                <w:rFonts w:ascii="Arial" w:hAnsi="Arial" w:cs="Arial"/>
                <w:sz w:val="24"/>
                <w:szCs w:val="24"/>
              </w:rPr>
            </w:pPr>
            <w:r w:rsidRPr="0049707E">
              <w:rPr>
                <w:rFonts w:ascii="Arial" w:hAnsi="Arial" w:cs="Arial"/>
                <w:sz w:val="24"/>
                <w:szCs w:val="24"/>
              </w:rPr>
              <w:t>1</w:t>
            </w:r>
          </w:p>
        </w:tc>
        <w:tc>
          <w:tcPr>
            <w:tcW w:w="8460" w:type="dxa"/>
            <w:gridSpan w:val="2"/>
          </w:tcPr>
          <w:p w14:paraId="418F3797" w14:textId="3E70EB50" w:rsidR="00BC396F" w:rsidRPr="0049707E" w:rsidRDefault="00BC396F" w:rsidP="007601CA">
            <w:pPr>
              <w:pStyle w:val="VBAILTbullet1"/>
              <w:numPr>
                <w:ilvl w:val="0"/>
                <w:numId w:val="0"/>
              </w:numPr>
              <w:rPr>
                <w:rFonts w:ascii="Arial" w:hAnsi="Arial" w:cs="Arial"/>
                <w:sz w:val="24"/>
                <w:szCs w:val="24"/>
              </w:rPr>
            </w:pPr>
            <w:r w:rsidRPr="0049707E">
              <w:rPr>
                <w:rFonts w:ascii="Arial" w:hAnsi="Arial" w:cs="Arial"/>
                <w:sz w:val="24"/>
                <w:szCs w:val="24"/>
              </w:rPr>
              <w:t xml:space="preserve">Review the submitted claim to confirm the application was received on the appropriate prescribed form, </w:t>
            </w:r>
            <w:r w:rsidRPr="0049707E">
              <w:rPr>
                <w:rFonts w:ascii="Arial" w:hAnsi="Arial" w:cs="Arial"/>
                <w:b/>
                <w:bCs/>
                <w:sz w:val="24"/>
                <w:szCs w:val="24"/>
              </w:rPr>
              <w:t>and</w:t>
            </w:r>
            <w:r w:rsidRPr="0049707E">
              <w:rPr>
                <w:rFonts w:ascii="Arial" w:hAnsi="Arial" w:cs="Arial"/>
                <w:sz w:val="24"/>
                <w:szCs w:val="24"/>
              </w:rPr>
              <w:t xml:space="preserve"> request for a reevaluation of a previously denied DIC claim has been received by the original claimant or valid substitute claimant.</w:t>
            </w:r>
          </w:p>
        </w:tc>
      </w:tr>
      <w:tr w:rsidR="00BC396F" w:rsidRPr="0049707E" w14:paraId="42D52DBD" w14:textId="77777777" w:rsidTr="000820B1">
        <w:tc>
          <w:tcPr>
            <w:tcW w:w="722" w:type="dxa"/>
          </w:tcPr>
          <w:p w14:paraId="7C98C4F7" w14:textId="485C3C9C" w:rsidR="00BC396F" w:rsidRPr="0049707E" w:rsidRDefault="00BC396F" w:rsidP="007601CA">
            <w:pPr>
              <w:pStyle w:val="VBAILTbullet1"/>
              <w:numPr>
                <w:ilvl w:val="0"/>
                <w:numId w:val="0"/>
              </w:numPr>
              <w:rPr>
                <w:rFonts w:ascii="Arial" w:hAnsi="Arial" w:cs="Arial"/>
                <w:sz w:val="24"/>
                <w:szCs w:val="24"/>
              </w:rPr>
            </w:pPr>
            <w:r w:rsidRPr="0049707E">
              <w:rPr>
                <w:rFonts w:ascii="Arial" w:hAnsi="Arial" w:cs="Arial"/>
                <w:sz w:val="24"/>
                <w:szCs w:val="24"/>
              </w:rPr>
              <w:t>2</w:t>
            </w:r>
          </w:p>
        </w:tc>
        <w:tc>
          <w:tcPr>
            <w:tcW w:w="8460" w:type="dxa"/>
            <w:gridSpan w:val="2"/>
          </w:tcPr>
          <w:p w14:paraId="0BC94127" w14:textId="0D4A947C" w:rsidR="00BC396F" w:rsidRPr="0049707E" w:rsidRDefault="00BC396F" w:rsidP="007601CA">
            <w:pPr>
              <w:pStyle w:val="VBAILTbullet1"/>
              <w:numPr>
                <w:ilvl w:val="0"/>
                <w:numId w:val="0"/>
              </w:numPr>
              <w:rPr>
                <w:rFonts w:ascii="Arial" w:hAnsi="Arial" w:cs="Arial"/>
                <w:sz w:val="24"/>
                <w:szCs w:val="24"/>
              </w:rPr>
            </w:pPr>
            <w:r w:rsidRPr="0049707E">
              <w:rPr>
                <w:rFonts w:ascii="Arial" w:hAnsi="Arial" w:cs="Arial"/>
                <w:sz w:val="24"/>
                <w:szCs w:val="24"/>
              </w:rPr>
              <w:t xml:space="preserve">Establish an EP 040, </w:t>
            </w:r>
            <w:r w:rsidRPr="0049707E">
              <w:rPr>
                <w:rFonts w:ascii="Arial" w:hAnsi="Arial" w:cs="Arial"/>
                <w:b/>
                <w:bCs/>
                <w:sz w:val="24"/>
                <w:szCs w:val="24"/>
              </w:rPr>
              <w:t>and</w:t>
            </w:r>
            <w:r w:rsidRPr="0049707E">
              <w:rPr>
                <w:rFonts w:ascii="Arial" w:hAnsi="Arial" w:cs="Arial"/>
                <w:sz w:val="24"/>
                <w:szCs w:val="24"/>
              </w:rPr>
              <w:t xml:space="preserve"> add the PACT ACT DIC Reevaluation special issue to the DIC contention in VBMS.</w:t>
            </w:r>
          </w:p>
        </w:tc>
      </w:tr>
      <w:tr w:rsidR="00BC396F" w:rsidRPr="0049707E" w14:paraId="6E7F086A" w14:textId="77777777" w:rsidTr="000820B1">
        <w:tc>
          <w:tcPr>
            <w:tcW w:w="722" w:type="dxa"/>
          </w:tcPr>
          <w:p w14:paraId="1FA29CED" w14:textId="1A72BB5A" w:rsidR="00BC396F" w:rsidRPr="0049707E" w:rsidRDefault="00BC396F" w:rsidP="007601CA">
            <w:pPr>
              <w:pStyle w:val="VBAILTbullet1"/>
              <w:numPr>
                <w:ilvl w:val="0"/>
                <w:numId w:val="0"/>
              </w:numPr>
              <w:rPr>
                <w:rFonts w:ascii="Arial" w:hAnsi="Arial" w:cs="Arial"/>
                <w:sz w:val="24"/>
                <w:szCs w:val="24"/>
              </w:rPr>
            </w:pPr>
            <w:r w:rsidRPr="0049707E">
              <w:rPr>
                <w:rFonts w:ascii="Arial" w:hAnsi="Arial" w:cs="Arial"/>
                <w:sz w:val="24"/>
                <w:szCs w:val="24"/>
              </w:rPr>
              <w:t>3</w:t>
            </w:r>
          </w:p>
        </w:tc>
        <w:tc>
          <w:tcPr>
            <w:tcW w:w="8460" w:type="dxa"/>
            <w:gridSpan w:val="2"/>
          </w:tcPr>
          <w:p w14:paraId="3C6AF67E" w14:textId="4D84FF68" w:rsidR="00BC396F" w:rsidRPr="0049707E" w:rsidRDefault="00BC396F" w:rsidP="007601CA">
            <w:pPr>
              <w:pStyle w:val="VBAILTbullet1"/>
              <w:numPr>
                <w:ilvl w:val="0"/>
                <w:numId w:val="0"/>
              </w:numPr>
              <w:rPr>
                <w:rFonts w:ascii="Arial" w:hAnsi="Arial" w:cs="Arial"/>
                <w:sz w:val="24"/>
                <w:szCs w:val="24"/>
              </w:rPr>
            </w:pPr>
            <w:r w:rsidRPr="0049707E">
              <w:rPr>
                <w:rFonts w:ascii="Arial" w:hAnsi="Arial" w:cs="Arial"/>
                <w:sz w:val="24"/>
                <w:szCs w:val="24"/>
              </w:rPr>
              <w:t>Claims processors should utilize the corporate record in Share, and/or VBMS, to identify the date of claim of a previously established EP 140, or the dates of claim of any subsequent EP 020, and use these dates as a basis to review documents in the claims folder.</w:t>
            </w:r>
          </w:p>
        </w:tc>
      </w:tr>
      <w:tr w:rsidR="000820B1" w:rsidRPr="0049707E" w14:paraId="1C439207" w14:textId="77777777" w:rsidTr="000820B1">
        <w:trPr>
          <w:trHeight w:val="142"/>
        </w:trPr>
        <w:tc>
          <w:tcPr>
            <w:tcW w:w="722" w:type="dxa"/>
            <w:vMerge w:val="restart"/>
          </w:tcPr>
          <w:p w14:paraId="2E5B0FDD" w14:textId="6201219C" w:rsidR="000820B1" w:rsidRPr="0049707E" w:rsidRDefault="000820B1" w:rsidP="007601CA">
            <w:pPr>
              <w:pStyle w:val="VBAILTbullet1"/>
              <w:numPr>
                <w:ilvl w:val="0"/>
                <w:numId w:val="0"/>
              </w:numPr>
              <w:rPr>
                <w:rFonts w:ascii="Arial" w:hAnsi="Arial" w:cs="Arial"/>
                <w:sz w:val="24"/>
                <w:szCs w:val="24"/>
              </w:rPr>
            </w:pPr>
            <w:r w:rsidRPr="0049707E">
              <w:rPr>
                <w:rFonts w:ascii="Arial" w:hAnsi="Arial" w:cs="Arial"/>
                <w:sz w:val="24"/>
                <w:szCs w:val="24"/>
              </w:rPr>
              <w:t>4</w:t>
            </w:r>
          </w:p>
        </w:tc>
        <w:tc>
          <w:tcPr>
            <w:tcW w:w="8460" w:type="dxa"/>
            <w:gridSpan w:val="2"/>
          </w:tcPr>
          <w:p w14:paraId="767C5E89" w14:textId="17C5B6D8" w:rsidR="000820B1" w:rsidRPr="0049707E" w:rsidRDefault="000820B1" w:rsidP="007601CA">
            <w:pPr>
              <w:pStyle w:val="VBAILTbullet1"/>
              <w:numPr>
                <w:ilvl w:val="0"/>
                <w:numId w:val="0"/>
              </w:numPr>
              <w:rPr>
                <w:rFonts w:ascii="Arial" w:hAnsi="Arial" w:cs="Arial"/>
                <w:sz w:val="24"/>
                <w:szCs w:val="24"/>
              </w:rPr>
            </w:pPr>
            <w:r w:rsidRPr="0049707E">
              <w:rPr>
                <w:rFonts w:ascii="Arial" w:hAnsi="Arial" w:cs="Arial"/>
                <w:sz w:val="24"/>
                <w:szCs w:val="24"/>
              </w:rPr>
              <w:t>If a valid claim for reevaluation is shown go to Step 5.</w:t>
            </w:r>
          </w:p>
        </w:tc>
      </w:tr>
      <w:tr w:rsidR="000820B1" w:rsidRPr="0049707E" w14:paraId="7E0273F5" w14:textId="77777777" w:rsidTr="00827236">
        <w:trPr>
          <w:trHeight w:val="142"/>
        </w:trPr>
        <w:tc>
          <w:tcPr>
            <w:tcW w:w="722" w:type="dxa"/>
            <w:vMerge/>
          </w:tcPr>
          <w:p w14:paraId="49BD2ED4" w14:textId="77777777" w:rsidR="000820B1" w:rsidRPr="0049707E" w:rsidRDefault="000820B1" w:rsidP="007601CA">
            <w:pPr>
              <w:pStyle w:val="VBAILTbullet1"/>
              <w:numPr>
                <w:ilvl w:val="0"/>
                <w:numId w:val="0"/>
              </w:numPr>
              <w:rPr>
                <w:rFonts w:ascii="Arial" w:hAnsi="Arial" w:cs="Arial"/>
                <w:sz w:val="24"/>
                <w:szCs w:val="24"/>
              </w:rPr>
            </w:pPr>
          </w:p>
        </w:tc>
        <w:tc>
          <w:tcPr>
            <w:tcW w:w="4230" w:type="dxa"/>
          </w:tcPr>
          <w:p w14:paraId="51DBEE8C" w14:textId="4372CDB5" w:rsidR="000820B1" w:rsidRPr="0049707E" w:rsidRDefault="000820B1" w:rsidP="007601CA">
            <w:pPr>
              <w:pStyle w:val="VBAILTbullet1"/>
              <w:numPr>
                <w:ilvl w:val="0"/>
                <w:numId w:val="0"/>
              </w:numPr>
              <w:rPr>
                <w:rFonts w:ascii="Arial" w:hAnsi="Arial" w:cs="Arial"/>
                <w:sz w:val="24"/>
                <w:szCs w:val="24"/>
              </w:rPr>
            </w:pPr>
            <w:r w:rsidRPr="0049707E">
              <w:rPr>
                <w:rFonts w:ascii="Arial" w:hAnsi="Arial" w:cs="Arial"/>
                <w:sz w:val="24"/>
                <w:szCs w:val="24"/>
              </w:rPr>
              <w:t xml:space="preserve">If the corporate record indicates no claim for DIC was ever previously filed, </w:t>
            </w:r>
            <w:r w:rsidRPr="0049707E">
              <w:rPr>
                <w:rFonts w:ascii="Arial" w:hAnsi="Arial" w:cs="Arial"/>
                <w:b/>
                <w:bCs/>
                <w:sz w:val="24"/>
                <w:szCs w:val="24"/>
              </w:rPr>
              <w:t>and</w:t>
            </w:r>
            <w:r w:rsidRPr="0049707E">
              <w:rPr>
                <w:rFonts w:ascii="Arial" w:hAnsi="Arial" w:cs="Arial"/>
                <w:sz w:val="24"/>
                <w:szCs w:val="24"/>
              </w:rPr>
              <w:t xml:space="preserve"> the claims folder is void of any source documents related to a previously filed claim for DIC</w:t>
            </w:r>
          </w:p>
        </w:tc>
        <w:tc>
          <w:tcPr>
            <w:tcW w:w="4230" w:type="dxa"/>
          </w:tcPr>
          <w:p w14:paraId="79BA6004" w14:textId="11480555" w:rsidR="000820B1" w:rsidRPr="0049707E" w:rsidRDefault="000820B1" w:rsidP="007601CA">
            <w:pPr>
              <w:pStyle w:val="VBAILTbullet1"/>
              <w:numPr>
                <w:ilvl w:val="0"/>
                <w:numId w:val="0"/>
              </w:numPr>
              <w:rPr>
                <w:rFonts w:ascii="Arial" w:hAnsi="Arial" w:cs="Arial"/>
                <w:sz w:val="24"/>
                <w:szCs w:val="24"/>
              </w:rPr>
            </w:pPr>
            <w:r w:rsidRPr="0049707E">
              <w:rPr>
                <w:rFonts w:ascii="Arial" w:hAnsi="Arial" w:cs="Arial"/>
                <w:sz w:val="24"/>
                <w:szCs w:val="24"/>
              </w:rPr>
              <w:t xml:space="preserve">Then the special issue should be removed the EP should be changed to an EP 400, a request for application should be provided to the claimant, </w:t>
            </w:r>
            <w:r w:rsidRPr="0049707E">
              <w:rPr>
                <w:rFonts w:ascii="Arial" w:hAnsi="Arial" w:cs="Arial"/>
                <w:b/>
                <w:bCs/>
                <w:sz w:val="24"/>
                <w:szCs w:val="24"/>
              </w:rPr>
              <w:t>and</w:t>
            </w:r>
            <w:r w:rsidRPr="0049707E">
              <w:rPr>
                <w:rFonts w:ascii="Arial" w:hAnsi="Arial" w:cs="Arial"/>
                <w:sz w:val="24"/>
                <w:szCs w:val="24"/>
              </w:rPr>
              <w:t xml:space="preserve"> the EP should be closed</w:t>
            </w:r>
          </w:p>
        </w:tc>
      </w:tr>
      <w:tr w:rsidR="000820B1" w:rsidRPr="0049707E" w14:paraId="080A90DA" w14:textId="77777777" w:rsidTr="00303195">
        <w:trPr>
          <w:trHeight w:val="142"/>
        </w:trPr>
        <w:tc>
          <w:tcPr>
            <w:tcW w:w="722" w:type="dxa"/>
          </w:tcPr>
          <w:p w14:paraId="19F94F84" w14:textId="691EA3F7" w:rsidR="000820B1" w:rsidRPr="0049707E" w:rsidRDefault="000820B1" w:rsidP="007601CA">
            <w:pPr>
              <w:pStyle w:val="VBAILTbullet1"/>
              <w:numPr>
                <w:ilvl w:val="0"/>
                <w:numId w:val="0"/>
              </w:numPr>
              <w:rPr>
                <w:rFonts w:ascii="Arial" w:hAnsi="Arial" w:cs="Arial"/>
                <w:sz w:val="24"/>
                <w:szCs w:val="24"/>
              </w:rPr>
            </w:pPr>
            <w:r w:rsidRPr="0049707E">
              <w:rPr>
                <w:rFonts w:ascii="Arial" w:hAnsi="Arial" w:cs="Arial"/>
                <w:sz w:val="24"/>
                <w:szCs w:val="24"/>
              </w:rPr>
              <w:t>5</w:t>
            </w:r>
          </w:p>
        </w:tc>
        <w:tc>
          <w:tcPr>
            <w:tcW w:w="8460" w:type="dxa"/>
            <w:gridSpan w:val="2"/>
          </w:tcPr>
          <w:p w14:paraId="2CDF27E7" w14:textId="1A317134" w:rsidR="000820B1" w:rsidRPr="0049707E" w:rsidRDefault="000820B1" w:rsidP="007601CA">
            <w:pPr>
              <w:pStyle w:val="VBAILTbullet1"/>
              <w:numPr>
                <w:ilvl w:val="0"/>
                <w:numId w:val="0"/>
              </w:numPr>
              <w:rPr>
                <w:rFonts w:ascii="Arial" w:hAnsi="Arial" w:cs="Arial"/>
                <w:sz w:val="24"/>
                <w:szCs w:val="24"/>
              </w:rPr>
            </w:pPr>
            <w:r w:rsidRPr="0049707E">
              <w:rPr>
                <w:rFonts w:ascii="Arial" w:hAnsi="Arial" w:cs="Arial"/>
                <w:sz w:val="24"/>
                <w:szCs w:val="24"/>
              </w:rPr>
              <w:t>Initiate any necessary development for entitlement issues, to include gathering STRs.</w:t>
            </w:r>
          </w:p>
        </w:tc>
      </w:tr>
      <w:tr w:rsidR="000820B1" w:rsidRPr="0049707E" w14:paraId="3E3EA81F" w14:textId="77777777" w:rsidTr="00303195">
        <w:trPr>
          <w:trHeight w:val="142"/>
        </w:trPr>
        <w:tc>
          <w:tcPr>
            <w:tcW w:w="722" w:type="dxa"/>
          </w:tcPr>
          <w:p w14:paraId="4B8E0037" w14:textId="04C48861" w:rsidR="000820B1" w:rsidRPr="0049707E" w:rsidRDefault="000820B1" w:rsidP="007601CA">
            <w:pPr>
              <w:pStyle w:val="VBAILTbullet1"/>
              <w:numPr>
                <w:ilvl w:val="0"/>
                <w:numId w:val="0"/>
              </w:numPr>
              <w:rPr>
                <w:rFonts w:ascii="Arial" w:hAnsi="Arial" w:cs="Arial"/>
                <w:sz w:val="24"/>
                <w:szCs w:val="24"/>
              </w:rPr>
            </w:pPr>
            <w:r w:rsidRPr="0049707E">
              <w:rPr>
                <w:rFonts w:ascii="Arial" w:hAnsi="Arial" w:cs="Arial"/>
                <w:sz w:val="24"/>
                <w:szCs w:val="24"/>
              </w:rPr>
              <w:t>6</w:t>
            </w:r>
          </w:p>
        </w:tc>
        <w:tc>
          <w:tcPr>
            <w:tcW w:w="8460" w:type="dxa"/>
            <w:gridSpan w:val="2"/>
          </w:tcPr>
          <w:p w14:paraId="21AB2888" w14:textId="5F37BB2C" w:rsidR="000820B1" w:rsidRPr="0049707E" w:rsidRDefault="000820B1" w:rsidP="007601CA">
            <w:pPr>
              <w:pStyle w:val="VBAILTbullet1"/>
              <w:numPr>
                <w:ilvl w:val="0"/>
                <w:numId w:val="0"/>
              </w:numPr>
              <w:rPr>
                <w:rFonts w:ascii="Arial" w:hAnsi="Arial" w:cs="Arial"/>
                <w:sz w:val="24"/>
                <w:szCs w:val="24"/>
              </w:rPr>
            </w:pPr>
            <w:r w:rsidRPr="0049707E">
              <w:rPr>
                <w:rFonts w:ascii="Arial" w:hAnsi="Arial" w:cs="Arial"/>
                <w:sz w:val="24"/>
                <w:szCs w:val="24"/>
              </w:rPr>
              <w:t>Continue processing the claim under existing DIC processing guidance unless otherwise specified within this letter.</w:t>
            </w:r>
          </w:p>
        </w:tc>
      </w:tr>
    </w:tbl>
    <w:p w14:paraId="5B04C59D" w14:textId="749F869A" w:rsidR="000820B1" w:rsidRPr="0049707E" w:rsidRDefault="000820B1">
      <w:pPr>
        <w:rPr>
          <w:rFonts w:ascii="Arial" w:hAnsi="Arial" w:cs="Arial"/>
          <w:sz w:val="24"/>
          <w:szCs w:val="24"/>
        </w:rPr>
      </w:pPr>
    </w:p>
    <w:p w14:paraId="07042879" w14:textId="77777777" w:rsidR="000820B1" w:rsidRPr="0049707E" w:rsidRDefault="000820B1" w:rsidP="000820B1">
      <w:pPr>
        <w:pStyle w:val="VBAILTHeading2"/>
        <w:rPr>
          <w:rFonts w:ascii="Arial" w:hAnsi="Arial" w:cs="Arial"/>
        </w:rPr>
      </w:pPr>
      <w:bookmarkStart w:id="16" w:name="_Toc169247182"/>
      <w:r w:rsidRPr="0049707E">
        <w:rPr>
          <w:rFonts w:ascii="Arial" w:hAnsi="Arial" w:cs="Arial"/>
        </w:rPr>
        <w:lastRenderedPageBreak/>
        <w:t>Processing HLRs and Supplemental Claims Requesting Reevaluation of a Previously Denied DIC Claim</w:t>
      </w:r>
      <w:bookmarkEnd w:id="16"/>
    </w:p>
    <w:p w14:paraId="1F82C54E" w14:textId="4DD9BF4E" w:rsidR="00BC396F" w:rsidRPr="0049707E" w:rsidRDefault="000820B1" w:rsidP="007601CA">
      <w:pPr>
        <w:pStyle w:val="VBAILTbullet1"/>
        <w:numPr>
          <w:ilvl w:val="0"/>
          <w:numId w:val="0"/>
        </w:numPr>
        <w:rPr>
          <w:rFonts w:ascii="Arial" w:hAnsi="Arial" w:cs="Arial"/>
          <w:sz w:val="24"/>
          <w:szCs w:val="24"/>
        </w:rPr>
      </w:pPr>
      <w:r w:rsidRPr="0049707E">
        <w:rPr>
          <w:rFonts w:ascii="Arial" w:hAnsi="Arial" w:cs="Arial"/>
          <w:sz w:val="24"/>
          <w:szCs w:val="24"/>
        </w:rPr>
        <w:t xml:space="preserve">VA’s current notice provided in accordance with </w:t>
      </w:r>
      <w:hyperlink r:id="rId20" w:history="1">
        <w:r w:rsidRPr="0049707E">
          <w:rPr>
            <w:rStyle w:val="Hyperlink"/>
            <w:rFonts w:ascii="Arial" w:hAnsi="Arial" w:cs="Arial"/>
            <w:b/>
            <w:bCs/>
            <w:color w:val="4472C4" w:themeColor="accent1"/>
            <w:sz w:val="24"/>
            <w:szCs w:val="24"/>
            <w:u w:val="single"/>
          </w:rPr>
          <w:t>38 USC 5103</w:t>
        </w:r>
      </w:hyperlink>
      <w:r w:rsidRPr="0049707E">
        <w:rPr>
          <w:rFonts w:ascii="Arial" w:hAnsi="Arial" w:cs="Arial"/>
          <w:sz w:val="24"/>
          <w:szCs w:val="24"/>
        </w:rPr>
        <w:t xml:space="preserve"> (</w:t>
      </w:r>
      <w:r w:rsidRPr="0049707E">
        <w:rPr>
          <w:rFonts w:ascii="Arial" w:hAnsi="Arial" w:cs="Arial"/>
          <w:b/>
          <w:bCs/>
          <w:sz w:val="24"/>
          <w:szCs w:val="24"/>
        </w:rPr>
        <w:t>Notice to Claimants of Required Information and Evidence</w:t>
      </w:r>
      <w:r w:rsidRPr="0049707E">
        <w:rPr>
          <w:rFonts w:ascii="Arial" w:hAnsi="Arial" w:cs="Arial"/>
          <w:sz w:val="24"/>
          <w:szCs w:val="24"/>
        </w:rPr>
        <w:t>) is sufficient to provide the general information to substantiate the basic elements of DIC claims for the PACT Act, including what evidence is necessary.</w:t>
      </w:r>
    </w:p>
    <w:p w14:paraId="358CEC20" w14:textId="7A0B5309" w:rsidR="00F24F56" w:rsidRPr="0049707E" w:rsidRDefault="00F24F56" w:rsidP="007601CA">
      <w:pPr>
        <w:pStyle w:val="VBAILTbullet1"/>
        <w:numPr>
          <w:ilvl w:val="0"/>
          <w:numId w:val="0"/>
        </w:numPr>
        <w:rPr>
          <w:rFonts w:ascii="Arial" w:hAnsi="Arial" w:cs="Arial"/>
          <w:sz w:val="24"/>
          <w:szCs w:val="24"/>
        </w:rPr>
      </w:pPr>
      <w:r w:rsidRPr="0049707E">
        <w:rPr>
          <w:rFonts w:ascii="Arial" w:hAnsi="Arial" w:cs="Arial"/>
          <w:b/>
          <w:bCs/>
          <w:sz w:val="24"/>
          <w:szCs w:val="24"/>
        </w:rPr>
        <w:t>Important</w:t>
      </w:r>
      <w:r w:rsidRPr="0049707E">
        <w:rPr>
          <w:rFonts w:ascii="Arial" w:hAnsi="Arial" w:cs="Arial"/>
          <w:sz w:val="24"/>
          <w:szCs w:val="24"/>
        </w:rPr>
        <w:t>: It is unnecessary to issue a 5103 notice when a claimant submits a claim on a form that provides or otherwise indicates they received the notice. However, should specific development for the new presumptive conditions be necessary, ensure that any free text development actions properly address the new presumptive condition(s). Use the language in VBMS for all PACT Act-related development action as it pertains to service-connected death.</w:t>
      </w:r>
    </w:p>
    <w:p w14:paraId="1F7D6B92" w14:textId="0BDEC12A" w:rsidR="00F24F56" w:rsidRPr="0049707E" w:rsidRDefault="00F24F56" w:rsidP="007601CA">
      <w:pPr>
        <w:pStyle w:val="VBAILTbullet1"/>
        <w:numPr>
          <w:ilvl w:val="0"/>
          <w:numId w:val="0"/>
        </w:numPr>
        <w:rPr>
          <w:rFonts w:ascii="Arial" w:hAnsi="Arial" w:cs="Arial"/>
          <w:sz w:val="24"/>
          <w:szCs w:val="24"/>
        </w:rPr>
      </w:pPr>
      <w:r w:rsidRPr="0049707E">
        <w:rPr>
          <w:rFonts w:ascii="Arial" w:hAnsi="Arial" w:cs="Arial"/>
          <w:sz w:val="24"/>
          <w:szCs w:val="24"/>
        </w:rPr>
        <w:t>When VBMS development letters are not possible, and Modern Awards Processing – Development (MAP-D) must be utilized, claims processors should not include AO–not a recognized condition paragraph or the MAP-D AO – SC Death, Nexus, Vietnam Service paragraph simply because the conditions are not currently listed under 38 CFR 3.309(e).</w:t>
      </w:r>
    </w:p>
    <w:p w14:paraId="3E192748" w14:textId="74E4A392" w:rsidR="00EF7EC3" w:rsidRPr="0049707E" w:rsidRDefault="00A41907" w:rsidP="00EF7EC3">
      <w:pPr>
        <w:pStyle w:val="VBAILTHeading2"/>
        <w:rPr>
          <w:rFonts w:ascii="Arial" w:hAnsi="Arial" w:cs="Arial"/>
        </w:rPr>
      </w:pPr>
      <w:bookmarkStart w:id="17" w:name="_Toc169247183"/>
      <w:r w:rsidRPr="0049707E">
        <w:rPr>
          <w:rFonts w:ascii="Arial" w:hAnsi="Arial" w:cs="Arial"/>
        </w:rPr>
        <w:t>Individual Longitudinal Exposure Record (ILER)</w:t>
      </w:r>
      <w:bookmarkEnd w:id="17"/>
    </w:p>
    <w:p w14:paraId="21EA8C68" w14:textId="22069F23" w:rsidR="00EF7EC3" w:rsidRPr="0049707E" w:rsidRDefault="00A41907" w:rsidP="007601CA">
      <w:pPr>
        <w:pStyle w:val="VBAILTbullet1"/>
        <w:numPr>
          <w:ilvl w:val="0"/>
          <w:numId w:val="0"/>
        </w:numPr>
        <w:rPr>
          <w:rFonts w:ascii="Arial" w:hAnsi="Arial" w:cs="Arial"/>
          <w:sz w:val="24"/>
          <w:szCs w:val="24"/>
        </w:rPr>
      </w:pPr>
      <w:r w:rsidRPr="0049707E">
        <w:rPr>
          <w:rFonts w:ascii="Arial" w:hAnsi="Arial" w:cs="Arial"/>
          <w:sz w:val="24"/>
          <w:szCs w:val="24"/>
        </w:rPr>
        <w:t xml:space="preserve">The absence of exposure or deployment-related verification in ILER does not mean exposure-related evidence does not exist. If a Veteran that may be subject to a </w:t>
      </w:r>
      <w:r w:rsidR="00022622" w:rsidRPr="0049707E">
        <w:rPr>
          <w:rFonts w:ascii="Arial" w:hAnsi="Arial" w:cs="Arial"/>
          <w:sz w:val="24"/>
          <w:szCs w:val="24"/>
        </w:rPr>
        <w:t>Toxic Exposure Risk Activity</w:t>
      </w:r>
      <w:r w:rsidR="001C5CC5" w:rsidRPr="0049707E">
        <w:rPr>
          <w:rFonts w:ascii="Arial" w:hAnsi="Arial" w:cs="Arial"/>
          <w:sz w:val="24"/>
          <w:szCs w:val="24"/>
        </w:rPr>
        <w:t xml:space="preserve"> (T</w:t>
      </w:r>
      <w:r w:rsidRPr="0049707E">
        <w:rPr>
          <w:rFonts w:ascii="Arial" w:hAnsi="Arial" w:cs="Arial"/>
          <w:sz w:val="24"/>
          <w:szCs w:val="24"/>
        </w:rPr>
        <w:t>ERA</w:t>
      </w:r>
      <w:r w:rsidR="001C5CC5" w:rsidRPr="0049707E">
        <w:rPr>
          <w:rFonts w:ascii="Arial" w:hAnsi="Arial" w:cs="Arial"/>
          <w:sz w:val="24"/>
          <w:szCs w:val="24"/>
        </w:rPr>
        <w:t>)</w:t>
      </w:r>
      <w:r w:rsidRPr="0049707E">
        <w:rPr>
          <w:rFonts w:ascii="Arial" w:hAnsi="Arial" w:cs="Arial"/>
          <w:sz w:val="24"/>
          <w:szCs w:val="24"/>
        </w:rPr>
        <w:t xml:space="preserve"> is not found in ILER or ILER does not provide exposure or deployment-related verification for a Veteran, claims processors should continue developing for a potential TERA through normal verification methods.</w:t>
      </w:r>
    </w:p>
    <w:p w14:paraId="37437847" w14:textId="34D0FFB2" w:rsidR="00A41907" w:rsidRPr="0049707E" w:rsidRDefault="00A41907" w:rsidP="007601CA">
      <w:pPr>
        <w:pStyle w:val="VBAILTbullet1"/>
        <w:numPr>
          <w:ilvl w:val="0"/>
          <w:numId w:val="0"/>
        </w:numPr>
        <w:rPr>
          <w:rFonts w:ascii="Arial" w:hAnsi="Arial" w:cs="Arial"/>
          <w:sz w:val="24"/>
          <w:szCs w:val="24"/>
        </w:rPr>
      </w:pPr>
      <w:r w:rsidRPr="0049707E">
        <w:rPr>
          <w:rFonts w:ascii="Arial" w:hAnsi="Arial" w:cs="Arial"/>
          <w:sz w:val="24"/>
          <w:szCs w:val="24"/>
        </w:rPr>
        <w:t>ILER currently provides access to over two million unique Veteran records and acts as a single access point to deployment history; including time, location, military occupational specialty (MOS), occupational hazard data, environmental hazards known or later found, monitoring performance in the area(s), diagnosis, treatment, and laboratory data.</w:t>
      </w:r>
    </w:p>
    <w:p w14:paraId="327CE4F2" w14:textId="77777777" w:rsidR="00A41907" w:rsidRPr="0049707E" w:rsidRDefault="00A41907" w:rsidP="007601CA">
      <w:pPr>
        <w:pStyle w:val="VBAILTbullet1"/>
        <w:numPr>
          <w:ilvl w:val="0"/>
          <w:numId w:val="0"/>
        </w:numPr>
        <w:rPr>
          <w:rFonts w:ascii="Arial" w:hAnsi="Arial" w:cs="Arial"/>
          <w:sz w:val="24"/>
          <w:szCs w:val="24"/>
        </w:rPr>
      </w:pPr>
      <w:r w:rsidRPr="0049707E">
        <w:rPr>
          <w:rFonts w:ascii="Arial" w:hAnsi="Arial" w:cs="Arial"/>
          <w:sz w:val="24"/>
          <w:szCs w:val="24"/>
        </w:rPr>
        <w:t xml:space="preserve">Mandatory use of ILER applies to claims for service-connected death that involve TERA-related service-connected conditions or causes of death where: </w:t>
      </w:r>
    </w:p>
    <w:p w14:paraId="6ADA2000" w14:textId="77777777" w:rsidR="00A41907" w:rsidRPr="0049707E" w:rsidRDefault="00A41907" w:rsidP="00E44600">
      <w:pPr>
        <w:pStyle w:val="VBAILTbullet1"/>
        <w:numPr>
          <w:ilvl w:val="0"/>
          <w:numId w:val="15"/>
        </w:numPr>
        <w:rPr>
          <w:rFonts w:ascii="Arial" w:hAnsi="Arial" w:cs="Arial"/>
          <w:sz w:val="24"/>
          <w:szCs w:val="24"/>
        </w:rPr>
      </w:pPr>
      <w:r w:rsidRPr="0049707E">
        <w:rPr>
          <w:rFonts w:ascii="Arial" w:hAnsi="Arial" w:cs="Arial"/>
          <w:sz w:val="24"/>
          <w:szCs w:val="24"/>
        </w:rPr>
        <w:t xml:space="preserve">the evidence of record does not provide exposure-related verification and </w:t>
      </w:r>
    </w:p>
    <w:p w14:paraId="50EE1E6A" w14:textId="3358EA21" w:rsidR="00A41907" w:rsidRPr="0049707E" w:rsidRDefault="00A41907" w:rsidP="00E44600">
      <w:pPr>
        <w:pStyle w:val="VBAILTbullet1"/>
        <w:numPr>
          <w:ilvl w:val="0"/>
          <w:numId w:val="15"/>
        </w:numPr>
        <w:rPr>
          <w:rFonts w:ascii="Arial" w:hAnsi="Arial" w:cs="Arial"/>
          <w:sz w:val="24"/>
          <w:szCs w:val="24"/>
        </w:rPr>
      </w:pPr>
      <w:r w:rsidRPr="0049707E">
        <w:rPr>
          <w:rFonts w:ascii="Arial" w:hAnsi="Arial" w:cs="Arial"/>
          <w:sz w:val="24"/>
          <w:szCs w:val="24"/>
        </w:rPr>
        <w:t>the benefit cannot otherwise be granted based on the evidence of record</w:t>
      </w:r>
    </w:p>
    <w:p w14:paraId="0446736B" w14:textId="63D03663" w:rsidR="00215A41" w:rsidRPr="0049707E" w:rsidRDefault="00215A41" w:rsidP="00215A41">
      <w:pPr>
        <w:pStyle w:val="VBAILTbullet1"/>
        <w:numPr>
          <w:ilvl w:val="0"/>
          <w:numId w:val="0"/>
        </w:numPr>
        <w:rPr>
          <w:rFonts w:ascii="Arial" w:hAnsi="Arial" w:cs="Arial"/>
          <w:sz w:val="24"/>
          <w:szCs w:val="24"/>
        </w:rPr>
      </w:pPr>
      <w:r w:rsidRPr="0049707E">
        <w:rPr>
          <w:rFonts w:ascii="Arial" w:hAnsi="Arial" w:cs="Arial"/>
          <w:sz w:val="24"/>
          <w:szCs w:val="24"/>
        </w:rPr>
        <w:t>The use of ILER is suggested for the following types of claims (this is not an all-inclusive list and claims processors should determine if information available in ILER may satisfy the elements of an event, injury, or disease in service):</w:t>
      </w:r>
    </w:p>
    <w:p w14:paraId="74EFA3D8" w14:textId="77777777" w:rsidR="00215A41" w:rsidRPr="0049707E" w:rsidRDefault="00215A41" w:rsidP="00E44600">
      <w:pPr>
        <w:pStyle w:val="VBAILTbullet1"/>
        <w:numPr>
          <w:ilvl w:val="0"/>
          <w:numId w:val="16"/>
        </w:numPr>
        <w:rPr>
          <w:rFonts w:ascii="Arial" w:hAnsi="Arial" w:cs="Arial"/>
          <w:sz w:val="24"/>
          <w:szCs w:val="24"/>
        </w:rPr>
      </w:pPr>
      <w:r w:rsidRPr="0049707E">
        <w:rPr>
          <w:rFonts w:ascii="Arial" w:hAnsi="Arial" w:cs="Arial"/>
          <w:sz w:val="24"/>
          <w:szCs w:val="24"/>
        </w:rPr>
        <w:t xml:space="preserve">Common claimed exposures related to service-connected (SC) Survivor benefits such as Dependency and Indemnity Compensation (DIC) and SC Burial claims </w:t>
      </w:r>
    </w:p>
    <w:p w14:paraId="1BB5B018" w14:textId="77777777" w:rsidR="00215A41" w:rsidRPr="0049707E" w:rsidRDefault="00215A41" w:rsidP="00E44600">
      <w:pPr>
        <w:pStyle w:val="VBAILTbullet1"/>
        <w:numPr>
          <w:ilvl w:val="1"/>
          <w:numId w:val="16"/>
        </w:numPr>
        <w:rPr>
          <w:rFonts w:ascii="Arial" w:hAnsi="Arial" w:cs="Arial"/>
          <w:sz w:val="24"/>
          <w:szCs w:val="24"/>
        </w:rPr>
      </w:pPr>
      <w:r w:rsidRPr="0049707E">
        <w:rPr>
          <w:rFonts w:ascii="Arial" w:hAnsi="Arial" w:cs="Arial"/>
          <w:sz w:val="24"/>
          <w:szCs w:val="24"/>
        </w:rPr>
        <w:lastRenderedPageBreak/>
        <w:t>Diseases specific to former prisoners of war under 38 CFR 3.309(c).</w:t>
      </w:r>
    </w:p>
    <w:p w14:paraId="7489279E" w14:textId="53CED11C" w:rsidR="00215A41" w:rsidRPr="0049707E" w:rsidRDefault="00215A41" w:rsidP="00E44600">
      <w:pPr>
        <w:pStyle w:val="VBAILTbullet1"/>
        <w:numPr>
          <w:ilvl w:val="1"/>
          <w:numId w:val="16"/>
        </w:numPr>
        <w:rPr>
          <w:rFonts w:ascii="Arial" w:hAnsi="Arial" w:cs="Arial"/>
          <w:sz w:val="24"/>
          <w:szCs w:val="24"/>
        </w:rPr>
      </w:pPr>
      <w:r w:rsidRPr="0049707E">
        <w:rPr>
          <w:rFonts w:ascii="Arial" w:hAnsi="Arial" w:cs="Arial"/>
          <w:sz w:val="24"/>
          <w:szCs w:val="24"/>
        </w:rPr>
        <w:t xml:space="preserve">Diseases specific to radiation-exposed Veterans under 38 CFR 3.309(d). </w:t>
      </w:r>
    </w:p>
    <w:p w14:paraId="45C36D93" w14:textId="3FE7B70D" w:rsidR="00215A41" w:rsidRDefault="00215A41" w:rsidP="00E44600">
      <w:pPr>
        <w:pStyle w:val="VBAILTbullet1"/>
        <w:numPr>
          <w:ilvl w:val="1"/>
          <w:numId w:val="16"/>
        </w:numPr>
        <w:rPr>
          <w:rFonts w:ascii="Arial" w:hAnsi="Arial" w:cs="Arial"/>
          <w:sz w:val="24"/>
          <w:szCs w:val="24"/>
        </w:rPr>
      </w:pPr>
      <w:r w:rsidRPr="0049707E">
        <w:rPr>
          <w:rFonts w:ascii="Arial" w:hAnsi="Arial" w:cs="Arial"/>
          <w:sz w:val="24"/>
          <w:szCs w:val="24"/>
        </w:rPr>
        <w:t>Chronic diseases and rare cancers associated with fine particulate matter under 38 CFR 3.320.</w:t>
      </w:r>
    </w:p>
    <w:p w14:paraId="480FB603" w14:textId="77777777" w:rsidR="003D1CF2" w:rsidRPr="009B5619" w:rsidRDefault="003D1CF2" w:rsidP="003D1CF2">
      <w:pPr>
        <w:pStyle w:val="VBAILTHeading1"/>
        <w:rPr>
          <w:rFonts w:ascii="Arial" w:hAnsi="Arial" w:cs="Arial"/>
          <w:sz w:val="24"/>
          <w:szCs w:val="24"/>
        </w:rPr>
      </w:pPr>
      <w:bookmarkStart w:id="18" w:name="_Toc169247184"/>
      <w:r>
        <w:rPr>
          <w:rFonts w:ascii="Arial" w:hAnsi="Arial" w:cs="Arial"/>
          <w:sz w:val="24"/>
          <w:szCs w:val="24"/>
        </w:rPr>
        <w:t>Using the TERA Tool</w:t>
      </w:r>
      <w:bookmarkEnd w:id="18"/>
    </w:p>
    <w:p w14:paraId="1DC66ADB" w14:textId="77777777" w:rsidR="003D1CF2" w:rsidRDefault="003D1CF2" w:rsidP="003D1CF2">
      <w:pPr>
        <w:rPr>
          <w:rFonts w:ascii="Arial" w:hAnsi="Arial" w:cs="Arial"/>
          <w:sz w:val="24"/>
          <w:szCs w:val="24"/>
        </w:rPr>
      </w:pPr>
      <w:r w:rsidRPr="00200D0E">
        <w:rPr>
          <w:rFonts w:ascii="Arial" w:hAnsi="Arial" w:cs="Arial"/>
          <w:b/>
          <w:bCs/>
          <w:sz w:val="24"/>
          <w:szCs w:val="24"/>
        </w:rPr>
        <w:t>Definition</w:t>
      </w:r>
      <w:r w:rsidRPr="00200D0E">
        <w:rPr>
          <w:rFonts w:ascii="Arial" w:hAnsi="Arial" w:cs="Arial"/>
          <w:sz w:val="24"/>
          <w:szCs w:val="24"/>
        </w:rPr>
        <w:t>:</w:t>
      </w:r>
      <w:r>
        <w:rPr>
          <w:rFonts w:ascii="Arial" w:hAnsi="Arial" w:cs="Arial"/>
          <w:sz w:val="24"/>
          <w:szCs w:val="24"/>
        </w:rPr>
        <w:t xml:space="preserve"> Toxic exposure risk activity (TERA) includes any activity requiring entry in an exposure tracking record system such as ILER or the Secretary determines qualifies.</w:t>
      </w:r>
    </w:p>
    <w:p w14:paraId="5FFE1E43" w14:textId="1BA8A12A" w:rsidR="003D1CF2" w:rsidRDefault="003D1CF2" w:rsidP="003D1CF2">
      <w:pPr>
        <w:rPr>
          <w:rFonts w:ascii="Arial" w:hAnsi="Arial" w:cs="Arial"/>
          <w:sz w:val="24"/>
          <w:szCs w:val="24"/>
        </w:rPr>
      </w:pPr>
      <w:r w:rsidRPr="00200D0E">
        <w:rPr>
          <w:rFonts w:ascii="Arial" w:hAnsi="Arial" w:cs="Arial"/>
          <w:b/>
          <w:bCs/>
          <w:sz w:val="24"/>
          <w:szCs w:val="24"/>
        </w:rPr>
        <w:t>NOTE</w:t>
      </w:r>
      <w:r>
        <w:rPr>
          <w:rFonts w:ascii="Arial" w:hAnsi="Arial" w:cs="Arial"/>
          <w:sz w:val="24"/>
          <w:szCs w:val="24"/>
        </w:rPr>
        <w:t xml:space="preserve">: Claims under the PACT Act may include claims in which the Veteran claims a non-presumptive disability </w:t>
      </w:r>
      <w:r w:rsidRPr="00707E92">
        <w:rPr>
          <w:rFonts w:ascii="Arial" w:hAnsi="Arial" w:cs="Arial"/>
          <w:b/>
          <w:bCs/>
          <w:sz w:val="24"/>
          <w:szCs w:val="24"/>
        </w:rPr>
        <w:t>whether the individual clearly claims it or indirectly indicates participation</w:t>
      </w:r>
      <w:r>
        <w:rPr>
          <w:rFonts w:ascii="Arial" w:hAnsi="Arial" w:cs="Arial"/>
          <w:sz w:val="24"/>
          <w:szCs w:val="24"/>
        </w:rPr>
        <w:t xml:space="preserve"> in toxic exposure risk activity. Consider ALL EVIDENCE of record when determining whether the Veteran specifically claimed an exposure.</w:t>
      </w:r>
    </w:p>
    <w:p w14:paraId="32DBCDDA" w14:textId="77777777" w:rsidR="003D1CF2" w:rsidRPr="0059241D" w:rsidRDefault="003D1CF2" w:rsidP="003D1CF2">
      <w:pPr>
        <w:rPr>
          <w:rFonts w:ascii="Arial" w:hAnsi="Arial" w:cs="Arial"/>
          <w:b/>
          <w:bCs/>
          <w:sz w:val="24"/>
          <w:szCs w:val="24"/>
        </w:rPr>
      </w:pPr>
      <w:r w:rsidRPr="0059241D">
        <w:rPr>
          <w:rFonts w:ascii="Arial" w:hAnsi="Arial" w:cs="Arial"/>
          <w:b/>
          <w:bCs/>
          <w:sz w:val="24"/>
          <w:szCs w:val="24"/>
        </w:rPr>
        <w:t>Examples:</w:t>
      </w:r>
    </w:p>
    <w:tbl>
      <w:tblPr>
        <w:tblStyle w:val="TableGrid"/>
        <w:tblW w:w="0" w:type="auto"/>
        <w:tblLook w:val="04A0" w:firstRow="1" w:lastRow="0" w:firstColumn="1" w:lastColumn="0" w:noHBand="0" w:noVBand="1"/>
      </w:tblPr>
      <w:tblGrid>
        <w:gridCol w:w="4675"/>
        <w:gridCol w:w="4675"/>
      </w:tblGrid>
      <w:tr w:rsidR="003D1CF2" w14:paraId="77F1786E" w14:textId="77777777" w:rsidTr="000544B6">
        <w:tc>
          <w:tcPr>
            <w:tcW w:w="4675" w:type="dxa"/>
          </w:tcPr>
          <w:p w14:paraId="3574F20C" w14:textId="77777777" w:rsidR="003D1CF2" w:rsidRPr="00E75EDC" w:rsidRDefault="003D1CF2" w:rsidP="000544B6">
            <w:pPr>
              <w:jc w:val="center"/>
              <w:rPr>
                <w:rFonts w:ascii="Arial" w:hAnsi="Arial" w:cs="Arial"/>
                <w:b/>
                <w:bCs/>
                <w:sz w:val="24"/>
                <w:szCs w:val="24"/>
              </w:rPr>
            </w:pPr>
            <w:r w:rsidRPr="00E75EDC">
              <w:rPr>
                <w:rFonts w:ascii="Arial" w:hAnsi="Arial" w:cs="Arial"/>
                <w:b/>
                <w:bCs/>
                <w:sz w:val="24"/>
                <w:szCs w:val="24"/>
              </w:rPr>
              <w:t>EXPLICIT (CLEAR)</w:t>
            </w:r>
          </w:p>
        </w:tc>
        <w:tc>
          <w:tcPr>
            <w:tcW w:w="4675" w:type="dxa"/>
          </w:tcPr>
          <w:p w14:paraId="627685A2" w14:textId="77777777" w:rsidR="003D1CF2" w:rsidRPr="00E75EDC" w:rsidRDefault="003D1CF2" w:rsidP="000544B6">
            <w:pPr>
              <w:rPr>
                <w:rFonts w:ascii="Arial" w:hAnsi="Arial" w:cs="Arial"/>
                <w:b/>
                <w:bCs/>
                <w:sz w:val="24"/>
                <w:szCs w:val="24"/>
              </w:rPr>
            </w:pPr>
            <w:r w:rsidRPr="00E75EDC">
              <w:rPr>
                <w:rFonts w:ascii="Arial" w:hAnsi="Arial" w:cs="Arial"/>
                <w:b/>
                <w:bCs/>
                <w:sz w:val="24"/>
                <w:szCs w:val="24"/>
              </w:rPr>
              <w:t>IMPLICIT (INFERRED)</w:t>
            </w:r>
          </w:p>
        </w:tc>
      </w:tr>
      <w:tr w:rsidR="003D1CF2" w14:paraId="786DEE4E" w14:textId="77777777" w:rsidTr="000544B6">
        <w:tc>
          <w:tcPr>
            <w:tcW w:w="4675" w:type="dxa"/>
          </w:tcPr>
          <w:p w14:paraId="05A61956" w14:textId="77777777" w:rsidR="003D1CF2" w:rsidRDefault="003D1CF2" w:rsidP="000544B6">
            <w:pPr>
              <w:rPr>
                <w:rFonts w:ascii="Arial" w:hAnsi="Arial" w:cs="Arial"/>
                <w:sz w:val="24"/>
                <w:szCs w:val="24"/>
              </w:rPr>
            </w:pPr>
            <w:r>
              <w:rPr>
                <w:rFonts w:ascii="Arial" w:hAnsi="Arial" w:cs="Arial"/>
                <w:sz w:val="24"/>
                <w:szCs w:val="24"/>
              </w:rPr>
              <w:t>VA Form specifying toxic exposure</w:t>
            </w:r>
          </w:p>
        </w:tc>
        <w:tc>
          <w:tcPr>
            <w:tcW w:w="4675" w:type="dxa"/>
          </w:tcPr>
          <w:p w14:paraId="5026B801" w14:textId="77777777" w:rsidR="003D1CF2" w:rsidRDefault="003D1CF2" w:rsidP="000544B6">
            <w:pPr>
              <w:rPr>
                <w:rFonts w:ascii="Arial" w:hAnsi="Arial" w:cs="Arial"/>
                <w:sz w:val="24"/>
                <w:szCs w:val="24"/>
              </w:rPr>
            </w:pPr>
            <w:r>
              <w:rPr>
                <w:rFonts w:ascii="Arial" w:hAnsi="Arial" w:cs="Arial"/>
                <w:sz w:val="24"/>
                <w:szCs w:val="24"/>
              </w:rPr>
              <w:t>Veteran’s service was in a location associated with toxic exposure</w:t>
            </w:r>
          </w:p>
        </w:tc>
      </w:tr>
      <w:tr w:rsidR="003D1CF2" w14:paraId="710A604D" w14:textId="77777777" w:rsidTr="000544B6">
        <w:tc>
          <w:tcPr>
            <w:tcW w:w="4675" w:type="dxa"/>
          </w:tcPr>
          <w:p w14:paraId="2C5C0E6A" w14:textId="77777777" w:rsidR="003D1CF2" w:rsidRDefault="003D1CF2" w:rsidP="000544B6">
            <w:pPr>
              <w:rPr>
                <w:rFonts w:ascii="Arial" w:hAnsi="Arial" w:cs="Arial"/>
                <w:sz w:val="24"/>
                <w:szCs w:val="24"/>
              </w:rPr>
            </w:pPr>
            <w:r>
              <w:rPr>
                <w:rFonts w:ascii="Arial" w:hAnsi="Arial" w:cs="Arial"/>
                <w:sz w:val="24"/>
                <w:szCs w:val="24"/>
              </w:rPr>
              <w:t>Lay statements submitted with the claim</w:t>
            </w:r>
          </w:p>
        </w:tc>
        <w:tc>
          <w:tcPr>
            <w:tcW w:w="4675" w:type="dxa"/>
          </w:tcPr>
          <w:p w14:paraId="62A1B785" w14:textId="77777777" w:rsidR="003D1CF2" w:rsidRDefault="003D1CF2" w:rsidP="000544B6">
            <w:pPr>
              <w:rPr>
                <w:rFonts w:ascii="Arial" w:hAnsi="Arial" w:cs="Arial"/>
                <w:sz w:val="24"/>
                <w:szCs w:val="24"/>
              </w:rPr>
            </w:pPr>
            <w:r>
              <w:rPr>
                <w:rFonts w:ascii="Arial" w:hAnsi="Arial" w:cs="Arial"/>
                <w:sz w:val="24"/>
                <w:szCs w:val="24"/>
              </w:rPr>
              <w:t>Veteran’s military occupation is associated with a toxic exposure</w:t>
            </w:r>
          </w:p>
        </w:tc>
      </w:tr>
      <w:tr w:rsidR="003D1CF2" w14:paraId="4CC88A21" w14:textId="77777777" w:rsidTr="000544B6">
        <w:tc>
          <w:tcPr>
            <w:tcW w:w="4675" w:type="dxa"/>
            <w:shd w:val="clear" w:color="auto" w:fill="A6A6A6" w:themeFill="background1" w:themeFillShade="A6"/>
          </w:tcPr>
          <w:p w14:paraId="361D54E5" w14:textId="77777777" w:rsidR="003D1CF2" w:rsidRDefault="003D1CF2" w:rsidP="000544B6">
            <w:pPr>
              <w:rPr>
                <w:rFonts w:ascii="Arial" w:hAnsi="Arial" w:cs="Arial"/>
                <w:sz w:val="24"/>
                <w:szCs w:val="24"/>
              </w:rPr>
            </w:pPr>
          </w:p>
        </w:tc>
        <w:tc>
          <w:tcPr>
            <w:tcW w:w="4675" w:type="dxa"/>
          </w:tcPr>
          <w:p w14:paraId="1E4EB6D3" w14:textId="77777777" w:rsidR="003D1CF2" w:rsidRDefault="003D1CF2" w:rsidP="000544B6">
            <w:pPr>
              <w:rPr>
                <w:rFonts w:ascii="Arial" w:hAnsi="Arial" w:cs="Arial"/>
                <w:sz w:val="24"/>
                <w:szCs w:val="24"/>
              </w:rPr>
            </w:pPr>
            <w:r>
              <w:rPr>
                <w:rFonts w:ascii="Arial" w:hAnsi="Arial" w:cs="Arial"/>
                <w:sz w:val="24"/>
                <w:szCs w:val="24"/>
              </w:rPr>
              <w:t>ILER or other military record shows participation in a TERA</w:t>
            </w:r>
          </w:p>
        </w:tc>
      </w:tr>
    </w:tbl>
    <w:p w14:paraId="4467E6C9" w14:textId="77777777" w:rsidR="003D1CF2" w:rsidRDefault="003D1CF2" w:rsidP="003D1CF2">
      <w:pPr>
        <w:rPr>
          <w:rFonts w:ascii="Arial" w:hAnsi="Arial" w:cs="Arial"/>
          <w:sz w:val="24"/>
          <w:szCs w:val="24"/>
        </w:rPr>
      </w:pPr>
    </w:p>
    <w:p w14:paraId="610D7BD8" w14:textId="77777777" w:rsidR="003D1CF2" w:rsidRPr="005770F0" w:rsidRDefault="003D1CF2" w:rsidP="003D1CF2">
      <w:pPr>
        <w:rPr>
          <w:rFonts w:ascii="Arial" w:hAnsi="Arial" w:cs="Arial"/>
          <w:sz w:val="24"/>
          <w:szCs w:val="24"/>
        </w:rPr>
      </w:pPr>
      <w:r w:rsidRPr="005770F0">
        <w:rPr>
          <w:rFonts w:ascii="Arial" w:hAnsi="Arial" w:cs="Arial"/>
          <w:sz w:val="24"/>
          <w:szCs w:val="24"/>
        </w:rPr>
        <w:t>Unless another theory of service connection applies, such as presumption, the Veteran’s claim must be based on a TERA under the direct service connection provisions of 38 CFR 3.303 and 3.304</w:t>
      </w:r>
    </w:p>
    <w:p w14:paraId="5D54EA9A" w14:textId="77777777" w:rsidR="003D1CF2" w:rsidRDefault="003D1CF2" w:rsidP="003D1CF2">
      <w:pPr>
        <w:pStyle w:val="ListParagraph"/>
        <w:numPr>
          <w:ilvl w:val="0"/>
          <w:numId w:val="19"/>
        </w:numPr>
        <w:rPr>
          <w:rFonts w:ascii="Arial" w:hAnsi="Arial" w:cs="Arial"/>
          <w:sz w:val="24"/>
          <w:szCs w:val="24"/>
        </w:rPr>
      </w:pPr>
      <w:r w:rsidRPr="00200D0E">
        <w:rPr>
          <w:rFonts w:ascii="Arial" w:hAnsi="Arial" w:cs="Arial"/>
          <w:b/>
          <w:bCs/>
          <w:sz w:val="24"/>
          <w:szCs w:val="24"/>
        </w:rPr>
        <w:t>IMPORTANT</w:t>
      </w:r>
      <w:r>
        <w:rPr>
          <w:rFonts w:ascii="Arial" w:hAnsi="Arial" w:cs="Arial"/>
          <w:sz w:val="24"/>
          <w:szCs w:val="24"/>
        </w:rPr>
        <w:t xml:space="preserve">: For claims related to TERA, VA </w:t>
      </w:r>
      <w:r w:rsidRPr="00200D0E">
        <w:rPr>
          <w:rFonts w:ascii="Arial" w:hAnsi="Arial" w:cs="Arial"/>
          <w:b/>
          <w:bCs/>
          <w:color w:val="FF0000"/>
          <w:sz w:val="24"/>
          <w:szCs w:val="24"/>
          <w:u w:val="single"/>
        </w:rPr>
        <w:t>MUST</w:t>
      </w:r>
      <w:r w:rsidRPr="00200D0E">
        <w:rPr>
          <w:rFonts w:ascii="Arial" w:hAnsi="Arial" w:cs="Arial"/>
          <w:color w:val="FF0000"/>
          <w:sz w:val="24"/>
          <w:szCs w:val="24"/>
        </w:rPr>
        <w:t xml:space="preserve"> </w:t>
      </w:r>
      <w:r>
        <w:rPr>
          <w:rFonts w:ascii="Arial" w:hAnsi="Arial" w:cs="Arial"/>
          <w:sz w:val="24"/>
          <w:szCs w:val="24"/>
        </w:rPr>
        <w:t xml:space="preserve">request an </w:t>
      </w:r>
      <w:r w:rsidRPr="00200D0E">
        <w:rPr>
          <w:rFonts w:ascii="Arial" w:hAnsi="Arial" w:cs="Arial"/>
          <w:b/>
          <w:bCs/>
          <w:sz w:val="24"/>
          <w:szCs w:val="24"/>
        </w:rPr>
        <w:t>exam</w:t>
      </w:r>
      <w:r>
        <w:rPr>
          <w:rFonts w:ascii="Arial" w:hAnsi="Arial" w:cs="Arial"/>
          <w:sz w:val="24"/>
          <w:szCs w:val="24"/>
        </w:rPr>
        <w:t xml:space="preserve"> and </w:t>
      </w:r>
      <w:r w:rsidRPr="00200D0E">
        <w:rPr>
          <w:rFonts w:ascii="Arial" w:hAnsi="Arial" w:cs="Arial"/>
          <w:b/>
          <w:bCs/>
          <w:sz w:val="24"/>
          <w:szCs w:val="24"/>
        </w:rPr>
        <w:t>medial opinion</w:t>
      </w:r>
      <w:r>
        <w:rPr>
          <w:rFonts w:ascii="Arial" w:hAnsi="Arial" w:cs="Arial"/>
          <w:sz w:val="24"/>
          <w:szCs w:val="24"/>
        </w:rPr>
        <w:t xml:space="preserve"> </w:t>
      </w:r>
      <w:r w:rsidRPr="00200D0E">
        <w:rPr>
          <w:rFonts w:ascii="Arial" w:hAnsi="Arial" w:cs="Arial"/>
          <w:b/>
          <w:bCs/>
          <w:color w:val="FF0000"/>
          <w:sz w:val="24"/>
          <w:szCs w:val="24"/>
          <w:u w:val="single"/>
        </w:rPr>
        <w:t>BEFORE</w:t>
      </w:r>
      <w:r w:rsidRPr="00200D0E">
        <w:rPr>
          <w:rFonts w:ascii="Arial" w:hAnsi="Arial" w:cs="Arial"/>
          <w:color w:val="FF0000"/>
          <w:sz w:val="24"/>
          <w:szCs w:val="24"/>
        </w:rPr>
        <w:t xml:space="preserve"> </w:t>
      </w:r>
      <w:r>
        <w:rPr>
          <w:rFonts w:ascii="Arial" w:hAnsi="Arial" w:cs="Arial"/>
          <w:sz w:val="24"/>
          <w:szCs w:val="24"/>
        </w:rPr>
        <w:t xml:space="preserve">deciding a non-presumptive exposure claim. There is </w:t>
      </w:r>
      <w:r w:rsidRPr="00707E92">
        <w:rPr>
          <w:rFonts w:ascii="Arial" w:hAnsi="Arial" w:cs="Arial"/>
          <w:b/>
          <w:bCs/>
          <w:sz w:val="24"/>
          <w:szCs w:val="24"/>
          <w:u w:val="single"/>
        </w:rPr>
        <w:t>no required minimum level of exposure or duration of participation in a TERA</w:t>
      </w:r>
      <w:r>
        <w:rPr>
          <w:rFonts w:ascii="Arial" w:hAnsi="Arial" w:cs="Arial"/>
          <w:sz w:val="24"/>
          <w:szCs w:val="24"/>
        </w:rPr>
        <w:t xml:space="preserve">. </w:t>
      </w:r>
    </w:p>
    <w:p w14:paraId="1DB90DAF" w14:textId="77777777" w:rsidR="003D1CF2" w:rsidRPr="000250F5" w:rsidRDefault="003D1CF2" w:rsidP="003D1CF2">
      <w:pPr>
        <w:pStyle w:val="ListParagraph"/>
        <w:ind w:left="1440"/>
        <w:rPr>
          <w:rFonts w:ascii="Arial" w:hAnsi="Arial" w:cs="Arial"/>
          <w:sz w:val="24"/>
          <w:szCs w:val="24"/>
        </w:rPr>
      </w:pPr>
    </w:p>
    <w:p w14:paraId="68C64110" w14:textId="506E5A85" w:rsidR="003D1CF2" w:rsidRPr="003D1CF2" w:rsidRDefault="003D1CF2" w:rsidP="003D1CF2">
      <w:pPr>
        <w:jc w:val="center"/>
        <w:rPr>
          <w:rFonts w:ascii="Arial" w:hAnsi="Arial" w:cs="Arial"/>
          <w:sz w:val="24"/>
          <w:szCs w:val="24"/>
        </w:rPr>
      </w:pPr>
      <w:r>
        <w:rPr>
          <w:noProof/>
        </w:rPr>
        <w:drawing>
          <wp:inline distT="0" distB="0" distL="0" distR="0" wp14:anchorId="6F4DB14A" wp14:editId="12974D89">
            <wp:extent cx="5943600" cy="1615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50846" cy="1617409"/>
                    </a:xfrm>
                    <a:prstGeom prst="rect">
                      <a:avLst/>
                    </a:prstGeom>
                  </pic:spPr>
                </pic:pic>
              </a:graphicData>
            </a:graphic>
          </wp:inline>
        </w:drawing>
      </w:r>
    </w:p>
    <w:p w14:paraId="18BAF36F" w14:textId="77777777" w:rsidR="003D1CF2" w:rsidRPr="009B5619" w:rsidRDefault="003D1CF2" w:rsidP="003D1CF2">
      <w:pPr>
        <w:pStyle w:val="VBAILTHeading1"/>
        <w:rPr>
          <w:rFonts w:ascii="Arial" w:hAnsi="Arial" w:cs="Arial"/>
          <w:sz w:val="24"/>
          <w:szCs w:val="24"/>
        </w:rPr>
      </w:pPr>
      <w:bookmarkStart w:id="19" w:name="_Toc169247185"/>
      <w:r>
        <w:rPr>
          <w:rFonts w:ascii="Arial" w:hAnsi="Arial" w:cs="Arial"/>
          <w:sz w:val="24"/>
          <w:szCs w:val="24"/>
        </w:rPr>
        <w:lastRenderedPageBreak/>
        <w:t>Exceptions to Ordering TERA Examinations</w:t>
      </w:r>
      <w:bookmarkEnd w:id="19"/>
    </w:p>
    <w:p w14:paraId="57199D06" w14:textId="77777777" w:rsidR="003D1CF2" w:rsidRDefault="003D1CF2" w:rsidP="003D1CF2">
      <w:pPr>
        <w:rPr>
          <w:rFonts w:ascii="Arial" w:hAnsi="Arial" w:cs="Arial"/>
          <w:color w:val="333333"/>
          <w:sz w:val="24"/>
          <w:szCs w:val="24"/>
          <w:shd w:val="clear" w:color="auto" w:fill="FFFFFF"/>
        </w:rPr>
      </w:pPr>
      <w:r w:rsidRPr="000250F5">
        <w:rPr>
          <w:rFonts w:ascii="Arial" w:hAnsi="Arial" w:cs="Arial"/>
          <w:color w:val="333333"/>
          <w:sz w:val="24"/>
          <w:szCs w:val="24"/>
          <w:shd w:val="clear" w:color="auto" w:fill="FFFFFF"/>
        </w:rPr>
        <w:t>If the Secretary determines there is no indication of an association between the disability claimed by the </w:t>
      </w:r>
      <w:r w:rsidRPr="000250F5">
        <w:rPr>
          <w:rFonts w:ascii="Arial" w:hAnsi="Arial" w:cs="Arial"/>
          <w:sz w:val="24"/>
          <w:szCs w:val="24"/>
          <w:shd w:val="clear" w:color="auto" w:fill="FFFFFF"/>
        </w:rPr>
        <w:t>Veteran</w:t>
      </w:r>
      <w:r w:rsidRPr="000250F5">
        <w:rPr>
          <w:rFonts w:ascii="Arial" w:hAnsi="Arial" w:cs="Arial"/>
          <w:color w:val="333333"/>
          <w:sz w:val="24"/>
          <w:szCs w:val="24"/>
          <w:shd w:val="clear" w:color="auto" w:fill="FFFFFF"/>
        </w:rPr>
        <w:t> and the </w:t>
      </w:r>
      <w:r w:rsidRPr="000250F5">
        <w:rPr>
          <w:rFonts w:ascii="Arial" w:hAnsi="Arial" w:cs="Arial"/>
          <w:sz w:val="24"/>
          <w:szCs w:val="24"/>
          <w:shd w:val="clear" w:color="auto" w:fill="FFFFFF"/>
        </w:rPr>
        <w:t>toxic exposure risk activity</w:t>
      </w:r>
      <w:r w:rsidRPr="000250F5">
        <w:rPr>
          <w:rFonts w:ascii="Arial" w:hAnsi="Arial" w:cs="Arial"/>
          <w:color w:val="333333"/>
          <w:sz w:val="24"/>
          <w:szCs w:val="24"/>
          <w:shd w:val="clear" w:color="auto" w:fill="FFFFFF"/>
        </w:rPr>
        <w:t> for which the</w:t>
      </w:r>
      <w:r w:rsidRPr="000250F5">
        <w:rPr>
          <w:rFonts w:ascii="Arial" w:hAnsi="Arial" w:cs="Arial"/>
          <w:sz w:val="24"/>
          <w:szCs w:val="24"/>
          <w:shd w:val="clear" w:color="auto" w:fill="FFFFFF"/>
        </w:rPr>
        <w:t> Veteran </w:t>
      </w:r>
      <w:r w:rsidRPr="000250F5">
        <w:rPr>
          <w:rFonts w:ascii="Arial" w:hAnsi="Arial" w:cs="Arial"/>
          <w:color w:val="333333"/>
          <w:sz w:val="24"/>
          <w:szCs w:val="24"/>
          <w:shd w:val="clear" w:color="auto" w:fill="FFFFFF"/>
        </w:rPr>
        <w:t>submitted evidence</w:t>
      </w:r>
      <w:r>
        <w:rPr>
          <w:rFonts w:ascii="Arial" w:hAnsi="Arial" w:cs="Arial"/>
          <w:color w:val="333333"/>
          <w:sz w:val="24"/>
          <w:szCs w:val="24"/>
          <w:shd w:val="clear" w:color="auto" w:fill="FFFFFF"/>
        </w:rPr>
        <w:t xml:space="preserve"> medical examinations and medical opinions are not required.</w:t>
      </w:r>
    </w:p>
    <w:p w14:paraId="0CA9D5C3" w14:textId="77777777" w:rsidR="003D1CF2" w:rsidRPr="00540BC0" w:rsidRDefault="003D1CF2" w:rsidP="003D1CF2">
      <w:pPr>
        <w:rPr>
          <w:rFonts w:ascii="Arial" w:hAnsi="Arial" w:cs="Arial"/>
          <w:b/>
          <w:bCs/>
          <w:color w:val="333333"/>
          <w:sz w:val="24"/>
          <w:szCs w:val="24"/>
          <w:shd w:val="clear" w:color="auto" w:fill="FFFFFF"/>
        </w:rPr>
      </w:pPr>
      <w:r w:rsidRPr="00540BC0">
        <w:rPr>
          <w:rFonts w:ascii="Arial" w:hAnsi="Arial" w:cs="Arial"/>
          <w:b/>
          <w:bCs/>
          <w:color w:val="333333"/>
          <w:sz w:val="24"/>
          <w:szCs w:val="24"/>
          <w:shd w:val="clear" w:color="auto" w:fill="FFFFFF"/>
        </w:rPr>
        <w:t>DON’Ts</w:t>
      </w:r>
      <w:r>
        <w:rPr>
          <w:rFonts w:ascii="Arial" w:hAnsi="Arial" w:cs="Arial"/>
          <w:b/>
          <w:bCs/>
          <w:color w:val="333333"/>
          <w:sz w:val="24"/>
          <w:szCs w:val="24"/>
          <w:shd w:val="clear" w:color="auto" w:fill="FFFFFF"/>
        </w:rPr>
        <w:t xml:space="preserve"> for requesting an examination:</w:t>
      </w:r>
    </w:p>
    <w:p w14:paraId="6A7A4080" w14:textId="77777777" w:rsidR="003D1CF2" w:rsidRPr="00540BC0" w:rsidRDefault="003D1CF2" w:rsidP="003D1CF2">
      <w:pPr>
        <w:pStyle w:val="ListParagraph"/>
        <w:numPr>
          <w:ilvl w:val="0"/>
          <w:numId w:val="23"/>
        </w:numPr>
        <w:rPr>
          <w:rFonts w:ascii="Arial" w:hAnsi="Arial" w:cs="Arial"/>
          <w:sz w:val="24"/>
          <w:szCs w:val="24"/>
        </w:rPr>
      </w:pPr>
      <w:r w:rsidRPr="00540BC0">
        <w:rPr>
          <w:rFonts w:ascii="Arial" w:hAnsi="Arial" w:cs="Arial"/>
          <w:b/>
          <w:bCs/>
          <w:color w:val="333333"/>
          <w:sz w:val="24"/>
          <w:szCs w:val="24"/>
          <w:shd w:val="clear" w:color="auto" w:fill="FFFFFF"/>
        </w:rPr>
        <w:t>DO NOT</w:t>
      </w:r>
      <w:r w:rsidRPr="00540BC0">
        <w:rPr>
          <w:rFonts w:ascii="Arial" w:hAnsi="Arial" w:cs="Arial"/>
          <w:color w:val="333333"/>
          <w:sz w:val="24"/>
          <w:szCs w:val="24"/>
          <w:shd w:val="clear" w:color="auto" w:fill="FFFFFF"/>
        </w:rPr>
        <w:t xml:space="preserve"> order an examination based upon a TERA if</w:t>
      </w:r>
      <w:r>
        <w:rPr>
          <w:rFonts w:ascii="Arial" w:hAnsi="Arial" w:cs="Arial"/>
          <w:color w:val="333333"/>
          <w:sz w:val="24"/>
          <w:szCs w:val="24"/>
          <w:shd w:val="clear" w:color="auto" w:fill="FFFFFF"/>
        </w:rPr>
        <w:t xml:space="preserve"> the non-presumptive claim is based on physical trauma (ex: hearing loss) UNLESS the Veteran submits competent medial or scientific evidence of an association between their disability and in-service TERA</w:t>
      </w:r>
    </w:p>
    <w:p w14:paraId="6F096436" w14:textId="77777777" w:rsidR="003D1CF2" w:rsidRPr="00540BC0" w:rsidRDefault="003D1CF2" w:rsidP="003D1CF2">
      <w:pPr>
        <w:pStyle w:val="ListParagraph"/>
        <w:numPr>
          <w:ilvl w:val="0"/>
          <w:numId w:val="23"/>
        </w:numPr>
        <w:rPr>
          <w:rFonts w:ascii="Arial" w:hAnsi="Arial" w:cs="Arial"/>
          <w:sz w:val="24"/>
          <w:szCs w:val="24"/>
        </w:rPr>
      </w:pPr>
      <w:r w:rsidRPr="00540BC0">
        <w:rPr>
          <w:rFonts w:ascii="Arial" w:hAnsi="Arial" w:cs="Arial"/>
          <w:b/>
          <w:bCs/>
          <w:color w:val="333333"/>
          <w:sz w:val="24"/>
          <w:szCs w:val="24"/>
          <w:shd w:val="clear" w:color="auto" w:fill="FFFFFF"/>
        </w:rPr>
        <w:t>DO NOT</w:t>
      </w:r>
      <w:r w:rsidRPr="00540BC0">
        <w:rPr>
          <w:rFonts w:ascii="Arial" w:hAnsi="Arial" w:cs="Arial"/>
          <w:color w:val="333333"/>
          <w:sz w:val="24"/>
          <w:szCs w:val="24"/>
          <w:shd w:val="clear" w:color="auto" w:fill="FFFFFF"/>
        </w:rPr>
        <w:t xml:space="preserve"> order an examination</w:t>
      </w:r>
      <w:r>
        <w:rPr>
          <w:rFonts w:ascii="Arial" w:hAnsi="Arial" w:cs="Arial"/>
          <w:color w:val="333333"/>
          <w:sz w:val="24"/>
          <w:szCs w:val="24"/>
          <w:shd w:val="clear" w:color="auto" w:fill="FFFFFF"/>
        </w:rPr>
        <w:t xml:space="preserve"> for mental disorders. Toxic exposure can result in neurological decline and such diagnoses should be considered on a direct or secondary basis.</w:t>
      </w:r>
    </w:p>
    <w:p w14:paraId="5656532B" w14:textId="77777777" w:rsidR="003D1CF2" w:rsidRPr="00540BC0" w:rsidRDefault="003D1CF2" w:rsidP="003D1CF2">
      <w:pPr>
        <w:pStyle w:val="ListParagraph"/>
        <w:numPr>
          <w:ilvl w:val="0"/>
          <w:numId w:val="23"/>
        </w:numPr>
        <w:rPr>
          <w:rFonts w:ascii="Arial" w:hAnsi="Arial" w:cs="Arial"/>
          <w:sz w:val="24"/>
          <w:szCs w:val="24"/>
        </w:rPr>
      </w:pPr>
      <w:r>
        <w:rPr>
          <w:rFonts w:ascii="Arial" w:hAnsi="Arial" w:cs="Arial"/>
          <w:b/>
          <w:bCs/>
          <w:color w:val="333333"/>
          <w:sz w:val="24"/>
          <w:szCs w:val="24"/>
          <w:shd w:val="clear" w:color="auto" w:fill="FFFFFF"/>
        </w:rPr>
        <w:t xml:space="preserve">DO NOT </w:t>
      </w:r>
      <w:r>
        <w:rPr>
          <w:rFonts w:ascii="Arial" w:hAnsi="Arial" w:cs="Arial"/>
          <w:color w:val="333333"/>
          <w:sz w:val="24"/>
          <w:szCs w:val="24"/>
          <w:shd w:val="clear" w:color="auto" w:fill="FFFFFF"/>
        </w:rPr>
        <w:t xml:space="preserve">order an examination for claims for disabilities that manifested during military service or with an etiology not associated with toxic exposure. </w:t>
      </w:r>
    </w:p>
    <w:p w14:paraId="48C173A9" w14:textId="77777777" w:rsidR="003D1CF2" w:rsidRDefault="003D1CF2" w:rsidP="003D1CF2">
      <w:pPr>
        <w:pStyle w:val="ListParagraph"/>
        <w:numPr>
          <w:ilvl w:val="1"/>
          <w:numId w:val="23"/>
        </w:numPr>
        <w:rPr>
          <w:rFonts w:ascii="Arial" w:hAnsi="Arial" w:cs="Arial"/>
          <w:sz w:val="24"/>
          <w:szCs w:val="24"/>
        </w:rPr>
      </w:pPr>
      <w:r w:rsidRPr="00E73043">
        <w:rPr>
          <w:rFonts w:ascii="Arial" w:hAnsi="Arial" w:cs="Arial"/>
          <w:sz w:val="24"/>
          <w:szCs w:val="24"/>
        </w:rPr>
        <w:t>This exception applies to conditions that manifested during service for which a medical nexus opinion would not be needed to decide service connection on a direct basis (evidence of chronicity or continuity is of record) and to claims where the evidence of record indicates that the claimed condition is clearly related to an etiology that is not associated with toxic exposure.</w:t>
      </w:r>
    </w:p>
    <w:p w14:paraId="407EE878" w14:textId="77777777" w:rsidR="003D1CF2" w:rsidRDefault="003D1CF2" w:rsidP="003D1CF2">
      <w:pPr>
        <w:pStyle w:val="ListParagraph"/>
        <w:ind w:left="1440"/>
        <w:rPr>
          <w:rFonts w:ascii="Arial" w:hAnsi="Arial" w:cs="Arial"/>
          <w:sz w:val="24"/>
          <w:szCs w:val="24"/>
        </w:rPr>
      </w:pPr>
    </w:p>
    <w:p w14:paraId="5FA927C5" w14:textId="77777777" w:rsidR="003D1CF2" w:rsidRDefault="003D1CF2" w:rsidP="003D1CF2">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518638BD" wp14:editId="253B9ECD">
                <wp:simplePos x="0" y="0"/>
                <wp:positionH relativeFrom="column">
                  <wp:posOffset>91440</wp:posOffset>
                </wp:positionH>
                <wp:positionV relativeFrom="paragraph">
                  <wp:posOffset>-103632</wp:posOffset>
                </wp:positionV>
                <wp:extent cx="5711952" cy="3163824"/>
                <wp:effectExtent l="0" t="0" r="22225" b="17780"/>
                <wp:wrapNone/>
                <wp:docPr id="3" name="Rectangle 3"/>
                <wp:cNvGraphicFramePr/>
                <a:graphic xmlns:a="http://schemas.openxmlformats.org/drawingml/2006/main">
                  <a:graphicData uri="http://schemas.microsoft.com/office/word/2010/wordprocessingShape">
                    <wps:wsp>
                      <wps:cNvSpPr/>
                      <wps:spPr>
                        <a:xfrm>
                          <a:off x="0" y="0"/>
                          <a:ext cx="5711952" cy="316382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9D8A91" w14:textId="77777777" w:rsidR="003D1CF2" w:rsidRPr="00E73043" w:rsidRDefault="003D1CF2" w:rsidP="003D1CF2">
                            <w:pPr>
                              <w:rPr>
                                <w:rFonts w:ascii="Arial" w:hAnsi="Arial" w:cs="Arial"/>
                                <w:b/>
                                <w:bCs/>
                                <w:sz w:val="24"/>
                                <w:szCs w:val="24"/>
                              </w:rPr>
                            </w:pPr>
                            <w:r w:rsidRPr="00E73043">
                              <w:rPr>
                                <w:rFonts w:ascii="Arial" w:hAnsi="Arial" w:cs="Arial"/>
                                <w:b/>
                                <w:bCs/>
                                <w:sz w:val="24"/>
                                <w:szCs w:val="24"/>
                              </w:rPr>
                              <w:t>Exceptions Scenarios:</w:t>
                            </w:r>
                          </w:p>
                          <w:p w14:paraId="38D9C38E" w14:textId="77777777" w:rsidR="003D1CF2" w:rsidRDefault="003D1CF2" w:rsidP="003D1CF2">
                            <w:pPr>
                              <w:rPr>
                                <w:rFonts w:ascii="Arial" w:hAnsi="Arial" w:cs="Arial"/>
                                <w:sz w:val="24"/>
                                <w:szCs w:val="24"/>
                              </w:rPr>
                            </w:pPr>
                            <w:r w:rsidRPr="00E73043">
                              <w:rPr>
                                <w:rFonts w:ascii="Arial" w:hAnsi="Arial" w:cs="Arial"/>
                                <w:b/>
                                <w:bCs/>
                                <w:sz w:val="24"/>
                                <w:szCs w:val="24"/>
                              </w:rPr>
                              <w:t>Scenario 2:</w:t>
                            </w:r>
                            <w:r>
                              <w:rPr>
                                <w:rFonts w:ascii="Arial" w:hAnsi="Arial" w:cs="Arial"/>
                                <w:sz w:val="24"/>
                                <w:szCs w:val="24"/>
                              </w:rPr>
                              <w:t xml:space="preserve"> On October 22, 2022, Sally Veteran submitted a claim for left leg injury, which is due to physical trauma.</w:t>
                            </w:r>
                          </w:p>
                          <w:p w14:paraId="152FE120" w14:textId="77777777" w:rsidR="003D1CF2" w:rsidRDefault="003D1CF2" w:rsidP="003D1CF2">
                            <w:pPr>
                              <w:rPr>
                                <w:rFonts w:ascii="Arial" w:hAnsi="Arial" w:cs="Arial"/>
                                <w:sz w:val="24"/>
                                <w:szCs w:val="24"/>
                              </w:rPr>
                            </w:pPr>
                            <w:r w:rsidRPr="00E73043">
                              <w:rPr>
                                <w:rFonts w:ascii="Arial" w:hAnsi="Arial" w:cs="Arial"/>
                                <w:b/>
                                <w:bCs/>
                                <w:sz w:val="24"/>
                                <w:szCs w:val="24"/>
                              </w:rPr>
                              <w:t>Action Required:</w:t>
                            </w:r>
                            <w:r>
                              <w:rPr>
                                <w:rFonts w:ascii="Arial" w:hAnsi="Arial" w:cs="Arial"/>
                                <w:sz w:val="24"/>
                                <w:szCs w:val="24"/>
                              </w:rPr>
                              <w:t xml:space="preserve">  The claims processor would not order an examination with medical opinion.</w:t>
                            </w:r>
                          </w:p>
                          <w:p w14:paraId="68DC477D" w14:textId="77777777" w:rsidR="003D1CF2" w:rsidRDefault="003D1CF2" w:rsidP="007D5300">
                            <w:pPr>
                              <w:jc w:val="center"/>
                              <w:rPr>
                                <w:rFonts w:ascii="Arial" w:hAnsi="Arial" w:cs="Arial"/>
                                <w:sz w:val="24"/>
                                <w:szCs w:val="24"/>
                              </w:rPr>
                            </w:pPr>
                          </w:p>
                          <w:p w14:paraId="65AF6F75" w14:textId="77777777" w:rsidR="003D1CF2" w:rsidRDefault="003D1CF2" w:rsidP="003D1CF2">
                            <w:pPr>
                              <w:rPr>
                                <w:rFonts w:ascii="Arial" w:hAnsi="Arial" w:cs="Arial"/>
                                <w:sz w:val="24"/>
                                <w:szCs w:val="24"/>
                              </w:rPr>
                            </w:pPr>
                            <w:r w:rsidRPr="008D193E">
                              <w:rPr>
                                <w:rFonts w:ascii="Arial" w:hAnsi="Arial" w:cs="Arial"/>
                                <w:b/>
                                <w:bCs/>
                                <w:sz w:val="24"/>
                                <w:szCs w:val="24"/>
                              </w:rPr>
                              <w:t>Scenario 3:</w:t>
                            </w:r>
                            <w:r>
                              <w:rPr>
                                <w:rFonts w:ascii="Arial" w:hAnsi="Arial" w:cs="Arial"/>
                                <w:sz w:val="24"/>
                                <w:szCs w:val="24"/>
                              </w:rPr>
                              <w:t xml:space="preserve"> On February 3, 2023, Lyle Veteran submitted a claim for skin disorders, and STRS show complaints of outbreaks of rashes and other skin conditions. </w:t>
                            </w:r>
                          </w:p>
                          <w:p w14:paraId="1653CEAC" w14:textId="77777777" w:rsidR="003D1CF2" w:rsidRPr="00E73043" w:rsidRDefault="003D1CF2" w:rsidP="003D1CF2">
                            <w:pPr>
                              <w:rPr>
                                <w:rFonts w:ascii="Arial" w:hAnsi="Arial" w:cs="Arial"/>
                                <w:sz w:val="24"/>
                                <w:szCs w:val="24"/>
                              </w:rPr>
                            </w:pPr>
                            <w:r w:rsidRPr="008D193E">
                              <w:rPr>
                                <w:rFonts w:ascii="Arial" w:hAnsi="Arial" w:cs="Arial"/>
                                <w:b/>
                                <w:bCs/>
                                <w:sz w:val="24"/>
                                <w:szCs w:val="24"/>
                              </w:rPr>
                              <w:t>Action Required:</w:t>
                            </w:r>
                            <w:r>
                              <w:rPr>
                                <w:rFonts w:ascii="Arial" w:hAnsi="Arial" w:cs="Arial"/>
                                <w:sz w:val="24"/>
                                <w:szCs w:val="24"/>
                              </w:rPr>
                              <w:t xml:space="preserve"> Since the condition manifested during military service, it would be an exception under the TERA examination requirements. The claims processor would not order a TERA exam with medical opinion. Process the claim based on direct service connection provision unrelated to TERA.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638BD" id="Rectangle 3" o:spid="_x0000_s1026" style="position:absolute;margin-left:7.2pt;margin-top:-8.15pt;width:449.75pt;height:24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" fillcolor="#4472c4 [3204]" strokecolor="#1f3763 [1604]" strokeweight="1pt">
                <v:textbox>
                  <w:txbxContent>
                    <w:p w14:paraId="6A9D8A91" w14:textId="77777777" w:rsidR="003D1CF2" w:rsidRPr="00E73043" w:rsidRDefault="003D1CF2" w:rsidP="003D1CF2">
                      <w:pPr>
                        <w:rPr>
                          <w:rFonts w:ascii="Arial" w:hAnsi="Arial" w:cs="Arial"/>
                          <w:b/>
                          <w:bCs/>
                          <w:sz w:val="24"/>
                          <w:szCs w:val="24"/>
                        </w:rPr>
                      </w:pPr>
                      <w:r w:rsidRPr="00E73043">
                        <w:rPr>
                          <w:rFonts w:ascii="Arial" w:hAnsi="Arial" w:cs="Arial"/>
                          <w:b/>
                          <w:bCs/>
                          <w:sz w:val="24"/>
                          <w:szCs w:val="24"/>
                        </w:rPr>
                        <w:t>Exceptions Scenarios:</w:t>
                      </w:r>
                    </w:p>
                    <w:p w14:paraId="38D9C38E" w14:textId="77777777" w:rsidR="003D1CF2" w:rsidRDefault="003D1CF2" w:rsidP="003D1CF2">
                      <w:pPr>
                        <w:rPr>
                          <w:rFonts w:ascii="Arial" w:hAnsi="Arial" w:cs="Arial"/>
                          <w:sz w:val="24"/>
                          <w:szCs w:val="24"/>
                        </w:rPr>
                      </w:pPr>
                      <w:r w:rsidRPr="00E73043">
                        <w:rPr>
                          <w:rFonts w:ascii="Arial" w:hAnsi="Arial" w:cs="Arial"/>
                          <w:b/>
                          <w:bCs/>
                          <w:sz w:val="24"/>
                          <w:szCs w:val="24"/>
                        </w:rPr>
                        <w:t>Scenario 2:</w:t>
                      </w:r>
                      <w:r>
                        <w:rPr>
                          <w:rFonts w:ascii="Arial" w:hAnsi="Arial" w:cs="Arial"/>
                          <w:sz w:val="24"/>
                          <w:szCs w:val="24"/>
                        </w:rPr>
                        <w:t xml:space="preserve"> On October 22, 2022, Sally Veteran submitted a claim for left leg injury, which is due to physical trauma.</w:t>
                      </w:r>
                    </w:p>
                    <w:p w14:paraId="152FE120" w14:textId="77777777" w:rsidR="003D1CF2" w:rsidRDefault="003D1CF2" w:rsidP="003D1CF2">
                      <w:pPr>
                        <w:rPr>
                          <w:rFonts w:ascii="Arial" w:hAnsi="Arial" w:cs="Arial"/>
                          <w:sz w:val="24"/>
                          <w:szCs w:val="24"/>
                        </w:rPr>
                      </w:pPr>
                      <w:r w:rsidRPr="00E73043">
                        <w:rPr>
                          <w:rFonts w:ascii="Arial" w:hAnsi="Arial" w:cs="Arial"/>
                          <w:b/>
                          <w:bCs/>
                          <w:sz w:val="24"/>
                          <w:szCs w:val="24"/>
                        </w:rPr>
                        <w:t>Action Required:</w:t>
                      </w:r>
                      <w:r>
                        <w:rPr>
                          <w:rFonts w:ascii="Arial" w:hAnsi="Arial" w:cs="Arial"/>
                          <w:sz w:val="24"/>
                          <w:szCs w:val="24"/>
                        </w:rPr>
                        <w:t xml:space="preserve">  The claims processor would not order an examination with medical opinion.</w:t>
                      </w:r>
                    </w:p>
                    <w:p w14:paraId="68DC477D" w14:textId="77777777" w:rsidR="003D1CF2" w:rsidRDefault="003D1CF2" w:rsidP="007D5300">
                      <w:pPr>
                        <w:jc w:val="center"/>
                        <w:rPr>
                          <w:rFonts w:ascii="Arial" w:hAnsi="Arial" w:cs="Arial"/>
                          <w:sz w:val="24"/>
                          <w:szCs w:val="24"/>
                        </w:rPr>
                      </w:pPr>
                    </w:p>
                    <w:p w14:paraId="65AF6F75" w14:textId="77777777" w:rsidR="003D1CF2" w:rsidRDefault="003D1CF2" w:rsidP="003D1CF2">
                      <w:pPr>
                        <w:rPr>
                          <w:rFonts w:ascii="Arial" w:hAnsi="Arial" w:cs="Arial"/>
                          <w:sz w:val="24"/>
                          <w:szCs w:val="24"/>
                        </w:rPr>
                      </w:pPr>
                      <w:r w:rsidRPr="008D193E">
                        <w:rPr>
                          <w:rFonts w:ascii="Arial" w:hAnsi="Arial" w:cs="Arial"/>
                          <w:b/>
                          <w:bCs/>
                          <w:sz w:val="24"/>
                          <w:szCs w:val="24"/>
                        </w:rPr>
                        <w:t>Scenario 3:</w:t>
                      </w:r>
                      <w:r>
                        <w:rPr>
                          <w:rFonts w:ascii="Arial" w:hAnsi="Arial" w:cs="Arial"/>
                          <w:sz w:val="24"/>
                          <w:szCs w:val="24"/>
                        </w:rPr>
                        <w:t xml:space="preserve"> On February 3, 2023, Lyle Veteran submitted a claim for skin disorders, and STRS show complaints of outbreaks of rashes and other skin conditions. </w:t>
                      </w:r>
                    </w:p>
                    <w:p w14:paraId="1653CEAC" w14:textId="77777777" w:rsidR="003D1CF2" w:rsidRPr="00E73043" w:rsidRDefault="003D1CF2" w:rsidP="003D1CF2">
                      <w:pPr>
                        <w:rPr>
                          <w:rFonts w:ascii="Arial" w:hAnsi="Arial" w:cs="Arial"/>
                          <w:sz w:val="24"/>
                          <w:szCs w:val="24"/>
                        </w:rPr>
                      </w:pPr>
                      <w:r w:rsidRPr="008D193E">
                        <w:rPr>
                          <w:rFonts w:ascii="Arial" w:hAnsi="Arial" w:cs="Arial"/>
                          <w:b/>
                          <w:bCs/>
                          <w:sz w:val="24"/>
                          <w:szCs w:val="24"/>
                        </w:rPr>
                        <w:t>Action Required:</w:t>
                      </w:r>
                      <w:r>
                        <w:rPr>
                          <w:rFonts w:ascii="Arial" w:hAnsi="Arial" w:cs="Arial"/>
                          <w:sz w:val="24"/>
                          <w:szCs w:val="24"/>
                        </w:rPr>
                        <w:t xml:space="preserve"> Since the condition manifested during military service, it would be an exception under the TERA examination requirements. The claims processor would not order a TERA exam with medical opinion. Process the claim based on direct service connection provision unrelated to TERA.</w:t>
                      </w:r>
                    </w:p>
                  </w:txbxContent>
                </v:textbox>
              </v:rect>
            </w:pict>
          </mc:Fallback>
        </mc:AlternateContent>
      </w:r>
    </w:p>
    <w:p w14:paraId="7767AB25" w14:textId="77777777" w:rsidR="003D1CF2" w:rsidRDefault="003D1CF2" w:rsidP="003D1CF2">
      <w:pPr>
        <w:rPr>
          <w:rFonts w:ascii="Arial" w:hAnsi="Arial" w:cs="Arial"/>
          <w:sz w:val="24"/>
          <w:szCs w:val="24"/>
        </w:rPr>
      </w:pPr>
    </w:p>
    <w:p w14:paraId="5F1DB0F0" w14:textId="77777777" w:rsidR="003D1CF2" w:rsidRDefault="003D1CF2" w:rsidP="003D1CF2">
      <w:pPr>
        <w:rPr>
          <w:rFonts w:ascii="Arial" w:hAnsi="Arial" w:cs="Arial"/>
          <w:sz w:val="24"/>
          <w:szCs w:val="24"/>
        </w:rPr>
      </w:pPr>
    </w:p>
    <w:p w14:paraId="1119C2D4" w14:textId="77777777" w:rsidR="003D1CF2" w:rsidRDefault="003D1CF2" w:rsidP="003D1CF2">
      <w:pPr>
        <w:rPr>
          <w:rFonts w:ascii="Arial" w:hAnsi="Arial" w:cs="Arial"/>
          <w:sz w:val="24"/>
          <w:szCs w:val="24"/>
        </w:rPr>
      </w:pPr>
    </w:p>
    <w:p w14:paraId="2453F81D" w14:textId="77777777" w:rsidR="003D1CF2" w:rsidRDefault="003D1CF2" w:rsidP="003D1CF2">
      <w:pPr>
        <w:rPr>
          <w:rFonts w:ascii="Arial" w:hAnsi="Arial" w:cs="Arial"/>
          <w:sz w:val="24"/>
          <w:szCs w:val="24"/>
        </w:rPr>
      </w:pPr>
    </w:p>
    <w:p w14:paraId="446233BF" w14:textId="77777777" w:rsidR="003D1CF2" w:rsidRDefault="003D1CF2" w:rsidP="003D1CF2">
      <w:pPr>
        <w:rPr>
          <w:rFonts w:ascii="Arial" w:hAnsi="Arial" w:cs="Arial"/>
          <w:sz w:val="24"/>
          <w:szCs w:val="24"/>
        </w:rPr>
      </w:pPr>
    </w:p>
    <w:p w14:paraId="0667FD9B" w14:textId="77777777" w:rsidR="003D1CF2" w:rsidRDefault="003D1CF2" w:rsidP="003D1CF2">
      <w:pPr>
        <w:rPr>
          <w:rFonts w:ascii="Arial" w:hAnsi="Arial" w:cs="Arial"/>
          <w:sz w:val="24"/>
          <w:szCs w:val="24"/>
        </w:rPr>
      </w:pPr>
    </w:p>
    <w:p w14:paraId="5E78E744" w14:textId="77777777" w:rsidR="003D1CF2" w:rsidRDefault="003D1CF2" w:rsidP="003D1CF2">
      <w:pPr>
        <w:rPr>
          <w:rFonts w:ascii="Arial" w:hAnsi="Arial" w:cs="Arial"/>
          <w:sz w:val="24"/>
          <w:szCs w:val="24"/>
        </w:rPr>
      </w:pPr>
    </w:p>
    <w:p w14:paraId="5F4D123D" w14:textId="77777777" w:rsidR="003D1CF2" w:rsidRDefault="003D1CF2" w:rsidP="003D1CF2">
      <w:pPr>
        <w:rPr>
          <w:rFonts w:ascii="Arial" w:hAnsi="Arial" w:cs="Arial"/>
          <w:sz w:val="24"/>
          <w:szCs w:val="24"/>
        </w:rPr>
      </w:pPr>
    </w:p>
    <w:p w14:paraId="2AC195A3" w14:textId="77777777" w:rsidR="003D1CF2" w:rsidRDefault="003D1CF2" w:rsidP="003D1CF2">
      <w:pPr>
        <w:rPr>
          <w:rFonts w:ascii="Arial" w:hAnsi="Arial" w:cs="Arial"/>
          <w:sz w:val="24"/>
          <w:szCs w:val="24"/>
        </w:rPr>
      </w:pPr>
    </w:p>
    <w:p w14:paraId="5F966222" w14:textId="77777777" w:rsidR="003D1CF2" w:rsidRDefault="003D1CF2" w:rsidP="003D1CF2">
      <w:pPr>
        <w:rPr>
          <w:rFonts w:ascii="Arial" w:hAnsi="Arial" w:cs="Arial"/>
          <w:sz w:val="24"/>
          <w:szCs w:val="24"/>
        </w:rPr>
      </w:pPr>
    </w:p>
    <w:p w14:paraId="273F9CFA" w14:textId="77777777" w:rsidR="003D1CF2" w:rsidRDefault="003D1CF2" w:rsidP="003D1CF2">
      <w:pPr>
        <w:rPr>
          <w:rFonts w:ascii="Arial" w:hAnsi="Arial" w:cs="Arial"/>
          <w:b/>
          <w:sz w:val="24"/>
          <w:szCs w:val="24"/>
        </w:rPr>
      </w:pPr>
      <w:r>
        <w:rPr>
          <w:rFonts w:ascii="Arial" w:hAnsi="Arial" w:cs="Arial"/>
          <w:sz w:val="24"/>
          <w:szCs w:val="24"/>
        </w:rPr>
        <w:br w:type="page"/>
      </w:r>
    </w:p>
    <w:p w14:paraId="4E75E881" w14:textId="77777777" w:rsidR="003D1CF2" w:rsidRPr="009B5619" w:rsidRDefault="003D1CF2" w:rsidP="003D1CF2">
      <w:pPr>
        <w:pStyle w:val="VBAILTHeading1"/>
        <w:rPr>
          <w:rFonts w:ascii="Arial" w:hAnsi="Arial" w:cs="Arial"/>
          <w:sz w:val="24"/>
          <w:szCs w:val="24"/>
        </w:rPr>
      </w:pPr>
      <w:bookmarkStart w:id="20" w:name="_Toc169247186"/>
      <w:r>
        <w:rPr>
          <w:rFonts w:ascii="Arial" w:hAnsi="Arial" w:cs="Arial"/>
          <w:sz w:val="24"/>
          <w:szCs w:val="24"/>
        </w:rPr>
        <w:lastRenderedPageBreak/>
        <w:t>Steps to Take Once a Veteran from ANY Period of Service</w:t>
      </w:r>
      <w:bookmarkEnd w:id="20"/>
      <w:r>
        <w:rPr>
          <w:rFonts w:ascii="Arial" w:hAnsi="Arial" w:cs="Arial"/>
          <w:sz w:val="24"/>
          <w:szCs w:val="24"/>
        </w:rPr>
        <w:t xml:space="preserve"> </w:t>
      </w:r>
    </w:p>
    <w:p w14:paraId="1C6573DC" w14:textId="77777777" w:rsidR="003D1CF2" w:rsidRDefault="003D1CF2" w:rsidP="003D1CF2">
      <w:pPr>
        <w:rPr>
          <w:rFonts w:ascii="Arial" w:hAnsi="Arial" w:cs="Arial"/>
          <w:sz w:val="24"/>
          <w:szCs w:val="24"/>
        </w:rPr>
      </w:pPr>
      <w:r>
        <w:rPr>
          <w:rFonts w:ascii="Arial" w:hAnsi="Arial" w:cs="Arial"/>
          <w:sz w:val="24"/>
          <w:szCs w:val="24"/>
        </w:rPr>
        <w:t>When a Veteran from ANY ERA claims non-presumptive disability and participation in a TERA (meaning activity that required entry in an exposure tracking record system such as ILER or the Secretary determined qualifies):</w:t>
      </w:r>
    </w:p>
    <w:p w14:paraId="7B1A6DF9" w14:textId="0F2D290D" w:rsidR="003D1CF2" w:rsidRDefault="003D1CF2" w:rsidP="003D1CF2">
      <w:pPr>
        <w:pStyle w:val="ListParagraph"/>
        <w:numPr>
          <w:ilvl w:val="0"/>
          <w:numId w:val="20"/>
        </w:numPr>
        <w:rPr>
          <w:rFonts w:ascii="Arial" w:hAnsi="Arial" w:cs="Arial"/>
          <w:sz w:val="24"/>
          <w:szCs w:val="24"/>
        </w:rPr>
      </w:pPr>
      <w:r>
        <w:rPr>
          <w:rFonts w:ascii="Arial" w:hAnsi="Arial" w:cs="Arial"/>
          <w:sz w:val="24"/>
          <w:szCs w:val="24"/>
        </w:rPr>
        <w:t>Review for clearly</w:t>
      </w:r>
      <w:r w:rsidR="006C27F6">
        <w:rPr>
          <w:rFonts w:ascii="Arial" w:hAnsi="Arial" w:cs="Arial"/>
          <w:sz w:val="24"/>
          <w:szCs w:val="24"/>
        </w:rPr>
        <w:t xml:space="preserve"> claimed</w:t>
      </w:r>
      <w:r>
        <w:rPr>
          <w:rFonts w:ascii="Arial" w:hAnsi="Arial" w:cs="Arial"/>
          <w:sz w:val="24"/>
          <w:szCs w:val="24"/>
        </w:rPr>
        <w:t xml:space="preserve"> or inferred claims and determine when an exception to TERA applies.</w:t>
      </w:r>
    </w:p>
    <w:p w14:paraId="3FF9EC5B" w14:textId="77777777" w:rsidR="003D1CF2" w:rsidRDefault="003D1CF2" w:rsidP="003D1CF2">
      <w:pPr>
        <w:pStyle w:val="ListParagraph"/>
        <w:numPr>
          <w:ilvl w:val="0"/>
          <w:numId w:val="20"/>
        </w:numPr>
        <w:rPr>
          <w:rFonts w:ascii="Arial" w:hAnsi="Arial" w:cs="Arial"/>
          <w:sz w:val="24"/>
          <w:szCs w:val="24"/>
        </w:rPr>
      </w:pPr>
      <w:r>
        <w:rPr>
          <w:rFonts w:ascii="Arial" w:hAnsi="Arial" w:cs="Arial"/>
          <w:sz w:val="24"/>
          <w:szCs w:val="24"/>
        </w:rPr>
        <w:t>Obtain service records and review ILER</w:t>
      </w:r>
    </w:p>
    <w:p w14:paraId="71ED457C" w14:textId="77777777" w:rsidR="003D1CF2" w:rsidRDefault="003D1CF2" w:rsidP="003D1CF2">
      <w:pPr>
        <w:pStyle w:val="ListParagraph"/>
        <w:numPr>
          <w:ilvl w:val="0"/>
          <w:numId w:val="20"/>
        </w:numPr>
        <w:rPr>
          <w:rFonts w:ascii="Arial" w:hAnsi="Arial" w:cs="Arial"/>
          <w:sz w:val="24"/>
          <w:szCs w:val="24"/>
        </w:rPr>
      </w:pPr>
      <w:r>
        <w:rPr>
          <w:rFonts w:ascii="Arial" w:hAnsi="Arial" w:cs="Arial"/>
          <w:sz w:val="24"/>
          <w:szCs w:val="24"/>
        </w:rPr>
        <w:t>Complete the Toxic Exposure Risk Activity Memorandum</w:t>
      </w:r>
    </w:p>
    <w:p w14:paraId="368F8B80" w14:textId="77777777" w:rsidR="003D1CF2" w:rsidRDefault="003D1CF2" w:rsidP="003D1CF2">
      <w:pPr>
        <w:pStyle w:val="ListParagraph"/>
        <w:numPr>
          <w:ilvl w:val="1"/>
          <w:numId w:val="20"/>
        </w:numPr>
        <w:rPr>
          <w:rFonts w:ascii="Arial" w:hAnsi="Arial" w:cs="Arial"/>
          <w:sz w:val="24"/>
          <w:szCs w:val="24"/>
        </w:rPr>
      </w:pPr>
      <w:r>
        <w:rPr>
          <w:rFonts w:ascii="Arial" w:hAnsi="Arial" w:cs="Arial"/>
          <w:sz w:val="24"/>
          <w:szCs w:val="24"/>
        </w:rPr>
        <w:t>Apply appropriate TERA attributes</w:t>
      </w:r>
    </w:p>
    <w:p w14:paraId="3BE7853E" w14:textId="77777777" w:rsidR="003D1CF2" w:rsidRDefault="003D1CF2" w:rsidP="003D1CF2">
      <w:pPr>
        <w:pStyle w:val="ListParagraph"/>
        <w:numPr>
          <w:ilvl w:val="0"/>
          <w:numId w:val="20"/>
        </w:numPr>
        <w:rPr>
          <w:rFonts w:ascii="Arial" w:hAnsi="Arial" w:cs="Arial"/>
          <w:sz w:val="24"/>
          <w:szCs w:val="24"/>
        </w:rPr>
      </w:pPr>
      <w:r>
        <w:rPr>
          <w:rFonts w:ascii="Arial" w:hAnsi="Arial" w:cs="Arial"/>
          <w:sz w:val="24"/>
          <w:szCs w:val="24"/>
        </w:rPr>
        <w:t>Request a TERA examination AND medical opinion</w:t>
      </w:r>
    </w:p>
    <w:p w14:paraId="3BEF69E6" w14:textId="77777777" w:rsidR="003D1CF2" w:rsidRDefault="003D1CF2" w:rsidP="003D1CF2">
      <w:pPr>
        <w:pStyle w:val="ListParagraph"/>
        <w:numPr>
          <w:ilvl w:val="1"/>
          <w:numId w:val="21"/>
        </w:numPr>
        <w:rPr>
          <w:rFonts w:ascii="Arial" w:hAnsi="Arial" w:cs="Arial"/>
          <w:sz w:val="24"/>
          <w:szCs w:val="24"/>
        </w:rPr>
      </w:pPr>
      <w:r>
        <w:rPr>
          <w:rFonts w:ascii="Arial" w:hAnsi="Arial" w:cs="Arial"/>
          <w:sz w:val="24"/>
          <w:szCs w:val="24"/>
        </w:rPr>
        <w:t>Identify relevant evidence for the examiner</w:t>
      </w:r>
    </w:p>
    <w:p w14:paraId="6ABE763E" w14:textId="77777777" w:rsidR="003D1CF2" w:rsidRDefault="003D1CF2" w:rsidP="003D1CF2">
      <w:pPr>
        <w:pStyle w:val="ListParagraph"/>
        <w:numPr>
          <w:ilvl w:val="1"/>
          <w:numId w:val="21"/>
        </w:numPr>
        <w:rPr>
          <w:rFonts w:ascii="Arial" w:hAnsi="Arial" w:cs="Arial"/>
          <w:sz w:val="24"/>
          <w:szCs w:val="24"/>
        </w:rPr>
      </w:pPr>
      <w:r>
        <w:rPr>
          <w:rFonts w:ascii="Arial" w:hAnsi="Arial" w:cs="Arial"/>
          <w:sz w:val="24"/>
          <w:szCs w:val="24"/>
        </w:rPr>
        <w:t>Select appropriate DBQ</w:t>
      </w:r>
    </w:p>
    <w:p w14:paraId="27CB12A0" w14:textId="77777777" w:rsidR="003D1CF2" w:rsidRDefault="003D1CF2" w:rsidP="003D1CF2">
      <w:pPr>
        <w:pStyle w:val="ListParagraph"/>
        <w:numPr>
          <w:ilvl w:val="1"/>
          <w:numId w:val="21"/>
        </w:numPr>
        <w:rPr>
          <w:rFonts w:ascii="Arial" w:hAnsi="Arial" w:cs="Arial"/>
          <w:sz w:val="24"/>
          <w:szCs w:val="24"/>
        </w:rPr>
      </w:pPr>
      <w:r>
        <w:rPr>
          <w:rFonts w:ascii="Arial" w:hAnsi="Arial" w:cs="Arial"/>
          <w:sz w:val="24"/>
          <w:szCs w:val="24"/>
        </w:rPr>
        <w:t>Use TERA medical opinion template language</w:t>
      </w:r>
    </w:p>
    <w:p w14:paraId="34963F65" w14:textId="77777777" w:rsidR="003D1CF2" w:rsidRDefault="003D1CF2" w:rsidP="003D1CF2">
      <w:pPr>
        <w:pStyle w:val="ListParagraph"/>
        <w:numPr>
          <w:ilvl w:val="1"/>
          <w:numId w:val="21"/>
        </w:numPr>
        <w:rPr>
          <w:rFonts w:ascii="Arial" w:hAnsi="Arial" w:cs="Arial"/>
          <w:sz w:val="24"/>
          <w:szCs w:val="24"/>
        </w:rPr>
      </w:pPr>
      <w:r>
        <w:rPr>
          <w:rFonts w:ascii="Arial" w:hAnsi="Arial" w:cs="Arial"/>
          <w:sz w:val="24"/>
          <w:szCs w:val="24"/>
        </w:rPr>
        <w:t>Confirm the examination provided the appropriate opinion</w:t>
      </w:r>
    </w:p>
    <w:p w14:paraId="030AD32C" w14:textId="77777777" w:rsidR="003D1CF2" w:rsidRDefault="003D1CF2" w:rsidP="003D1CF2">
      <w:pPr>
        <w:pStyle w:val="ListParagraph"/>
        <w:numPr>
          <w:ilvl w:val="0"/>
          <w:numId w:val="20"/>
        </w:numPr>
        <w:rPr>
          <w:rFonts w:ascii="Arial" w:hAnsi="Arial" w:cs="Arial"/>
          <w:sz w:val="24"/>
          <w:szCs w:val="24"/>
        </w:rPr>
      </w:pPr>
      <w:r>
        <w:rPr>
          <w:rFonts w:ascii="Arial" w:hAnsi="Arial" w:cs="Arial"/>
          <w:sz w:val="24"/>
          <w:szCs w:val="24"/>
        </w:rPr>
        <w:t>Ensure the Rating:</w:t>
      </w:r>
    </w:p>
    <w:p w14:paraId="5153EB6B" w14:textId="77777777" w:rsidR="003D1CF2" w:rsidRDefault="003D1CF2" w:rsidP="003D1CF2">
      <w:pPr>
        <w:pStyle w:val="ListParagraph"/>
        <w:numPr>
          <w:ilvl w:val="1"/>
          <w:numId w:val="22"/>
        </w:numPr>
        <w:rPr>
          <w:rFonts w:ascii="Arial" w:hAnsi="Arial" w:cs="Arial"/>
          <w:sz w:val="24"/>
          <w:szCs w:val="24"/>
        </w:rPr>
      </w:pPr>
      <w:r>
        <w:rPr>
          <w:rFonts w:ascii="Arial" w:hAnsi="Arial" w:cs="Arial"/>
          <w:sz w:val="24"/>
          <w:szCs w:val="24"/>
        </w:rPr>
        <w:t>Discusses the TERA in the reasons for decision</w:t>
      </w:r>
    </w:p>
    <w:p w14:paraId="1B7B36B3" w14:textId="77777777" w:rsidR="003D1CF2" w:rsidRDefault="003D1CF2" w:rsidP="003D1CF2">
      <w:pPr>
        <w:pStyle w:val="ListParagraph"/>
        <w:numPr>
          <w:ilvl w:val="1"/>
          <w:numId w:val="22"/>
        </w:numPr>
        <w:rPr>
          <w:rFonts w:ascii="Arial" w:hAnsi="Arial" w:cs="Arial"/>
          <w:sz w:val="24"/>
          <w:szCs w:val="24"/>
        </w:rPr>
      </w:pPr>
      <w:r>
        <w:rPr>
          <w:rFonts w:ascii="Arial" w:hAnsi="Arial" w:cs="Arial"/>
          <w:sz w:val="24"/>
          <w:szCs w:val="24"/>
        </w:rPr>
        <w:t>Includes the correct effective date</w:t>
      </w:r>
    </w:p>
    <w:p w14:paraId="60EE3ECD" w14:textId="77777777" w:rsidR="003D1CF2" w:rsidRDefault="003D1CF2" w:rsidP="003D1CF2">
      <w:pPr>
        <w:pStyle w:val="ListParagraph"/>
        <w:numPr>
          <w:ilvl w:val="1"/>
          <w:numId w:val="22"/>
        </w:numPr>
        <w:rPr>
          <w:rFonts w:ascii="Arial" w:hAnsi="Arial" w:cs="Arial"/>
          <w:sz w:val="24"/>
          <w:szCs w:val="24"/>
        </w:rPr>
      </w:pPr>
      <w:r>
        <w:rPr>
          <w:rFonts w:ascii="Arial" w:hAnsi="Arial" w:cs="Arial"/>
          <w:sz w:val="24"/>
          <w:szCs w:val="24"/>
        </w:rPr>
        <w:t>Cites TERA as a favorable finding</w:t>
      </w:r>
    </w:p>
    <w:p w14:paraId="2EEC2D25" w14:textId="77777777" w:rsidR="003D1CF2" w:rsidRPr="00257E25" w:rsidRDefault="003D1CF2" w:rsidP="003D1CF2">
      <w:pPr>
        <w:pStyle w:val="ListParagraph"/>
        <w:numPr>
          <w:ilvl w:val="1"/>
          <w:numId w:val="22"/>
        </w:numPr>
        <w:rPr>
          <w:rFonts w:ascii="Arial" w:hAnsi="Arial" w:cs="Arial"/>
          <w:sz w:val="24"/>
          <w:szCs w:val="24"/>
        </w:rPr>
      </w:pPr>
      <w:r>
        <w:rPr>
          <w:rFonts w:ascii="Arial" w:hAnsi="Arial" w:cs="Arial"/>
          <w:sz w:val="24"/>
          <w:szCs w:val="24"/>
        </w:rPr>
        <w:t>The TERA special issues is applied in VBMS-R</w:t>
      </w:r>
    </w:p>
    <w:p w14:paraId="358CA2C8" w14:textId="77777777" w:rsidR="003D1CF2" w:rsidRDefault="003D1CF2" w:rsidP="003D1CF2">
      <w:pPr>
        <w:rPr>
          <w:rFonts w:ascii="Arial" w:hAnsi="Arial" w:cs="Arial"/>
          <w:sz w:val="24"/>
          <w:szCs w:val="24"/>
        </w:rPr>
      </w:pPr>
    </w:p>
    <w:p w14:paraId="37665427" w14:textId="77777777" w:rsidR="003D1CF2" w:rsidRPr="0049707E" w:rsidRDefault="003D1CF2" w:rsidP="003D1CF2">
      <w:pPr>
        <w:pStyle w:val="VBAILTbullet1"/>
        <w:numPr>
          <w:ilvl w:val="0"/>
          <w:numId w:val="0"/>
        </w:numPr>
        <w:ind w:left="360" w:hanging="360"/>
        <w:rPr>
          <w:rFonts w:ascii="Arial" w:hAnsi="Arial" w:cs="Arial"/>
          <w:sz w:val="24"/>
          <w:szCs w:val="24"/>
        </w:rPr>
      </w:pPr>
    </w:p>
    <w:sectPr w:rsidR="003D1CF2" w:rsidRPr="0049707E" w:rsidSect="000862C1">
      <w:headerReference w:type="even" r:id="rId22"/>
      <w:headerReference w:type="default" r:id="rId23"/>
      <w:footerReference w:type="even" r:id="rId24"/>
      <w:footerReference w:type="default" r:id="rId25"/>
      <w:headerReference w:type="first" r:id="rId26"/>
      <w:footerReference w:type="first" r:id="rId27"/>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06B8F" w14:textId="77777777" w:rsidR="003555AE" w:rsidRDefault="003555AE" w:rsidP="003F0654">
      <w:pPr>
        <w:spacing w:after="0" w:line="240" w:lineRule="auto"/>
      </w:pPr>
      <w:r>
        <w:separator/>
      </w:r>
    </w:p>
  </w:endnote>
  <w:endnote w:type="continuationSeparator" w:id="0">
    <w:p w14:paraId="0C7E805D" w14:textId="77777777" w:rsidR="003555AE" w:rsidRDefault="003555AE" w:rsidP="003F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45FC0" w14:textId="77777777" w:rsidR="00EA1356" w:rsidRDefault="00EA1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07DB4" w14:textId="36C82F76" w:rsidR="00D64936" w:rsidRDefault="00EA1356" w:rsidP="0024084E">
    <w:pPr>
      <w:pStyle w:val="VBAILTFooter"/>
      <w:rPr>
        <w:color w:val="7F7F7F" w:themeColor="background1" w:themeShade="7F"/>
        <w:spacing w:val="60"/>
      </w:rPr>
    </w:pPr>
    <w:r>
      <w:t>June 2024</w:t>
    </w:r>
    <w:r w:rsidR="00F05AF5">
      <w:tab/>
    </w:r>
    <w:r w:rsidR="00F05AF5" w:rsidRPr="00C214A9">
      <w:fldChar w:fldCharType="begin"/>
    </w:r>
    <w:r w:rsidR="00F05AF5" w:rsidRPr="00C214A9">
      <w:instrText xml:space="preserve"> PAGE   \* MERGEFORMAT </w:instrText>
    </w:r>
    <w:r w:rsidR="00F05AF5" w:rsidRPr="00C214A9">
      <w:fldChar w:fldCharType="separate"/>
    </w:r>
    <w:r w:rsidR="00F05AF5" w:rsidRPr="00510A7C">
      <w:rPr>
        <w:b/>
        <w:bCs/>
        <w:noProof/>
      </w:rPr>
      <w:t>2</w:t>
    </w:r>
    <w:r w:rsidR="00F05AF5" w:rsidRPr="00C214A9">
      <w:rPr>
        <w:b/>
        <w:bCs/>
        <w:noProof/>
      </w:rPr>
      <w:fldChar w:fldCharType="end"/>
    </w:r>
    <w:r w:rsidR="00F05AF5" w:rsidRPr="00C214A9">
      <w:rPr>
        <w:b/>
        <w:bCs/>
      </w:rPr>
      <w:t xml:space="preserve"> </w:t>
    </w:r>
    <w:r w:rsidR="00F05AF5" w:rsidRPr="00C214A9">
      <w:t>|</w:t>
    </w:r>
    <w:r w:rsidR="00F05AF5" w:rsidRPr="00C214A9">
      <w:rPr>
        <w:b/>
        <w:bCs/>
      </w:rPr>
      <w:t xml:space="preserve"> </w:t>
    </w:r>
    <w:r w:rsidR="00F05AF5" w:rsidRPr="00C214A9">
      <w:rPr>
        <w:color w:val="7F7F7F" w:themeColor="background1" w:themeShade="7F"/>
        <w:spacing w:val="60"/>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20CBA" w14:textId="77777777" w:rsidR="00EA1356" w:rsidRDefault="00EA1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F41FE" w14:textId="77777777" w:rsidR="003555AE" w:rsidRDefault="003555AE" w:rsidP="003F0654">
      <w:pPr>
        <w:spacing w:after="0" w:line="240" w:lineRule="auto"/>
      </w:pPr>
      <w:r>
        <w:separator/>
      </w:r>
    </w:p>
  </w:footnote>
  <w:footnote w:type="continuationSeparator" w:id="0">
    <w:p w14:paraId="68761B3A" w14:textId="77777777" w:rsidR="003555AE" w:rsidRDefault="003555AE" w:rsidP="003F0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94986" w14:textId="77777777" w:rsidR="00EA1356" w:rsidRDefault="00EA13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D6E30" w14:textId="03E12653" w:rsidR="00D64936" w:rsidRPr="002D1DCE" w:rsidRDefault="0049707E" w:rsidP="001262F7">
    <w:pPr>
      <w:pStyle w:val="VBAILTHeader"/>
      <w:pBdr>
        <w:bottom w:val="single" w:sz="4" w:space="1" w:color="auto"/>
      </w:pBdr>
    </w:pPr>
    <w:r>
      <w:t xml:space="preserve">Introduction to </w:t>
    </w:r>
    <w:r w:rsidR="003F0654">
      <w:t>PACT Act</w:t>
    </w:r>
    <w:r>
      <w:t>-Related Claims</w:t>
    </w:r>
    <w:r w:rsidR="003F0654">
      <w:t xml:space="preserve"> </w:t>
    </w:r>
    <w:r w:rsidR="000F760E">
      <w:t>Job Aid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2A8E4" w14:textId="77777777" w:rsidR="00D64936" w:rsidRDefault="00F05AF5">
    <w:pPr>
      <w:pStyle w:val="Header"/>
    </w:pPr>
    <w:r>
      <w:rPr>
        <w:noProof/>
      </w:rPr>
      <w:drawing>
        <wp:anchor distT="0" distB="0" distL="114300" distR="114300" simplePos="0" relativeHeight="251659264" behindDoc="1" locked="0" layoutInCell="1" allowOverlap="1" wp14:anchorId="1E5091BB" wp14:editId="13F3807D">
          <wp:simplePos x="0" y="0"/>
          <wp:positionH relativeFrom="column">
            <wp:posOffset>-904875</wp:posOffset>
          </wp:positionH>
          <wp:positionV relativeFrom="paragraph">
            <wp:posOffset>-447675</wp:posOffset>
          </wp:positionV>
          <wp:extent cx="7780020" cy="5836920"/>
          <wp:effectExtent l="0" t="0" r="0" b="0"/>
          <wp:wrapNone/>
          <wp:docPr id="2" name="Picture 2"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0222"/>
    <w:multiLevelType w:val="hybridMultilevel"/>
    <w:tmpl w:val="CE54E6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03732F"/>
    <w:multiLevelType w:val="hybridMultilevel"/>
    <w:tmpl w:val="2BE68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E6E20"/>
    <w:multiLevelType w:val="hybridMultilevel"/>
    <w:tmpl w:val="D5F0127E"/>
    <w:lvl w:ilvl="0" w:tplc="FD240074">
      <w:start w:val="1"/>
      <w:numFmt w:val="bullet"/>
      <w:pStyle w:val="VBAILTbullet1"/>
      <w:lvlText w:val=""/>
      <w:lvlJc w:val="left"/>
      <w:pPr>
        <w:ind w:left="360" w:hanging="360"/>
      </w:pPr>
      <w:rPr>
        <w:rFonts w:ascii="Symbol" w:hAnsi="Symbol" w:hint="default"/>
      </w:rPr>
    </w:lvl>
    <w:lvl w:ilvl="1" w:tplc="AC082F28">
      <w:start w:val="1"/>
      <w:numFmt w:val="bullet"/>
      <w:pStyle w:val="VBAILTBullet2"/>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E06EFF"/>
    <w:multiLevelType w:val="hybridMultilevel"/>
    <w:tmpl w:val="1B5A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9363B"/>
    <w:multiLevelType w:val="hybridMultilevel"/>
    <w:tmpl w:val="5CF6DC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97BED"/>
    <w:multiLevelType w:val="hybridMultilevel"/>
    <w:tmpl w:val="07F4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30067"/>
    <w:multiLevelType w:val="hybridMultilevel"/>
    <w:tmpl w:val="F586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F1C9F"/>
    <w:multiLevelType w:val="hybridMultilevel"/>
    <w:tmpl w:val="84D2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51409A"/>
    <w:multiLevelType w:val="hybridMultilevel"/>
    <w:tmpl w:val="1DE0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A3184E"/>
    <w:multiLevelType w:val="hybridMultilevel"/>
    <w:tmpl w:val="109A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47451"/>
    <w:multiLevelType w:val="hybridMultilevel"/>
    <w:tmpl w:val="23BEA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85289D"/>
    <w:multiLevelType w:val="hybridMultilevel"/>
    <w:tmpl w:val="85E8BC1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1743C5"/>
    <w:multiLevelType w:val="hybridMultilevel"/>
    <w:tmpl w:val="4B4CF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3B0C32"/>
    <w:multiLevelType w:val="hybridMultilevel"/>
    <w:tmpl w:val="12CEC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BE345D"/>
    <w:multiLevelType w:val="hybridMultilevel"/>
    <w:tmpl w:val="1E2A9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8A707A"/>
    <w:multiLevelType w:val="hybridMultilevel"/>
    <w:tmpl w:val="5F0E0F02"/>
    <w:lvl w:ilvl="0" w:tplc="FFFFFFFF">
      <w:start w:val="1"/>
      <w:numFmt w:val="decimal"/>
      <w:lvlText w:val="%1."/>
      <w:lvlJc w:val="left"/>
      <w:pPr>
        <w:ind w:left="720" w:hanging="360"/>
      </w:pPr>
      <w:rPr>
        <w:rFonts w:hint="default"/>
      </w:rPr>
    </w:lvl>
    <w:lvl w:ilvl="1" w:tplc="76761350">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0270AA8"/>
    <w:multiLevelType w:val="hybridMultilevel"/>
    <w:tmpl w:val="10EEC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4636E5A"/>
    <w:multiLevelType w:val="hybridMultilevel"/>
    <w:tmpl w:val="A4A0F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786A35"/>
    <w:multiLevelType w:val="hybridMultilevel"/>
    <w:tmpl w:val="8C866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0502A1"/>
    <w:multiLevelType w:val="hybridMultilevel"/>
    <w:tmpl w:val="9236A548"/>
    <w:lvl w:ilvl="0" w:tplc="FFFFFFFF">
      <w:start w:val="1"/>
      <w:numFmt w:val="decimal"/>
      <w:lvlText w:val="%1."/>
      <w:lvlJc w:val="left"/>
      <w:pPr>
        <w:ind w:left="720" w:hanging="360"/>
      </w:pPr>
      <w:rPr>
        <w:rFonts w:hint="default"/>
      </w:rPr>
    </w:lvl>
    <w:lvl w:ilvl="1" w:tplc="76761350">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F84583E"/>
    <w:multiLevelType w:val="hybridMultilevel"/>
    <w:tmpl w:val="1F4C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62730F"/>
    <w:multiLevelType w:val="hybridMultilevel"/>
    <w:tmpl w:val="8D64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7009F7"/>
    <w:multiLevelType w:val="hybridMultilevel"/>
    <w:tmpl w:val="CF8A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5044113">
    <w:abstractNumId w:val="2"/>
  </w:num>
  <w:num w:numId="2" w16cid:durableId="43139662">
    <w:abstractNumId w:val="10"/>
  </w:num>
  <w:num w:numId="3" w16cid:durableId="1298804992">
    <w:abstractNumId w:val="5"/>
  </w:num>
  <w:num w:numId="4" w16cid:durableId="636300902">
    <w:abstractNumId w:val="9"/>
  </w:num>
  <w:num w:numId="5" w16cid:durableId="1184242814">
    <w:abstractNumId w:val="12"/>
  </w:num>
  <w:num w:numId="6" w16cid:durableId="1516966000">
    <w:abstractNumId w:val="17"/>
  </w:num>
  <w:num w:numId="7" w16cid:durableId="2100637019">
    <w:abstractNumId w:val="22"/>
  </w:num>
  <w:num w:numId="8" w16cid:durableId="990213472">
    <w:abstractNumId w:val="16"/>
  </w:num>
  <w:num w:numId="9" w16cid:durableId="93329104">
    <w:abstractNumId w:val="13"/>
  </w:num>
  <w:num w:numId="10" w16cid:durableId="211575576">
    <w:abstractNumId w:val="0"/>
  </w:num>
  <w:num w:numId="11" w16cid:durableId="614362053">
    <w:abstractNumId w:val="6"/>
  </w:num>
  <w:num w:numId="12" w16cid:durableId="1592465585">
    <w:abstractNumId w:val="20"/>
  </w:num>
  <w:num w:numId="13" w16cid:durableId="394279715">
    <w:abstractNumId w:val="21"/>
  </w:num>
  <w:num w:numId="14" w16cid:durableId="2076509932">
    <w:abstractNumId w:val="18"/>
  </w:num>
  <w:num w:numId="15" w16cid:durableId="463550005">
    <w:abstractNumId w:val="7"/>
  </w:num>
  <w:num w:numId="16" w16cid:durableId="1759710652">
    <w:abstractNumId w:val="1"/>
  </w:num>
  <w:num w:numId="17" w16cid:durableId="597493506">
    <w:abstractNumId w:val="8"/>
  </w:num>
  <w:num w:numId="18" w16cid:durableId="1558854816">
    <w:abstractNumId w:val="3"/>
  </w:num>
  <w:num w:numId="19" w16cid:durableId="1060323654">
    <w:abstractNumId w:val="14"/>
  </w:num>
  <w:num w:numId="20" w16cid:durableId="1335062533">
    <w:abstractNumId w:val="11"/>
  </w:num>
  <w:num w:numId="21" w16cid:durableId="837966682">
    <w:abstractNumId w:val="19"/>
  </w:num>
  <w:num w:numId="22" w16cid:durableId="1695110578">
    <w:abstractNumId w:val="15"/>
  </w:num>
  <w:num w:numId="23" w16cid:durableId="1223709847">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654"/>
    <w:rsid w:val="000005EC"/>
    <w:rsid w:val="00007EA4"/>
    <w:rsid w:val="00010A5D"/>
    <w:rsid w:val="00010FB8"/>
    <w:rsid w:val="00022622"/>
    <w:rsid w:val="00045FE3"/>
    <w:rsid w:val="00051C27"/>
    <w:rsid w:val="00073AE9"/>
    <w:rsid w:val="000820B1"/>
    <w:rsid w:val="000B345B"/>
    <w:rsid w:val="000F760E"/>
    <w:rsid w:val="001451C9"/>
    <w:rsid w:val="001722FD"/>
    <w:rsid w:val="001A1137"/>
    <w:rsid w:val="001B2FC8"/>
    <w:rsid w:val="001C5CC5"/>
    <w:rsid w:val="00215A41"/>
    <w:rsid w:val="00230017"/>
    <w:rsid w:val="0027083F"/>
    <w:rsid w:val="00270B75"/>
    <w:rsid w:val="00281D4D"/>
    <w:rsid w:val="002C78EA"/>
    <w:rsid w:val="002E33AC"/>
    <w:rsid w:val="002E4128"/>
    <w:rsid w:val="00352B45"/>
    <w:rsid w:val="003555AE"/>
    <w:rsid w:val="00383E20"/>
    <w:rsid w:val="003A5619"/>
    <w:rsid w:val="003A6C2D"/>
    <w:rsid w:val="003D1CF2"/>
    <w:rsid w:val="003E354A"/>
    <w:rsid w:val="003E60E7"/>
    <w:rsid w:val="003F0654"/>
    <w:rsid w:val="00424ED5"/>
    <w:rsid w:val="00434911"/>
    <w:rsid w:val="00460CC0"/>
    <w:rsid w:val="0049707E"/>
    <w:rsid w:val="004C4FBD"/>
    <w:rsid w:val="004E7F3C"/>
    <w:rsid w:val="004F7416"/>
    <w:rsid w:val="00507E36"/>
    <w:rsid w:val="005202FB"/>
    <w:rsid w:val="0053041B"/>
    <w:rsid w:val="00536621"/>
    <w:rsid w:val="00564F65"/>
    <w:rsid w:val="005739FB"/>
    <w:rsid w:val="00574762"/>
    <w:rsid w:val="005C28BD"/>
    <w:rsid w:val="005E7A7C"/>
    <w:rsid w:val="005F1A3E"/>
    <w:rsid w:val="00667A67"/>
    <w:rsid w:val="00685750"/>
    <w:rsid w:val="006A2742"/>
    <w:rsid w:val="006C0091"/>
    <w:rsid w:val="006C27F6"/>
    <w:rsid w:val="006C3FC7"/>
    <w:rsid w:val="006C4C9F"/>
    <w:rsid w:val="006C549D"/>
    <w:rsid w:val="007016CD"/>
    <w:rsid w:val="007235A4"/>
    <w:rsid w:val="007601CA"/>
    <w:rsid w:val="007B4CDE"/>
    <w:rsid w:val="007B4FA5"/>
    <w:rsid w:val="007C0038"/>
    <w:rsid w:val="007C1E89"/>
    <w:rsid w:val="007D5300"/>
    <w:rsid w:val="00824B09"/>
    <w:rsid w:val="008321F8"/>
    <w:rsid w:val="00846F2A"/>
    <w:rsid w:val="008A1019"/>
    <w:rsid w:val="008F0190"/>
    <w:rsid w:val="009850A4"/>
    <w:rsid w:val="009B3541"/>
    <w:rsid w:val="009C205D"/>
    <w:rsid w:val="009C6E6F"/>
    <w:rsid w:val="009D2DFB"/>
    <w:rsid w:val="00A41907"/>
    <w:rsid w:val="00A70645"/>
    <w:rsid w:val="00AA236F"/>
    <w:rsid w:val="00AB1522"/>
    <w:rsid w:val="00AD38C0"/>
    <w:rsid w:val="00AF2C0D"/>
    <w:rsid w:val="00B1790F"/>
    <w:rsid w:val="00B6439D"/>
    <w:rsid w:val="00BA1639"/>
    <w:rsid w:val="00BC396F"/>
    <w:rsid w:val="00BC6D4C"/>
    <w:rsid w:val="00C27E6F"/>
    <w:rsid w:val="00CA058B"/>
    <w:rsid w:val="00CB17AA"/>
    <w:rsid w:val="00CE4C9D"/>
    <w:rsid w:val="00CF0507"/>
    <w:rsid w:val="00CF6746"/>
    <w:rsid w:val="00D174AE"/>
    <w:rsid w:val="00D64936"/>
    <w:rsid w:val="00D933EB"/>
    <w:rsid w:val="00D9794A"/>
    <w:rsid w:val="00DA6870"/>
    <w:rsid w:val="00DC1ACF"/>
    <w:rsid w:val="00DD4E8E"/>
    <w:rsid w:val="00E00339"/>
    <w:rsid w:val="00E24DB2"/>
    <w:rsid w:val="00E43B27"/>
    <w:rsid w:val="00E44600"/>
    <w:rsid w:val="00E72F4B"/>
    <w:rsid w:val="00E91542"/>
    <w:rsid w:val="00EA1356"/>
    <w:rsid w:val="00EA29BE"/>
    <w:rsid w:val="00EB4744"/>
    <w:rsid w:val="00EC6A46"/>
    <w:rsid w:val="00EE334B"/>
    <w:rsid w:val="00EF7EC3"/>
    <w:rsid w:val="00F05AF5"/>
    <w:rsid w:val="00F05D96"/>
    <w:rsid w:val="00F060E3"/>
    <w:rsid w:val="00F24F56"/>
    <w:rsid w:val="00F46B22"/>
    <w:rsid w:val="00F47793"/>
    <w:rsid w:val="00F83E9E"/>
    <w:rsid w:val="00FC1087"/>
    <w:rsid w:val="00FF65C4"/>
    <w:rsid w:val="105F732E"/>
    <w:rsid w:val="135201C3"/>
    <w:rsid w:val="52C75794"/>
    <w:rsid w:val="540A9C75"/>
    <w:rsid w:val="59B77428"/>
    <w:rsid w:val="6D8D1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465E6"/>
  <w15:chartTrackingRefBased/>
  <w15:docId w15:val="{B3B0CC54-8D01-4E60-9BF5-C13B9B687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654"/>
  </w:style>
  <w:style w:type="paragraph" w:styleId="Heading1">
    <w:name w:val="heading 1"/>
    <w:basedOn w:val="Normal"/>
    <w:next w:val="Normal"/>
    <w:link w:val="Heading1Char"/>
    <w:uiPriority w:val="9"/>
    <w:qFormat/>
    <w:rsid w:val="00FF65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654"/>
    <w:pPr>
      <w:ind w:left="720"/>
      <w:contextualSpacing/>
    </w:pPr>
  </w:style>
  <w:style w:type="paragraph" w:styleId="Header">
    <w:name w:val="header"/>
    <w:basedOn w:val="Normal"/>
    <w:link w:val="HeaderChar"/>
    <w:uiPriority w:val="99"/>
    <w:unhideWhenUsed/>
    <w:rsid w:val="003F0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654"/>
  </w:style>
  <w:style w:type="paragraph" w:customStyle="1" w:styleId="VBAILTBody">
    <w:name w:val="VBAILT Body"/>
    <w:qFormat/>
    <w:rsid w:val="003F0654"/>
    <w:pPr>
      <w:spacing w:before="120" w:after="120" w:line="276" w:lineRule="auto"/>
    </w:pPr>
    <w:rPr>
      <w:rFonts w:ascii="Verdana" w:hAnsi="Verdana"/>
    </w:rPr>
  </w:style>
  <w:style w:type="paragraph" w:customStyle="1" w:styleId="VBAILTHeading1">
    <w:name w:val="VBAILT Heading 1"/>
    <w:basedOn w:val="VBAILTBody"/>
    <w:next w:val="VBAILTBody"/>
    <w:qFormat/>
    <w:rsid w:val="003F0654"/>
    <w:pPr>
      <w:keepNext/>
      <w:shd w:val="clear" w:color="auto" w:fill="8EAADB"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3F0654"/>
    <w:pPr>
      <w:keepNext/>
      <w:pBdr>
        <w:top w:val="single" w:sz="4" w:space="1" w:color="auto"/>
        <w:bottom w:val="single" w:sz="4" w:space="1" w:color="auto"/>
      </w:pBdr>
      <w:shd w:val="clear" w:color="auto" w:fill="B4C6E7" w:themeFill="accent1" w:themeFillTint="66"/>
      <w:spacing w:before="240" w:line="240" w:lineRule="auto"/>
      <w:outlineLvl w:val="1"/>
    </w:pPr>
    <w:rPr>
      <w:b/>
      <w:sz w:val="24"/>
      <w:szCs w:val="24"/>
    </w:rPr>
  </w:style>
  <w:style w:type="paragraph" w:customStyle="1" w:styleId="VBAILTbullet1">
    <w:name w:val="VBAILT bullet 1"/>
    <w:basedOn w:val="VBAILTBody"/>
    <w:qFormat/>
    <w:rsid w:val="003F0654"/>
    <w:pPr>
      <w:numPr>
        <w:numId w:val="1"/>
      </w:numPr>
      <w:spacing w:after="0"/>
    </w:pPr>
  </w:style>
  <w:style w:type="paragraph" w:customStyle="1" w:styleId="VBAILTBullet2">
    <w:name w:val="VBAILT Bullet 2"/>
    <w:basedOn w:val="VBAILTBody"/>
    <w:qFormat/>
    <w:rsid w:val="003F0654"/>
    <w:pPr>
      <w:numPr>
        <w:ilvl w:val="1"/>
        <w:numId w:val="1"/>
      </w:numPr>
    </w:pPr>
  </w:style>
  <w:style w:type="table" w:styleId="TableGrid">
    <w:name w:val="Table Grid"/>
    <w:basedOn w:val="TableNormal"/>
    <w:uiPriority w:val="39"/>
    <w:rsid w:val="003F0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Header">
    <w:name w:val="VBAILT Header"/>
    <w:basedOn w:val="VBAILTBody"/>
    <w:qFormat/>
    <w:rsid w:val="003F0654"/>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3F0654"/>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3F0654"/>
    <w:rPr>
      <w:b/>
      <w:bCs/>
    </w:rPr>
  </w:style>
  <w:style w:type="paragraph" w:customStyle="1" w:styleId="VBAILTCoverdoctypecourse">
    <w:name w:val="VBAILT Cover doc type &amp; course"/>
    <w:basedOn w:val="VBAILTBody"/>
    <w:next w:val="VBAILTBody"/>
    <w:qFormat/>
    <w:rsid w:val="003F0654"/>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3F0654"/>
    <w:pPr>
      <w:jc w:val="center"/>
    </w:pPr>
    <w:rPr>
      <w:b/>
      <w:color w:val="323E4F" w:themeColor="text2" w:themeShade="BF"/>
      <w:sz w:val="56"/>
      <w:szCs w:val="56"/>
    </w:rPr>
  </w:style>
  <w:style w:type="paragraph" w:customStyle="1" w:styleId="VBAILTCoverMisc">
    <w:name w:val="VBAILT Cover Misc"/>
    <w:basedOn w:val="VBAILTBody"/>
    <w:next w:val="VBAILTBody"/>
    <w:qFormat/>
    <w:rsid w:val="003F0654"/>
    <w:pPr>
      <w:jc w:val="center"/>
    </w:pPr>
    <w:rPr>
      <w:sz w:val="28"/>
    </w:rPr>
  </w:style>
  <w:style w:type="paragraph" w:customStyle="1" w:styleId="VBAILTCoverService">
    <w:name w:val="VBAILT Cover Service"/>
    <w:basedOn w:val="VBAILTBody"/>
    <w:next w:val="VBAILTBody"/>
    <w:qFormat/>
    <w:rsid w:val="003F0654"/>
    <w:pPr>
      <w:spacing w:before="1920" w:after="1440"/>
      <w:jc w:val="center"/>
    </w:pPr>
    <w:rPr>
      <w:rFonts w:ascii="Palatino Linotype" w:hAnsi="Palatino Linotype"/>
      <w:b/>
      <w:caps/>
      <w:outline/>
      <w:color w:val="5B9BD5"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customStyle="1" w:styleId="VBAILTAnswerbullet1">
    <w:name w:val="VBAILT Answer bullet 1"/>
    <w:basedOn w:val="VBAILTbullet1"/>
    <w:next w:val="VBAILTBody"/>
    <w:qFormat/>
    <w:rsid w:val="003F0654"/>
    <w:rPr>
      <w:i/>
    </w:rPr>
  </w:style>
  <w:style w:type="paragraph" w:styleId="NormalWeb">
    <w:name w:val="Normal (Web)"/>
    <w:basedOn w:val="Normal"/>
    <w:uiPriority w:val="99"/>
    <w:unhideWhenUsed/>
    <w:rsid w:val="003F06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F0654"/>
    <w:rPr>
      <w:strike w:val="0"/>
      <w:dstrike w:val="0"/>
      <w:color w:val="444444"/>
      <w:u w:val="none"/>
      <w:effect w:val="none"/>
    </w:rPr>
  </w:style>
  <w:style w:type="character" w:styleId="Emphasis">
    <w:name w:val="Emphasis"/>
    <w:basedOn w:val="DefaultParagraphFont"/>
    <w:uiPriority w:val="20"/>
    <w:qFormat/>
    <w:rsid w:val="003F0654"/>
    <w:rPr>
      <w:i/>
      <w:iCs/>
    </w:rPr>
  </w:style>
  <w:style w:type="paragraph" w:styleId="Footer">
    <w:name w:val="footer"/>
    <w:basedOn w:val="Normal"/>
    <w:link w:val="FooterChar"/>
    <w:uiPriority w:val="99"/>
    <w:unhideWhenUsed/>
    <w:rsid w:val="003F0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654"/>
  </w:style>
  <w:style w:type="character" w:styleId="UnresolvedMention">
    <w:name w:val="Unresolved Mention"/>
    <w:basedOn w:val="DefaultParagraphFont"/>
    <w:uiPriority w:val="99"/>
    <w:unhideWhenUsed/>
    <w:rsid w:val="003F0654"/>
    <w:rPr>
      <w:color w:val="605E5C"/>
      <w:shd w:val="clear" w:color="auto" w:fill="E1DFDD"/>
    </w:rPr>
  </w:style>
  <w:style w:type="paragraph" w:styleId="TOC1">
    <w:name w:val="toc 1"/>
    <w:basedOn w:val="VBAILTBody"/>
    <w:next w:val="VBAILTBody"/>
    <w:autoRedefine/>
    <w:uiPriority w:val="39"/>
    <w:unhideWhenUsed/>
    <w:qFormat/>
    <w:rsid w:val="00FF65C4"/>
    <w:pPr>
      <w:spacing w:before="60" w:after="60"/>
    </w:pPr>
    <w:rPr>
      <w:bCs/>
      <w:szCs w:val="20"/>
    </w:rPr>
  </w:style>
  <w:style w:type="character" w:customStyle="1" w:styleId="Heading1Char">
    <w:name w:val="Heading 1 Char"/>
    <w:basedOn w:val="DefaultParagraphFont"/>
    <w:link w:val="Heading1"/>
    <w:uiPriority w:val="9"/>
    <w:rsid w:val="00FF65C4"/>
    <w:rPr>
      <w:rFonts w:asciiTheme="majorHAnsi" w:eastAsiaTheme="majorEastAsia" w:hAnsiTheme="majorHAnsi" w:cstheme="majorBidi"/>
      <w:color w:val="2F5496" w:themeColor="accent1" w:themeShade="BF"/>
      <w:sz w:val="32"/>
      <w:szCs w:val="32"/>
    </w:rPr>
  </w:style>
  <w:style w:type="paragraph" w:styleId="TOCHeading">
    <w:name w:val="TOC Heading"/>
    <w:basedOn w:val="VBAILTHeading1"/>
    <w:next w:val="Normal"/>
    <w:uiPriority w:val="39"/>
    <w:unhideWhenUsed/>
    <w:qFormat/>
    <w:rsid w:val="00FF65C4"/>
    <w:pPr>
      <w:pageBreakBefore/>
      <w:outlineLvl w:val="9"/>
    </w:pPr>
  </w:style>
  <w:style w:type="paragraph" w:styleId="TOC2">
    <w:name w:val="toc 2"/>
    <w:basedOn w:val="VBAILTBody"/>
    <w:next w:val="VBAILTBody"/>
    <w:autoRedefine/>
    <w:uiPriority w:val="39"/>
    <w:unhideWhenUsed/>
    <w:qFormat/>
    <w:rsid w:val="00FF65C4"/>
    <w:pPr>
      <w:spacing w:before="60" w:after="60"/>
      <w:ind w:left="216"/>
    </w:pPr>
    <w:rPr>
      <w:sz w:val="20"/>
      <w:szCs w:val="20"/>
    </w:rPr>
  </w:style>
  <w:style w:type="character" w:styleId="FollowedHyperlink">
    <w:name w:val="FollowedHyperlink"/>
    <w:basedOn w:val="DefaultParagraphFont"/>
    <w:uiPriority w:val="99"/>
    <w:semiHidden/>
    <w:unhideWhenUsed/>
    <w:rsid w:val="00FF65C4"/>
    <w:rPr>
      <w:color w:val="954F72" w:themeColor="followedHyperlink"/>
      <w:u w:val="single"/>
    </w:rPr>
  </w:style>
  <w:style w:type="character" w:styleId="CommentReference">
    <w:name w:val="annotation reference"/>
    <w:basedOn w:val="DefaultParagraphFont"/>
    <w:uiPriority w:val="99"/>
    <w:semiHidden/>
    <w:unhideWhenUsed/>
    <w:rsid w:val="008A1019"/>
    <w:rPr>
      <w:sz w:val="16"/>
      <w:szCs w:val="16"/>
    </w:rPr>
  </w:style>
  <w:style w:type="paragraph" w:styleId="CommentText">
    <w:name w:val="annotation text"/>
    <w:basedOn w:val="Normal"/>
    <w:link w:val="CommentTextChar"/>
    <w:uiPriority w:val="99"/>
    <w:semiHidden/>
    <w:unhideWhenUsed/>
    <w:rsid w:val="008A1019"/>
    <w:pPr>
      <w:spacing w:line="240" w:lineRule="auto"/>
    </w:pPr>
    <w:rPr>
      <w:sz w:val="20"/>
      <w:szCs w:val="20"/>
    </w:rPr>
  </w:style>
  <w:style w:type="character" w:customStyle="1" w:styleId="CommentTextChar">
    <w:name w:val="Comment Text Char"/>
    <w:basedOn w:val="DefaultParagraphFont"/>
    <w:link w:val="CommentText"/>
    <w:uiPriority w:val="99"/>
    <w:semiHidden/>
    <w:rsid w:val="008A1019"/>
    <w:rPr>
      <w:sz w:val="20"/>
      <w:szCs w:val="20"/>
    </w:rPr>
  </w:style>
  <w:style w:type="paragraph" w:styleId="CommentSubject">
    <w:name w:val="annotation subject"/>
    <w:basedOn w:val="CommentText"/>
    <w:next w:val="CommentText"/>
    <w:link w:val="CommentSubjectChar"/>
    <w:uiPriority w:val="99"/>
    <w:semiHidden/>
    <w:unhideWhenUsed/>
    <w:rsid w:val="008A1019"/>
    <w:rPr>
      <w:b/>
      <w:bCs/>
    </w:rPr>
  </w:style>
  <w:style w:type="character" w:customStyle="1" w:styleId="CommentSubjectChar">
    <w:name w:val="Comment Subject Char"/>
    <w:basedOn w:val="CommentTextChar"/>
    <w:link w:val="CommentSubject"/>
    <w:uiPriority w:val="99"/>
    <w:semiHidden/>
    <w:rsid w:val="008A1019"/>
    <w:rPr>
      <w:b/>
      <w:bCs/>
      <w:sz w:val="20"/>
      <w:szCs w:val="20"/>
    </w:rPr>
  </w:style>
  <w:style w:type="character" w:styleId="Mention">
    <w:name w:val="Mention"/>
    <w:basedOn w:val="DefaultParagraphFont"/>
    <w:uiPriority w:val="99"/>
    <w:unhideWhenUsed/>
    <w:rsid w:val="005202F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216">
      <w:bodyDiv w:val="1"/>
      <w:marLeft w:val="0"/>
      <w:marRight w:val="0"/>
      <w:marTop w:val="0"/>
      <w:marBottom w:val="0"/>
      <w:divBdr>
        <w:top w:val="none" w:sz="0" w:space="0" w:color="auto"/>
        <w:left w:val="none" w:sz="0" w:space="0" w:color="auto"/>
        <w:bottom w:val="none" w:sz="0" w:space="0" w:color="auto"/>
        <w:right w:val="none" w:sz="0" w:space="0" w:color="auto"/>
      </w:divBdr>
      <w:divsChild>
        <w:div w:id="488715558">
          <w:marLeft w:val="547"/>
          <w:marRight w:val="0"/>
          <w:marTop w:val="106"/>
          <w:marBottom w:val="0"/>
          <w:divBdr>
            <w:top w:val="none" w:sz="0" w:space="0" w:color="auto"/>
            <w:left w:val="none" w:sz="0" w:space="0" w:color="auto"/>
            <w:bottom w:val="none" w:sz="0" w:space="0" w:color="auto"/>
            <w:right w:val="none" w:sz="0" w:space="0" w:color="auto"/>
          </w:divBdr>
        </w:div>
      </w:divsChild>
    </w:div>
    <w:div w:id="153843183">
      <w:bodyDiv w:val="1"/>
      <w:marLeft w:val="0"/>
      <w:marRight w:val="0"/>
      <w:marTop w:val="0"/>
      <w:marBottom w:val="0"/>
      <w:divBdr>
        <w:top w:val="none" w:sz="0" w:space="0" w:color="auto"/>
        <w:left w:val="none" w:sz="0" w:space="0" w:color="auto"/>
        <w:bottom w:val="none" w:sz="0" w:space="0" w:color="auto"/>
        <w:right w:val="none" w:sz="0" w:space="0" w:color="auto"/>
      </w:divBdr>
      <w:divsChild>
        <w:div w:id="827865873">
          <w:marLeft w:val="547"/>
          <w:marRight w:val="0"/>
          <w:marTop w:val="106"/>
          <w:marBottom w:val="0"/>
          <w:divBdr>
            <w:top w:val="none" w:sz="0" w:space="0" w:color="auto"/>
            <w:left w:val="none" w:sz="0" w:space="0" w:color="auto"/>
            <w:bottom w:val="none" w:sz="0" w:space="0" w:color="auto"/>
            <w:right w:val="none" w:sz="0" w:space="0" w:color="auto"/>
          </w:divBdr>
        </w:div>
      </w:divsChild>
    </w:div>
    <w:div w:id="346760764">
      <w:bodyDiv w:val="1"/>
      <w:marLeft w:val="0"/>
      <w:marRight w:val="0"/>
      <w:marTop w:val="0"/>
      <w:marBottom w:val="0"/>
      <w:divBdr>
        <w:top w:val="none" w:sz="0" w:space="0" w:color="auto"/>
        <w:left w:val="none" w:sz="0" w:space="0" w:color="auto"/>
        <w:bottom w:val="none" w:sz="0" w:space="0" w:color="auto"/>
        <w:right w:val="none" w:sz="0" w:space="0" w:color="auto"/>
      </w:divBdr>
      <w:divsChild>
        <w:div w:id="1720930904">
          <w:marLeft w:val="547"/>
          <w:marRight w:val="0"/>
          <w:marTop w:val="115"/>
          <w:marBottom w:val="0"/>
          <w:divBdr>
            <w:top w:val="none" w:sz="0" w:space="0" w:color="auto"/>
            <w:left w:val="none" w:sz="0" w:space="0" w:color="auto"/>
            <w:bottom w:val="none" w:sz="0" w:space="0" w:color="auto"/>
            <w:right w:val="none" w:sz="0" w:space="0" w:color="auto"/>
          </w:divBdr>
        </w:div>
      </w:divsChild>
    </w:div>
    <w:div w:id="1356343273">
      <w:bodyDiv w:val="1"/>
      <w:marLeft w:val="0"/>
      <w:marRight w:val="0"/>
      <w:marTop w:val="0"/>
      <w:marBottom w:val="0"/>
      <w:divBdr>
        <w:top w:val="none" w:sz="0" w:space="0" w:color="auto"/>
        <w:left w:val="none" w:sz="0" w:space="0" w:color="auto"/>
        <w:bottom w:val="none" w:sz="0" w:space="0" w:color="auto"/>
        <w:right w:val="none" w:sz="0" w:space="0" w:color="auto"/>
      </w:divBdr>
      <w:divsChild>
        <w:div w:id="2028019082">
          <w:marLeft w:val="547"/>
          <w:marRight w:val="0"/>
          <w:marTop w:val="106"/>
          <w:marBottom w:val="0"/>
          <w:divBdr>
            <w:top w:val="none" w:sz="0" w:space="0" w:color="auto"/>
            <w:left w:val="none" w:sz="0" w:space="0" w:color="auto"/>
            <w:bottom w:val="none" w:sz="0" w:space="0" w:color="auto"/>
            <w:right w:val="none" w:sz="0" w:space="0" w:color="auto"/>
          </w:divBdr>
        </w:div>
      </w:divsChild>
    </w:div>
    <w:div w:id="1442648969">
      <w:bodyDiv w:val="1"/>
      <w:marLeft w:val="0"/>
      <w:marRight w:val="0"/>
      <w:marTop w:val="0"/>
      <w:marBottom w:val="0"/>
      <w:divBdr>
        <w:top w:val="none" w:sz="0" w:space="0" w:color="auto"/>
        <w:left w:val="none" w:sz="0" w:space="0" w:color="auto"/>
        <w:bottom w:val="none" w:sz="0" w:space="0" w:color="auto"/>
        <w:right w:val="none" w:sz="0" w:space="0" w:color="auto"/>
      </w:divBdr>
      <w:divsChild>
        <w:div w:id="548305924">
          <w:marLeft w:val="547"/>
          <w:marRight w:val="0"/>
          <w:marTop w:val="106"/>
          <w:marBottom w:val="0"/>
          <w:divBdr>
            <w:top w:val="none" w:sz="0" w:space="0" w:color="auto"/>
            <w:left w:val="none" w:sz="0" w:space="0" w:color="auto"/>
            <w:bottom w:val="none" w:sz="0" w:space="0" w:color="auto"/>
            <w:right w:val="none" w:sz="0" w:space="0" w:color="auto"/>
          </w:divBdr>
        </w:div>
      </w:divsChild>
    </w:div>
    <w:div w:id="1672638912">
      <w:bodyDiv w:val="1"/>
      <w:marLeft w:val="0"/>
      <w:marRight w:val="0"/>
      <w:marTop w:val="0"/>
      <w:marBottom w:val="0"/>
      <w:divBdr>
        <w:top w:val="none" w:sz="0" w:space="0" w:color="auto"/>
        <w:left w:val="none" w:sz="0" w:space="0" w:color="auto"/>
        <w:bottom w:val="none" w:sz="0" w:space="0" w:color="auto"/>
        <w:right w:val="none" w:sz="0" w:space="0" w:color="auto"/>
      </w:divBdr>
      <w:divsChild>
        <w:div w:id="225070662">
          <w:marLeft w:val="547"/>
          <w:marRight w:val="0"/>
          <w:marTop w:val="115"/>
          <w:marBottom w:val="0"/>
          <w:divBdr>
            <w:top w:val="none" w:sz="0" w:space="0" w:color="auto"/>
            <w:left w:val="none" w:sz="0" w:space="0" w:color="auto"/>
            <w:bottom w:val="none" w:sz="0" w:space="0" w:color="auto"/>
            <w:right w:val="none" w:sz="0" w:space="0" w:color="auto"/>
          </w:divBdr>
        </w:div>
      </w:divsChild>
    </w:div>
    <w:div w:id="1954046873">
      <w:bodyDiv w:val="1"/>
      <w:marLeft w:val="0"/>
      <w:marRight w:val="0"/>
      <w:marTop w:val="0"/>
      <w:marBottom w:val="0"/>
      <w:divBdr>
        <w:top w:val="none" w:sz="0" w:space="0" w:color="auto"/>
        <w:left w:val="none" w:sz="0" w:space="0" w:color="auto"/>
        <w:bottom w:val="none" w:sz="0" w:space="0" w:color="auto"/>
        <w:right w:val="none" w:sz="0" w:space="0" w:color="auto"/>
      </w:divBdr>
      <w:divsChild>
        <w:div w:id="75458964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ngress.gov/117/plaws/publ168/PLAW-117publ168.pdf" TargetMode="External"/><Relationship Id="rId18" Type="http://schemas.openxmlformats.org/officeDocument/2006/relationships/hyperlink" Target="https://www.knowva.ebenefits.va.gov/system/templates/selfservice/va_ssnew/help/customer/locale/en-US/portal/554400000001018/content/554400000011474/Appendix%20B.%20End%20Product%20(EP)%20Code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webSettings" Target="webSettings.xml"/><Relationship Id="rId12" Type="http://schemas.openxmlformats.org/officeDocument/2006/relationships/hyperlink" Target="https://epss.vba.va.gov/vsr_assistant/pmc_vsr/index.html" TargetMode="External"/><Relationship Id="rId17" Type="http://schemas.openxmlformats.org/officeDocument/2006/relationships/hyperlink" Target="https://vbaw.vba.va.gov/pensionandfiduciary/pact-act.as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ongress.gov/117/plaws/publ168/PLAW-117publ168.pdf" TargetMode="External"/><Relationship Id="rId20" Type="http://schemas.openxmlformats.org/officeDocument/2006/relationships/hyperlink" Target="https://www.law.cornell.edu/uscode/text/38/510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baw.vba.va.gov/PENSIONANDFIDUCIARY/pension/docs/pcgl-pact-act-reevaluation-scenario-paragraphs.pdf"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epss.vba.va.gov/vsr_assistant/pmc_vsr/pdfs/ja_notification.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vbaw.vba.va.gov/pensionandfiduciary/pact-act.asp" TargetMode="External"/><Relationship Id="rId19" Type="http://schemas.openxmlformats.org/officeDocument/2006/relationships/hyperlink" Target="https://www.knowva.ebenefits.va.gov/system/templates/selfservice/va_ssnew/help/customer/locale/en-US/portal/554400000001018/content/554400000179710/Appendix%20E.%20Index%20of%20Corporate%20Flashes%20and%20Special%20Issu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pss.vba.va.gov/vsr_assistant/pmc_vsr/pdfs/ja_decnot.pdf"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Props1.xml><?xml version="1.0" encoding="utf-8"?>
<ds:datastoreItem xmlns:ds="http://schemas.openxmlformats.org/officeDocument/2006/customXml" ds:itemID="{90FC62A5-608C-4FBF-A208-7010A326E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3FFB27-411D-4754-9F50-E78A91682F7D}">
  <ds:schemaRefs>
    <ds:schemaRef ds:uri="http://schemas.microsoft.com/sharepoint/v3/contenttype/forms"/>
  </ds:schemaRefs>
</ds:datastoreItem>
</file>

<file path=customXml/itemProps3.xml><?xml version="1.0" encoding="utf-8"?>
<ds:datastoreItem xmlns:ds="http://schemas.openxmlformats.org/officeDocument/2006/customXml" ds:itemID="{996BB3EE-4608-4D13-8CD3-2DE3D8569AFE}">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4</TotalTime>
  <Pages>20</Pages>
  <Words>5136</Words>
  <Characters>29281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Introduction to PACT Act-Related Claims Job Aid</vt:lpstr>
    </vt:vector>
  </TitlesOfParts>
  <Company>Veterans Benefits Administration</Company>
  <LinksUpToDate>false</LinksUpToDate>
  <CharactersWithSpaces>34349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PACT Act-Related Claims Job Aid</dc:title>
  <dc:subject/>
  <dc:creator>Department of Veterans Affairs, Veterans Benefits Administration, Pension and Fiduciary Service, STAFF</dc:creator>
  <cp:keywords/>
  <dc:description/>
  <cp:lastModifiedBy>Kathy Poole</cp:lastModifiedBy>
  <cp:revision>3</cp:revision>
  <cp:lastPrinted>2023-04-24T11:07:00Z</cp:lastPrinted>
  <dcterms:created xsi:type="dcterms:W3CDTF">2024-06-14T12:46:00Z</dcterms:created>
  <dcterms:modified xsi:type="dcterms:W3CDTF">2024-06-28T19:24:00Z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MediaServiceImageTags">
    <vt:lpwstr/>
  </property>
  <property fmtid="{D5CDD505-2E9C-101B-9397-08002B2CF9AE}" pid="4" name="GrammarlyDocumentId">
    <vt:lpwstr>0469f61a64486613451f43b5bcc0e1cbf2f67f4075791b24cffacc0758b5dd67</vt:lpwstr>
  </property>
  <property fmtid="{D5CDD505-2E9C-101B-9397-08002B2CF9AE}" pid="5" name="Language">
    <vt:lpwstr>en</vt:lpwstr>
  </property>
  <property fmtid="{D5CDD505-2E9C-101B-9397-08002B2CF9AE}" pid="6" name="Type">
    <vt:lpwstr>Reference</vt:lpwstr>
  </property>
</Properties>
</file>