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74390" w14:textId="77777777" w:rsidR="006E7875" w:rsidRPr="00B06081" w:rsidRDefault="009B04C9" w:rsidP="004711E0">
      <w:pPr>
        <w:spacing w:line="276" w:lineRule="auto"/>
        <w:rPr>
          <w:rFonts w:ascii="Arial" w:hAnsi="Arial" w:cs="Arial"/>
          <w:szCs w:val="24"/>
        </w:rPr>
      </w:pPr>
      <w:bookmarkStart w:id="0" w:name="_GoBack"/>
      <w:bookmarkEnd w:id="0"/>
      <w:r w:rsidRPr="00B06081">
        <w:rPr>
          <w:rFonts w:ascii="Arial" w:hAnsi="Arial" w:cs="Arial"/>
          <w:noProof/>
          <w:szCs w:val="24"/>
        </w:rPr>
        <mc:AlternateContent>
          <mc:Choice Requires="wps">
            <w:drawing>
              <wp:anchor distT="0" distB="0" distL="114300" distR="114300" simplePos="0" relativeHeight="251658241" behindDoc="0" locked="0" layoutInCell="1" allowOverlap="1" wp14:anchorId="64760CF9" wp14:editId="1FDC9FC6">
                <wp:simplePos x="0" y="0"/>
                <wp:positionH relativeFrom="margin">
                  <wp:align>right</wp:align>
                </wp:positionH>
                <wp:positionV relativeFrom="paragraph">
                  <wp:posOffset>19050</wp:posOffset>
                </wp:positionV>
                <wp:extent cx="4781550" cy="1266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781550" cy="126682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AB79DBB" w14:textId="77777777" w:rsidR="00ED5825" w:rsidRDefault="00ED5825" w:rsidP="006F3DA0">
                            <w:pPr>
                              <w:jc w:val="cente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F90271">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Pension &amp; Fiduciary </w:t>
                            </w:r>
                            <w: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Service</w:t>
                            </w:r>
                          </w:p>
                          <w:p w14:paraId="312AE6D3" w14:textId="77777777" w:rsidR="00ED5825" w:rsidRPr="006F3DA0" w:rsidRDefault="00ED5825" w:rsidP="006F3DA0">
                            <w:pPr>
                              <w:jc w:val="cente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6F3DA0">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Inquir</w:t>
                            </w:r>
                            <w: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y Response Highlights</w:t>
                            </w:r>
                          </w:p>
                          <w:p w14:paraId="55E608F7" w14:textId="77777777" w:rsidR="00ED5825" w:rsidRDefault="00ED5825" w:rsidP="009B04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60CF9" id="Rectangle 3" o:spid="_x0000_s1026" style="position:absolute;margin-left:325.3pt;margin-top:1.5pt;width:376.5pt;height:99.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" fillcolor="white [3201]" strokecolor="#4f81bd [3204]" strokeweight="2pt">
                <v:textbox>
                  <w:txbxContent>
                    <w:p w14:paraId="3AB79DBB" w14:textId="77777777" w:rsidR="00ED5825" w:rsidRDefault="00ED5825" w:rsidP="006F3DA0">
                      <w:pPr>
                        <w:jc w:val="cente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F90271">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Pension &amp; Fiduciary </w:t>
                      </w:r>
                      <w: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Service</w:t>
                      </w:r>
                    </w:p>
                    <w:p w14:paraId="312AE6D3" w14:textId="77777777" w:rsidR="00ED5825" w:rsidRPr="006F3DA0" w:rsidRDefault="00ED5825" w:rsidP="006F3DA0">
                      <w:pPr>
                        <w:jc w:val="cente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6F3DA0">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Inquir</w:t>
                      </w:r>
                      <w: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y Response Highlights</w:t>
                      </w:r>
                    </w:p>
                    <w:p w14:paraId="55E608F7" w14:textId="77777777" w:rsidR="00ED5825" w:rsidRDefault="00ED5825" w:rsidP="009B04C9">
                      <w:pPr>
                        <w:jc w:val="center"/>
                      </w:pPr>
                    </w:p>
                  </w:txbxContent>
                </v:textbox>
                <w10:wrap anchorx="margin"/>
              </v:rect>
            </w:pict>
          </mc:Fallback>
        </mc:AlternateContent>
      </w:r>
      <w:r w:rsidRPr="00B06081">
        <w:rPr>
          <w:rFonts w:ascii="Arial" w:hAnsi="Arial" w:cs="Arial"/>
          <w:noProof/>
          <w:szCs w:val="24"/>
        </w:rPr>
        <w:drawing>
          <wp:anchor distT="0" distB="0" distL="114300" distR="114300" simplePos="0" relativeHeight="251658240" behindDoc="1" locked="0" layoutInCell="1" allowOverlap="1" wp14:anchorId="6DEA374F" wp14:editId="4D58BD5F">
            <wp:simplePos x="0" y="0"/>
            <wp:positionH relativeFrom="column">
              <wp:posOffset>-85725</wp:posOffset>
            </wp:positionH>
            <wp:positionV relativeFrom="paragraph">
              <wp:posOffset>38100</wp:posOffset>
            </wp:positionV>
            <wp:extent cx="1209675" cy="1292860"/>
            <wp:effectExtent l="38100" t="38100" r="85725" b="78740"/>
            <wp:wrapTight wrapText="bothSides">
              <wp:wrapPolygon edited="0">
                <wp:start x="-680" y="-637"/>
                <wp:lineTo x="-680" y="22597"/>
                <wp:lineTo x="22791" y="22597"/>
                <wp:lineTo x="22791" y="-637"/>
                <wp:lineTo x="-680" y="-63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292860"/>
                    </a:xfrm>
                    <a:prstGeom prst="rect">
                      <a:avLst/>
                    </a:prstGeom>
                    <a:noFill/>
                    <a:ln w="28575">
                      <a:solidFill>
                        <a:srgbClr val="090EE9"/>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p>
    <w:p w14:paraId="03E7A6E2" w14:textId="77777777" w:rsidR="0008633D" w:rsidRPr="00B06081" w:rsidRDefault="0008633D" w:rsidP="004711E0">
      <w:pPr>
        <w:spacing w:line="276" w:lineRule="auto"/>
        <w:rPr>
          <w:rFonts w:ascii="Arial" w:hAnsi="Arial" w:cs="Arial"/>
          <w:szCs w:val="24"/>
        </w:rPr>
      </w:pPr>
    </w:p>
    <w:p w14:paraId="68F9EF16" w14:textId="77777777" w:rsidR="006E7875" w:rsidRPr="00B06081" w:rsidRDefault="006E7875" w:rsidP="004711E0">
      <w:pPr>
        <w:spacing w:line="276" w:lineRule="auto"/>
        <w:rPr>
          <w:rFonts w:ascii="Arial" w:hAnsi="Arial" w:cs="Arial"/>
          <w:szCs w:val="24"/>
        </w:rPr>
      </w:pPr>
    </w:p>
    <w:p w14:paraId="575607AA" w14:textId="77777777" w:rsidR="006E7875" w:rsidRPr="00B06081" w:rsidRDefault="009B04C9" w:rsidP="004711E0">
      <w:pPr>
        <w:spacing w:line="276" w:lineRule="auto"/>
        <w:rPr>
          <w:rFonts w:ascii="Arial" w:hAnsi="Arial" w:cs="Arial"/>
          <w:szCs w:val="24"/>
        </w:rPr>
      </w:pPr>
      <w:r w:rsidRPr="00B06081">
        <w:rPr>
          <w:rFonts w:ascii="Arial" w:hAnsi="Arial" w:cs="Arial"/>
          <w:noProof/>
          <w:szCs w:val="24"/>
        </w:rPr>
        <mc:AlternateContent>
          <mc:Choice Requires="wps">
            <w:drawing>
              <wp:anchor distT="0" distB="0" distL="114300" distR="114300" simplePos="0" relativeHeight="251658243" behindDoc="0" locked="0" layoutInCell="1" allowOverlap="1" wp14:anchorId="6065C019" wp14:editId="3A877013">
                <wp:simplePos x="0" y="0"/>
                <wp:positionH relativeFrom="margin">
                  <wp:posOffset>-104776</wp:posOffset>
                </wp:positionH>
                <wp:positionV relativeFrom="paragraph">
                  <wp:posOffset>328930</wp:posOffset>
                </wp:positionV>
                <wp:extent cx="6029325" cy="39052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90525"/>
                        </a:xfrm>
                        <a:prstGeom prst="rect">
                          <a:avLst/>
                        </a:prstGeom>
                        <a:solidFill>
                          <a:srgbClr val="0226BE"/>
                        </a:solidFill>
                        <a:ln>
                          <a:headEnd/>
                          <a:tailEnd/>
                        </a:ln>
                      </wps:spPr>
                      <wps:style>
                        <a:lnRef idx="2">
                          <a:schemeClr val="accent1"/>
                        </a:lnRef>
                        <a:fillRef idx="1">
                          <a:schemeClr val="lt1"/>
                        </a:fillRef>
                        <a:effectRef idx="0">
                          <a:schemeClr val="accent1"/>
                        </a:effectRef>
                        <a:fontRef idx="minor">
                          <a:schemeClr val="dk1"/>
                        </a:fontRef>
                      </wps:style>
                      <wps:txbx>
                        <w:txbxContent>
                          <w:p w14:paraId="1F505233" w14:textId="407BD872" w:rsidR="00ED5825" w:rsidRPr="009B04C9" w:rsidRDefault="00856559" w:rsidP="006E7875">
                            <w:pPr>
                              <w:spacing w:before="120" w:after="120" w:line="240" w:lineRule="auto"/>
                              <w:jc w:val="right"/>
                              <w:rPr>
                                <w:rFonts w:ascii="Arial" w:hAnsi="Arial" w:cs="Arial"/>
                                <w:b/>
                                <w:color w:val="FFFFFF" w:themeColor="background1"/>
                                <w:sz w:val="28"/>
                                <w:szCs w:val="28"/>
                              </w:rPr>
                            </w:pPr>
                            <w:r>
                              <w:rPr>
                                <w:rFonts w:ascii="Arial" w:hAnsi="Arial" w:cs="Arial"/>
                                <w:b/>
                                <w:color w:val="FFFFFF" w:themeColor="background1"/>
                                <w:sz w:val="28"/>
                                <w:szCs w:val="28"/>
                              </w:rPr>
                              <w:t>May</w:t>
                            </w:r>
                            <w:r w:rsidR="00ED5825">
                              <w:rPr>
                                <w:rFonts w:ascii="Arial" w:hAnsi="Arial" w:cs="Arial"/>
                                <w:b/>
                                <w:color w:val="FFFFFF" w:themeColor="background1"/>
                                <w:sz w:val="28"/>
                                <w:szCs w:val="28"/>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5C019" id="_x0000_t202" coordsize="21600,21600" o:spt="202" path="m,l,21600r21600,l21600,xe">
                <v:stroke joinstyle="miter"/>
                <v:path gradientshapeok="t" o:connecttype="rect"/>
              </v:shapetype>
              <v:shape id="Text Box 2" o:spid="_x0000_s1027" type="#_x0000_t202" style="position:absolute;margin-left:-8.25pt;margin-top:25.9pt;width:474.75pt;height:30.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" fillcolor="#0226be" strokecolor="#4f81bd [3204]" strokeweight="2pt">
                <v:textbox>
                  <w:txbxContent>
                    <w:p w14:paraId="1F505233" w14:textId="407BD872" w:rsidR="00ED5825" w:rsidRPr="009B04C9" w:rsidRDefault="00856559" w:rsidP="006E7875">
                      <w:pPr>
                        <w:spacing w:before="120" w:after="120" w:line="240" w:lineRule="auto"/>
                        <w:jc w:val="right"/>
                        <w:rPr>
                          <w:rFonts w:ascii="Arial" w:hAnsi="Arial" w:cs="Arial"/>
                          <w:b/>
                          <w:color w:val="FFFFFF" w:themeColor="background1"/>
                          <w:sz w:val="28"/>
                          <w:szCs w:val="28"/>
                        </w:rPr>
                      </w:pPr>
                      <w:r>
                        <w:rPr>
                          <w:rFonts w:ascii="Arial" w:hAnsi="Arial" w:cs="Arial"/>
                          <w:b/>
                          <w:color w:val="FFFFFF" w:themeColor="background1"/>
                          <w:sz w:val="28"/>
                          <w:szCs w:val="28"/>
                        </w:rPr>
                        <w:t>May</w:t>
                      </w:r>
                      <w:r w:rsidR="00ED5825">
                        <w:rPr>
                          <w:rFonts w:ascii="Arial" w:hAnsi="Arial" w:cs="Arial"/>
                          <w:b/>
                          <w:color w:val="FFFFFF" w:themeColor="background1"/>
                          <w:sz w:val="28"/>
                          <w:szCs w:val="28"/>
                        </w:rPr>
                        <w:t xml:space="preserve"> 2020</w:t>
                      </w:r>
                    </w:p>
                  </w:txbxContent>
                </v:textbox>
                <w10:wrap anchorx="margin"/>
              </v:shape>
            </w:pict>
          </mc:Fallback>
        </mc:AlternateContent>
      </w:r>
    </w:p>
    <w:p w14:paraId="1A70FB72" w14:textId="77777777" w:rsidR="006E7875" w:rsidRPr="00B06081" w:rsidRDefault="006E7875" w:rsidP="004711E0">
      <w:pPr>
        <w:spacing w:line="276" w:lineRule="auto"/>
        <w:rPr>
          <w:rFonts w:ascii="Arial" w:hAnsi="Arial" w:cs="Arial"/>
          <w:szCs w:val="24"/>
        </w:rPr>
      </w:pPr>
    </w:p>
    <w:bookmarkStart w:id="1" w:name="_Toc42492292" w:displacedByCustomXml="next"/>
    <w:sdt>
      <w:sdtPr>
        <w:rPr>
          <w:rFonts w:ascii="Arial" w:eastAsia="Calibri" w:hAnsi="Arial" w:cs="Arial"/>
          <w:bCs/>
          <w:caps w:val="0"/>
          <w:noProof/>
          <w:color w:val="auto"/>
          <w:spacing w:val="0"/>
          <w:sz w:val="24"/>
          <w:szCs w:val="24"/>
        </w:rPr>
        <w:id w:val="1553883758"/>
        <w:docPartObj>
          <w:docPartGallery w:val="Table of Contents"/>
          <w:docPartUnique/>
        </w:docPartObj>
      </w:sdtPr>
      <w:sdtEndPr>
        <w:rPr>
          <w:rFonts w:eastAsiaTheme="majorEastAsia"/>
          <w:bCs w:val="0"/>
        </w:rPr>
      </w:sdtEndPr>
      <w:sdtContent>
        <w:p w14:paraId="7B6B1376" w14:textId="77777777" w:rsidR="00933CD4" w:rsidRPr="00B06081" w:rsidRDefault="00933CD4" w:rsidP="007B1400">
          <w:pPr>
            <w:pStyle w:val="Heading1"/>
            <w:pBdr>
              <w:bottom w:val="thinThickSmallGap" w:sz="12" w:space="0" w:color="943634" w:themeColor="accent2" w:themeShade="BF"/>
            </w:pBdr>
            <w:rPr>
              <w:rFonts w:ascii="Arial" w:hAnsi="Arial" w:cs="Arial"/>
              <w:sz w:val="24"/>
              <w:szCs w:val="24"/>
            </w:rPr>
          </w:pPr>
          <w:r w:rsidRPr="00B06081">
            <w:rPr>
              <w:rFonts w:ascii="Arial" w:hAnsi="Arial" w:cs="Arial"/>
              <w:sz w:val="24"/>
              <w:szCs w:val="24"/>
            </w:rPr>
            <w:t>Table of Contents</w:t>
          </w:r>
          <w:bookmarkEnd w:id="1"/>
        </w:p>
        <w:p w14:paraId="592306DA" w14:textId="4951524F" w:rsidR="0074542E" w:rsidRDefault="00933CD4">
          <w:pPr>
            <w:pStyle w:val="TOC1"/>
            <w:rPr>
              <w:rFonts w:asciiTheme="minorHAnsi" w:eastAsiaTheme="minorEastAsia" w:hAnsiTheme="minorHAnsi" w:cstheme="minorBidi"/>
              <w:sz w:val="22"/>
            </w:rPr>
          </w:pPr>
          <w:r w:rsidRPr="00B06081">
            <w:rPr>
              <w:szCs w:val="24"/>
            </w:rPr>
            <w:fldChar w:fldCharType="begin"/>
          </w:r>
          <w:r w:rsidRPr="00B06081">
            <w:rPr>
              <w:szCs w:val="24"/>
            </w:rPr>
            <w:instrText xml:space="preserve"> TOC \o "1-3" \h \z \u </w:instrText>
          </w:r>
          <w:r w:rsidRPr="00B06081">
            <w:rPr>
              <w:szCs w:val="24"/>
            </w:rPr>
            <w:fldChar w:fldCharType="separate"/>
          </w:r>
          <w:hyperlink w:anchor="_Toc42492292" w:history="1">
            <w:r w:rsidR="0074542E" w:rsidRPr="00EE26D3">
              <w:rPr>
                <w:rStyle w:val="Hyperlink"/>
              </w:rPr>
              <w:t>Table of Contents</w:t>
            </w:r>
            <w:r w:rsidR="0074542E">
              <w:rPr>
                <w:webHidden/>
              </w:rPr>
              <w:tab/>
            </w:r>
            <w:r w:rsidR="0074542E">
              <w:rPr>
                <w:webHidden/>
              </w:rPr>
              <w:fldChar w:fldCharType="begin"/>
            </w:r>
            <w:r w:rsidR="0074542E">
              <w:rPr>
                <w:webHidden/>
              </w:rPr>
              <w:instrText xml:space="preserve"> PAGEREF _Toc42492292 \h </w:instrText>
            </w:r>
            <w:r w:rsidR="0074542E">
              <w:rPr>
                <w:webHidden/>
              </w:rPr>
            </w:r>
            <w:r w:rsidR="0074542E">
              <w:rPr>
                <w:webHidden/>
              </w:rPr>
              <w:fldChar w:fldCharType="separate"/>
            </w:r>
            <w:r w:rsidR="0074542E">
              <w:rPr>
                <w:webHidden/>
              </w:rPr>
              <w:t>1</w:t>
            </w:r>
            <w:r w:rsidR="0074542E">
              <w:rPr>
                <w:webHidden/>
              </w:rPr>
              <w:fldChar w:fldCharType="end"/>
            </w:r>
          </w:hyperlink>
        </w:p>
        <w:p w14:paraId="2FCACF35" w14:textId="29E3D820" w:rsidR="0074542E" w:rsidRDefault="00C75470">
          <w:pPr>
            <w:pStyle w:val="TOC1"/>
            <w:rPr>
              <w:rFonts w:asciiTheme="minorHAnsi" w:eastAsiaTheme="minorEastAsia" w:hAnsiTheme="minorHAnsi" w:cstheme="minorBidi"/>
              <w:sz w:val="22"/>
            </w:rPr>
          </w:pPr>
          <w:hyperlink w:anchor="_Toc42492293" w:history="1">
            <w:r w:rsidR="0074542E" w:rsidRPr="00EE26D3">
              <w:rPr>
                <w:rStyle w:val="Hyperlink"/>
                <w:b/>
              </w:rPr>
              <w:t>Pension Management Center Related Inquiries</w:t>
            </w:r>
            <w:r w:rsidR="0074542E">
              <w:rPr>
                <w:webHidden/>
              </w:rPr>
              <w:tab/>
            </w:r>
            <w:r w:rsidR="0074542E">
              <w:rPr>
                <w:webHidden/>
              </w:rPr>
              <w:fldChar w:fldCharType="begin"/>
            </w:r>
            <w:r w:rsidR="0074542E">
              <w:rPr>
                <w:webHidden/>
              </w:rPr>
              <w:instrText xml:space="preserve"> PAGEREF _Toc42492293 \h </w:instrText>
            </w:r>
            <w:r w:rsidR="0074542E">
              <w:rPr>
                <w:webHidden/>
              </w:rPr>
            </w:r>
            <w:r w:rsidR="0074542E">
              <w:rPr>
                <w:webHidden/>
              </w:rPr>
              <w:fldChar w:fldCharType="separate"/>
            </w:r>
            <w:r w:rsidR="0074542E">
              <w:rPr>
                <w:webHidden/>
              </w:rPr>
              <w:t>1</w:t>
            </w:r>
            <w:r w:rsidR="0074542E">
              <w:rPr>
                <w:webHidden/>
              </w:rPr>
              <w:fldChar w:fldCharType="end"/>
            </w:r>
          </w:hyperlink>
        </w:p>
        <w:p w14:paraId="127C0151" w14:textId="088369FB" w:rsidR="0074542E" w:rsidRDefault="00C75470">
          <w:pPr>
            <w:pStyle w:val="TOC1"/>
            <w:rPr>
              <w:rFonts w:asciiTheme="minorHAnsi" w:eastAsiaTheme="minorEastAsia" w:hAnsiTheme="minorHAnsi" w:cstheme="minorBidi"/>
              <w:sz w:val="22"/>
            </w:rPr>
          </w:pPr>
          <w:hyperlink w:anchor="_Toc42492294" w:history="1">
            <w:r w:rsidR="0074542E" w:rsidRPr="00EE26D3">
              <w:rPr>
                <w:rStyle w:val="Hyperlink"/>
              </w:rPr>
              <w:t>Compensation Claim Concurrently Pending</w:t>
            </w:r>
            <w:r w:rsidR="0074542E">
              <w:rPr>
                <w:webHidden/>
              </w:rPr>
              <w:tab/>
            </w:r>
            <w:r w:rsidR="0074542E">
              <w:rPr>
                <w:webHidden/>
              </w:rPr>
              <w:fldChar w:fldCharType="begin"/>
            </w:r>
            <w:r w:rsidR="0074542E">
              <w:rPr>
                <w:webHidden/>
              </w:rPr>
              <w:instrText xml:space="preserve"> PAGEREF _Toc42492294 \h </w:instrText>
            </w:r>
            <w:r w:rsidR="0074542E">
              <w:rPr>
                <w:webHidden/>
              </w:rPr>
            </w:r>
            <w:r w:rsidR="0074542E">
              <w:rPr>
                <w:webHidden/>
              </w:rPr>
              <w:fldChar w:fldCharType="separate"/>
            </w:r>
            <w:r w:rsidR="0074542E">
              <w:rPr>
                <w:webHidden/>
              </w:rPr>
              <w:t>1</w:t>
            </w:r>
            <w:r w:rsidR="0074542E">
              <w:rPr>
                <w:webHidden/>
              </w:rPr>
              <w:fldChar w:fldCharType="end"/>
            </w:r>
          </w:hyperlink>
        </w:p>
        <w:p w14:paraId="3A4B4AD5" w14:textId="557E821D" w:rsidR="0074542E" w:rsidRDefault="00C75470">
          <w:pPr>
            <w:pStyle w:val="TOC1"/>
            <w:rPr>
              <w:rFonts w:asciiTheme="minorHAnsi" w:eastAsiaTheme="minorEastAsia" w:hAnsiTheme="minorHAnsi" w:cstheme="minorBidi"/>
              <w:sz w:val="22"/>
            </w:rPr>
          </w:pPr>
          <w:hyperlink w:anchor="_Toc42492295" w:history="1">
            <w:r w:rsidR="0074542E" w:rsidRPr="00EE26D3">
              <w:rPr>
                <w:rStyle w:val="Hyperlink"/>
              </w:rPr>
              <w:t>SC Death Grant - Mental Health</w:t>
            </w:r>
            <w:r w:rsidR="0074542E">
              <w:rPr>
                <w:webHidden/>
              </w:rPr>
              <w:tab/>
            </w:r>
            <w:r w:rsidR="0074542E">
              <w:rPr>
                <w:webHidden/>
              </w:rPr>
              <w:fldChar w:fldCharType="begin"/>
            </w:r>
            <w:r w:rsidR="0074542E">
              <w:rPr>
                <w:webHidden/>
              </w:rPr>
              <w:instrText xml:space="preserve"> PAGEREF _Toc42492295 \h </w:instrText>
            </w:r>
            <w:r w:rsidR="0074542E">
              <w:rPr>
                <w:webHidden/>
              </w:rPr>
            </w:r>
            <w:r w:rsidR="0074542E">
              <w:rPr>
                <w:webHidden/>
              </w:rPr>
              <w:fldChar w:fldCharType="separate"/>
            </w:r>
            <w:r w:rsidR="0074542E">
              <w:rPr>
                <w:webHidden/>
              </w:rPr>
              <w:t>2</w:t>
            </w:r>
            <w:r w:rsidR="0074542E">
              <w:rPr>
                <w:webHidden/>
              </w:rPr>
              <w:fldChar w:fldCharType="end"/>
            </w:r>
          </w:hyperlink>
        </w:p>
        <w:p w14:paraId="75828F03" w14:textId="0537D5C2" w:rsidR="0074542E" w:rsidRDefault="00C75470">
          <w:pPr>
            <w:pStyle w:val="TOC1"/>
            <w:rPr>
              <w:rFonts w:asciiTheme="minorHAnsi" w:eastAsiaTheme="minorEastAsia" w:hAnsiTheme="minorHAnsi" w:cstheme="minorBidi"/>
              <w:sz w:val="22"/>
            </w:rPr>
          </w:pPr>
          <w:hyperlink w:anchor="_Toc42492296" w:history="1">
            <w:r w:rsidR="0074542E" w:rsidRPr="00EE26D3">
              <w:rPr>
                <w:rStyle w:val="Hyperlink"/>
              </w:rPr>
              <w:t>Burial Decision Elements/Favorable Findings in VBMS-A</w:t>
            </w:r>
            <w:r w:rsidR="0074542E">
              <w:rPr>
                <w:webHidden/>
              </w:rPr>
              <w:tab/>
            </w:r>
            <w:r w:rsidR="0074542E">
              <w:rPr>
                <w:webHidden/>
              </w:rPr>
              <w:fldChar w:fldCharType="begin"/>
            </w:r>
            <w:r w:rsidR="0074542E">
              <w:rPr>
                <w:webHidden/>
              </w:rPr>
              <w:instrText xml:space="preserve"> PAGEREF _Toc42492296 \h </w:instrText>
            </w:r>
            <w:r w:rsidR="0074542E">
              <w:rPr>
                <w:webHidden/>
              </w:rPr>
            </w:r>
            <w:r w:rsidR="0074542E">
              <w:rPr>
                <w:webHidden/>
              </w:rPr>
              <w:fldChar w:fldCharType="separate"/>
            </w:r>
            <w:r w:rsidR="0074542E">
              <w:rPr>
                <w:webHidden/>
              </w:rPr>
              <w:t>3</w:t>
            </w:r>
            <w:r w:rsidR="0074542E">
              <w:rPr>
                <w:webHidden/>
              </w:rPr>
              <w:fldChar w:fldCharType="end"/>
            </w:r>
          </w:hyperlink>
        </w:p>
        <w:p w14:paraId="2CB56ACA" w14:textId="1BFBEF28" w:rsidR="0074542E" w:rsidRDefault="00C75470">
          <w:pPr>
            <w:pStyle w:val="TOC1"/>
            <w:rPr>
              <w:rFonts w:asciiTheme="minorHAnsi" w:eastAsiaTheme="minorEastAsia" w:hAnsiTheme="minorHAnsi" w:cstheme="minorBidi"/>
              <w:sz w:val="22"/>
            </w:rPr>
          </w:pPr>
          <w:hyperlink w:anchor="_Toc42492297" w:history="1">
            <w:r w:rsidR="0074542E" w:rsidRPr="00EE26D3">
              <w:rPr>
                <w:rStyle w:val="Hyperlink"/>
                <w:b/>
              </w:rPr>
              <w:t>Fiduciary HUB Related Inquiries</w:t>
            </w:r>
            <w:r w:rsidR="0074542E">
              <w:rPr>
                <w:webHidden/>
              </w:rPr>
              <w:tab/>
            </w:r>
            <w:r w:rsidR="0074542E">
              <w:rPr>
                <w:webHidden/>
              </w:rPr>
              <w:fldChar w:fldCharType="begin"/>
            </w:r>
            <w:r w:rsidR="0074542E">
              <w:rPr>
                <w:webHidden/>
              </w:rPr>
              <w:instrText xml:space="preserve"> PAGEREF _Toc42492297 \h </w:instrText>
            </w:r>
            <w:r w:rsidR="0074542E">
              <w:rPr>
                <w:webHidden/>
              </w:rPr>
            </w:r>
            <w:r w:rsidR="0074542E">
              <w:rPr>
                <w:webHidden/>
              </w:rPr>
              <w:fldChar w:fldCharType="separate"/>
            </w:r>
            <w:r w:rsidR="0074542E">
              <w:rPr>
                <w:webHidden/>
              </w:rPr>
              <w:t>6</w:t>
            </w:r>
            <w:r w:rsidR="0074542E">
              <w:rPr>
                <w:webHidden/>
              </w:rPr>
              <w:fldChar w:fldCharType="end"/>
            </w:r>
          </w:hyperlink>
        </w:p>
        <w:p w14:paraId="46CE953C" w14:textId="6724E7BC" w:rsidR="0074542E" w:rsidRDefault="00C75470">
          <w:pPr>
            <w:pStyle w:val="TOC1"/>
            <w:rPr>
              <w:rFonts w:asciiTheme="minorHAnsi" w:eastAsiaTheme="minorEastAsia" w:hAnsiTheme="minorHAnsi" w:cstheme="minorBidi"/>
              <w:sz w:val="22"/>
            </w:rPr>
          </w:pPr>
          <w:hyperlink w:anchor="_Toc42492298" w:history="1">
            <w:r w:rsidR="0074542E" w:rsidRPr="00EE26D3">
              <w:rPr>
                <w:rStyle w:val="Hyperlink"/>
              </w:rPr>
              <w:t>Stimulus Funds Issued Under the CARES Act</w:t>
            </w:r>
            <w:r w:rsidR="0074542E">
              <w:rPr>
                <w:webHidden/>
              </w:rPr>
              <w:tab/>
            </w:r>
            <w:r w:rsidR="0074542E">
              <w:rPr>
                <w:webHidden/>
              </w:rPr>
              <w:fldChar w:fldCharType="begin"/>
            </w:r>
            <w:r w:rsidR="0074542E">
              <w:rPr>
                <w:webHidden/>
              </w:rPr>
              <w:instrText xml:space="preserve"> PAGEREF _Toc42492298 \h </w:instrText>
            </w:r>
            <w:r w:rsidR="0074542E">
              <w:rPr>
                <w:webHidden/>
              </w:rPr>
            </w:r>
            <w:r w:rsidR="0074542E">
              <w:rPr>
                <w:webHidden/>
              </w:rPr>
              <w:fldChar w:fldCharType="separate"/>
            </w:r>
            <w:r w:rsidR="0074542E">
              <w:rPr>
                <w:webHidden/>
              </w:rPr>
              <w:t>6</w:t>
            </w:r>
            <w:r w:rsidR="0074542E">
              <w:rPr>
                <w:webHidden/>
              </w:rPr>
              <w:fldChar w:fldCharType="end"/>
            </w:r>
          </w:hyperlink>
        </w:p>
        <w:p w14:paraId="7E3FEE11" w14:textId="43B56368" w:rsidR="0074542E" w:rsidRDefault="00C75470">
          <w:pPr>
            <w:pStyle w:val="TOC1"/>
            <w:rPr>
              <w:rFonts w:asciiTheme="minorHAnsi" w:eastAsiaTheme="minorEastAsia" w:hAnsiTheme="minorHAnsi" w:cstheme="minorBidi"/>
              <w:sz w:val="22"/>
            </w:rPr>
          </w:pPr>
          <w:hyperlink w:anchor="_Toc42492299" w:history="1">
            <w:r w:rsidR="0074542E" w:rsidRPr="00EE26D3">
              <w:rPr>
                <w:rStyle w:val="Hyperlink"/>
              </w:rPr>
              <w:t>Bond Requirement For State Agency</w:t>
            </w:r>
            <w:r w:rsidR="0074542E">
              <w:rPr>
                <w:webHidden/>
              </w:rPr>
              <w:tab/>
            </w:r>
            <w:r w:rsidR="0074542E">
              <w:rPr>
                <w:webHidden/>
              </w:rPr>
              <w:fldChar w:fldCharType="begin"/>
            </w:r>
            <w:r w:rsidR="0074542E">
              <w:rPr>
                <w:webHidden/>
              </w:rPr>
              <w:instrText xml:space="preserve"> PAGEREF _Toc42492299 \h </w:instrText>
            </w:r>
            <w:r w:rsidR="0074542E">
              <w:rPr>
                <w:webHidden/>
              </w:rPr>
            </w:r>
            <w:r w:rsidR="0074542E">
              <w:rPr>
                <w:webHidden/>
              </w:rPr>
              <w:fldChar w:fldCharType="separate"/>
            </w:r>
            <w:r w:rsidR="0074542E">
              <w:rPr>
                <w:webHidden/>
              </w:rPr>
              <w:t>6</w:t>
            </w:r>
            <w:r w:rsidR="0074542E">
              <w:rPr>
                <w:webHidden/>
              </w:rPr>
              <w:fldChar w:fldCharType="end"/>
            </w:r>
          </w:hyperlink>
        </w:p>
        <w:p w14:paraId="2473C959" w14:textId="334EA7FA" w:rsidR="0074542E" w:rsidRDefault="00C75470">
          <w:pPr>
            <w:pStyle w:val="TOC1"/>
            <w:rPr>
              <w:rFonts w:asciiTheme="minorHAnsi" w:eastAsiaTheme="minorEastAsia" w:hAnsiTheme="minorHAnsi" w:cstheme="minorBidi"/>
              <w:sz w:val="22"/>
            </w:rPr>
          </w:pPr>
          <w:hyperlink w:anchor="_Toc42492301" w:history="1">
            <w:r w:rsidR="0074542E" w:rsidRPr="00EE26D3">
              <w:rPr>
                <w:rStyle w:val="Hyperlink"/>
                <w:b/>
              </w:rPr>
              <w:t>P&amp;F Service Information</w:t>
            </w:r>
            <w:r w:rsidR="0074542E">
              <w:rPr>
                <w:webHidden/>
              </w:rPr>
              <w:tab/>
            </w:r>
            <w:r w:rsidR="0074542E">
              <w:rPr>
                <w:webHidden/>
              </w:rPr>
              <w:fldChar w:fldCharType="begin"/>
            </w:r>
            <w:r w:rsidR="0074542E">
              <w:rPr>
                <w:webHidden/>
              </w:rPr>
              <w:instrText xml:space="preserve"> PAGEREF _Toc42492301 \h </w:instrText>
            </w:r>
            <w:r w:rsidR="0074542E">
              <w:rPr>
                <w:webHidden/>
              </w:rPr>
            </w:r>
            <w:r w:rsidR="0074542E">
              <w:rPr>
                <w:webHidden/>
              </w:rPr>
              <w:fldChar w:fldCharType="separate"/>
            </w:r>
            <w:r w:rsidR="0074542E">
              <w:rPr>
                <w:webHidden/>
              </w:rPr>
              <w:t>8</w:t>
            </w:r>
            <w:r w:rsidR="0074542E">
              <w:rPr>
                <w:webHidden/>
              </w:rPr>
              <w:fldChar w:fldCharType="end"/>
            </w:r>
          </w:hyperlink>
        </w:p>
        <w:p w14:paraId="09002225" w14:textId="58D148FA" w:rsidR="0074542E" w:rsidRDefault="00C75470">
          <w:pPr>
            <w:pStyle w:val="TOC1"/>
            <w:rPr>
              <w:rFonts w:asciiTheme="minorHAnsi" w:eastAsiaTheme="minorEastAsia" w:hAnsiTheme="minorHAnsi" w:cstheme="minorBidi"/>
              <w:sz w:val="22"/>
            </w:rPr>
          </w:pPr>
          <w:hyperlink w:anchor="_Toc42492302" w:history="1">
            <w:r w:rsidR="0074542E" w:rsidRPr="00EE26D3">
              <w:rPr>
                <w:rStyle w:val="Hyperlink"/>
              </w:rPr>
              <w:t>P&amp;F Service Contact Information</w:t>
            </w:r>
            <w:r w:rsidR="0074542E">
              <w:rPr>
                <w:webHidden/>
              </w:rPr>
              <w:tab/>
            </w:r>
            <w:r w:rsidR="0074542E">
              <w:rPr>
                <w:webHidden/>
              </w:rPr>
              <w:fldChar w:fldCharType="begin"/>
            </w:r>
            <w:r w:rsidR="0074542E">
              <w:rPr>
                <w:webHidden/>
              </w:rPr>
              <w:instrText xml:space="preserve"> PAGEREF _Toc42492302 \h </w:instrText>
            </w:r>
            <w:r w:rsidR="0074542E">
              <w:rPr>
                <w:webHidden/>
              </w:rPr>
            </w:r>
            <w:r w:rsidR="0074542E">
              <w:rPr>
                <w:webHidden/>
              </w:rPr>
              <w:fldChar w:fldCharType="separate"/>
            </w:r>
            <w:r w:rsidR="0074542E">
              <w:rPr>
                <w:webHidden/>
              </w:rPr>
              <w:t>8</w:t>
            </w:r>
            <w:r w:rsidR="0074542E">
              <w:rPr>
                <w:webHidden/>
              </w:rPr>
              <w:fldChar w:fldCharType="end"/>
            </w:r>
          </w:hyperlink>
        </w:p>
        <w:p w14:paraId="652A8B81" w14:textId="06B4EDA1" w:rsidR="0074542E" w:rsidRDefault="00C75470">
          <w:pPr>
            <w:pStyle w:val="TOC1"/>
            <w:rPr>
              <w:rFonts w:asciiTheme="minorHAnsi" w:eastAsiaTheme="minorEastAsia" w:hAnsiTheme="minorHAnsi" w:cstheme="minorBidi"/>
              <w:sz w:val="22"/>
            </w:rPr>
          </w:pPr>
          <w:hyperlink w:anchor="_Toc42492303" w:history="1">
            <w:r w:rsidR="0074542E" w:rsidRPr="00EE26D3">
              <w:rPr>
                <w:rStyle w:val="Hyperlink"/>
              </w:rPr>
              <w:t>Disclaimer</w:t>
            </w:r>
            <w:r w:rsidR="0074542E">
              <w:rPr>
                <w:webHidden/>
              </w:rPr>
              <w:tab/>
            </w:r>
            <w:r w:rsidR="0074542E">
              <w:rPr>
                <w:webHidden/>
              </w:rPr>
              <w:fldChar w:fldCharType="begin"/>
            </w:r>
            <w:r w:rsidR="0074542E">
              <w:rPr>
                <w:webHidden/>
              </w:rPr>
              <w:instrText xml:space="preserve"> PAGEREF _Toc42492303 \h </w:instrText>
            </w:r>
            <w:r w:rsidR="0074542E">
              <w:rPr>
                <w:webHidden/>
              </w:rPr>
            </w:r>
            <w:r w:rsidR="0074542E">
              <w:rPr>
                <w:webHidden/>
              </w:rPr>
              <w:fldChar w:fldCharType="separate"/>
            </w:r>
            <w:r w:rsidR="0074542E">
              <w:rPr>
                <w:webHidden/>
              </w:rPr>
              <w:t>8</w:t>
            </w:r>
            <w:r w:rsidR="0074542E">
              <w:rPr>
                <w:webHidden/>
              </w:rPr>
              <w:fldChar w:fldCharType="end"/>
            </w:r>
          </w:hyperlink>
        </w:p>
        <w:p w14:paraId="22097C67" w14:textId="372D1FA0" w:rsidR="00933CD4" w:rsidRPr="00B06081" w:rsidRDefault="00933CD4" w:rsidP="00165958">
          <w:pPr>
            <w:pStyle w:val="TOC1"/>
            <w:rPr>
              <w:szCs w:val="24"/>
            </w:rPr>
            <w:sectPr w:rsidR="00933CD4" w:rsidRPr="00B06081" w:rsidSect="00192F69">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B06081">
            <w:rPr>
              <w:bCs/>
              <w:szCs w:val="24"/>
            </w:rPr>
            <w:fldChar w:fldCharType="end"/>
          </w:r>
        </w:p>
      </w:sdtContent>
    </w:sdt>
    <w:bookmarkStart w:id="2" w:name="_Toc358792455" w:displacedByCustomXml="prev"/>
    <w:bookmarkStart w:id="3" w:name="_Toc358794014" w:displacedByCustomXml="prev"/>
    <w:bookmarkStart w:id="4" w:name="_Toc358797197" w:displacedByCustomXml="prev"/>
    <w:bookmarkStart w:id="5" w:name="_Toc358798235" w:displacedByCustomXml="prev"/>
    <w:bookmarkStart w:id="6" w:name="_Toc358798484" w:displacedByCustomXml="prev"/>
    <w:p w14:paraId="60F64692" w14:textId="77777777" w:rsidR="00AA74F6" w:rsidRPr="00900D56" w:rsidRDefault="00AA74F6" w:rsidP="00AA74F6">
      <w:pPr>
        <w:pStyle w:val="Heading1"/>
        <w:rPr>
          <w:rFonts w:ascii="Arial" w:hAnsi="Arial" w:cs="Arial"/>
          <w:b/>
          <w:color w:val="auto"/>
          <w:sz w:val="36"/>
        </w:rPr>
      </w:pPr>
      <w:bookmarkStart w:id="7" w:name="_Toc11231410"/>
      <w:bookmarkStart w:id="8" w:name="_Toc42492293"/>
      <w:bookmarkEnd w:id="6"/>
      <w:bookmarkEnd w:id="5"/>
      <w:bookmarkEnd w:id="4"/>
      <w:bookmarkEnd w:id="3"/>
      <w:bookmarkEnd w:id="2"/>
      <w:r w:rsidRPr="00900D56">
        <w:rPr>
          <w:rFonts w:ascii="Arial" w:hAnsi="Arial" w:cs="Arial"/>
          <w:b/>
          <w:color w:val="auto"/>
          <w:sz w:val="36"/>
        </w:rPr>
        <w:t>Pension Management Center Related Inquiries</w:t>
      </w:r>
      <w:bookmarkEnd w:id="7"/>
      <w:bookmarkEnd w:id="8"/>
    </w:p>
    <w:p w14:paraId="7F1CE1DB" w14:textId="131E2467" w:rsidR="00B06081" w:rsidRPr="00824543" w:rsidRDefault="00EA3EDD" w:rsidP="00824543">
      <w:pPr>
        <w:pStyle w:val="Heading1"/>
        <w:rPr>
          <w:rFonts w:ascii="Arial" w:hAnsi="Arial" w:cs="Arial"/>
        </w:rPr>
      </w:pPr>
      <w:bookmarkStart w:id="9" w:name="_Toc42492294"/>
      <w:r>
        <w:rPr>
          <w:rFonts w:ascii="Arial" w:hAnsi="Arial" w:cs="Arial"/>
        </w:rPr>
        <w:t>Compensation Claim Concurrently Pending</w:t>
      </w:r>
      <w:bookmarkEnd w:id="9"/>
    </w:p>
    <w:p w14:paraId="12119AC1" w14:textId="77777777" w:rsidR="00B06081" w:rsidRPr="003334F9" w:rsidRDefault="00B06081" w:rsidP="00975DE1">
      <w:pPr>
        <w:spacing w:after="0" w:line="240" w:lineRule="auto"/>
        <w:rPr>
          <w:rFonts w:ascii="Arial" w:eastAsia="Times New Roman" w:hAnsi="Arial" w:cs="Arial"/>
          <w:szCs w:val="24"/>
        </w:rPr>
      </w:pPr>
      <w:r w:rsidRPr="003334F9">
        <w:rPr>
          <w:rFonts w:ascii="Arial" w:hAnsi="Arial" w:cs="Arial"/>
          <w:b/>
          <w:szCs w:val="24"/>
        </w:rPr>
        <w:t>Target Audience</w:t>
      </w:r>
      <w:r w:rsidRPr="003334F9">
        <w:rPr>
          <w:rFonts w:ascii="Arial" w:hAnsi="Arial" w:cs="Arial"/>
          <w:szCs w:val="24"/>
        </w:rPr>
        <w:t>:</w:t>
      </w:r>
      <w:r w:rsidRPr="003334F9">
        <w:rPr>
          <w:rFonts w:ascii="Arial" w:eastAsia="Times New Roman" w:hAnsi="Arial" w:cs="Arial"/>
          <w:szCs w:val="24"/>
        </w:rPr>
        <w:t xml:space="preserve"> </w:t>
      </w:r>
      <w:r w:rsidR="00830568" w:rsidRPr="003334F9">
        <w:rPr>
          <w:rFonts w:ascii="Arial" w:hAnsi="Arial" w:cs="Arial"/>
        </w:rPr>
        <w:t>PMC Claims Processors</w:t>
      </w:r>
    </w:p>
    <w:p w14:paraId="486A8BE5" w14:textId="715DF273" w:rsidR="00161EB9" w:rsidRDefault="00161EB9" w:rsidP="00975DE1">
      <w:pPr>
        <w:spacing w:after="0" w:line="240" w:lineRule="auto"/>
        <w:rPr>
          <w:rFonts w:ascii="Arial" w:hAnsi="Arial" w:cs="Arial"/>
        </w:rPr>
      </w:pPr>
    </w:p>
    <w:p w14:paraId="38DA525C" w14:textId="2D985DC9" w:rsidR="00D02A2C" w:rsidRPr="00D02A2C" w:rsidRDefault="003C7AC3" w:rsidP="00D02A2C">
      <w:pPr>
        <w:spacing w:after="0" w:line="240" w:lineRule="auto"/>
        <w:rPr>
          <w:rFonts w:ascii="Arial" w:hAnsi="Arial" w:cs="Arial"/>
          <w:sz w:val="22"/>
        </w:rPr>
      </w:pPr>
      <w:r w:rsidRPr="003334F9">
        <w:rPr>
          <w:rFonts w:ascii="Arial" w:hAnsi="Arial" w:cs="Arial"/>
          <w:b/>
        </w:rPr>
        <w:t>Question</w:t>
      </w:r>
      <w:r w:rsidRPr="00D5170B">
        <w:rPr>
          <w:rFonts w:ascii="Arial" w:hAnsi="Arial" w:cs="Arial"/>
        </w:rPr>
        <w:t>:</w:t>
      </w:r>
      <w:r w:rsidR="00830568" w:rsidRPr="003334F9">
        <w:rPr>
          <w:rFonts w:ascii="Arial" w:hAnsi="Arial" w:cs="Arial"/>
          <w:b/>
        </w:rPr>
        <w:t xml:space="preserve">  </w:t>
      </w:r>
      <w:r w:rsidR="00EA3EDD">
        <w:rPr>
          <w:rFonts w:ascii="Arial" w:hAnsi="Arial" w:cs="Arial"/>
        </w:rPr>
        <w:t>The</w:t>
      </w:r>
      <w:r w:rsidR="00EA3EDD" w:rsidRPr="00EA3EDD">
        <w:rPr>
          <w:rFonts w:ascii="Arial" w:hAnsi="Arial" w:cs="Arial"/>
        </w:rPr>
        <w:t xml:space="preserve"> PMC is requesting clarification on how claims should be processed when pension and compensation </w:t>
      </w:r>
      <w:r w:rsidR="00B7357E">
        <w:rPr>
          <w:rFonts w:ascii="Arial" w:hAnsi="Arial" w:cs="Arial"/>
        </w:rPr>
        <w:t xml:space="preserve">or </w:t>
      </w:r>
      <w:r w:rsidR="00EA3EDD" w:rsidRPr="00EA3EDD">
        <w:rPr>
          <w:rFonts w:ascii="Arial" w:hAnsi="Arial" w:cs="Arial"/>
        </w:rPr>
        <w:t>when non-appeal and appeal claims become intertwined to include proper jurisdiction. A review of the NWQ playbook (page 16 and 17) only addresses situations where there is a non-rating issue at one office along with a rating issue at another office but it does not address compensation vs pension or non-appeal issue vs appeal issue.  The PMCs are unable to take action on the pension issue when there is a compensation rating but the claim has not been promulgated.  In these instances, VBMS forces the compensation rates into the pension award.</w:t>
      </w:r>
    </w:p>
    <w:p w14:paraId="2A966399" w14:textId="77777777" w:rsidR="00D02A2C" w:rsidRPr="00D02A2C" w:rsidRDefault="00D02A2C" w:rsidP="00D02A2C">
      <w:pPr>
        <w:spacing w:after="0" w:line="240" w:lineRule="auto"/>
        <w:rPr>
          <w:rFonts w:ascii="Arial" w:hAnsi="Arial" w:cs="Arial"/>
        </w:rPr>
      </w:pPr>
    </w:p>
    <w:p w14:paraId="6997FF59" w14:textId="610B7242" w:rsidR="00D02A2C" w:rsidRDefault="00D5170B" w:rsidP="00D02A2C">
      <w:pPr>
        <w:spacing w:after="0" w:line="240" w:lineRule="auto"/>
        <w:rPr>
          <w:rFonts w:ascii="Arial" w:hAnsi="Arial" w:cs="Arial"/>
          <w:szCs w:val="24"/>
        </w:rPr>
      </w:pPr>
      <w:r w:rsidRPr="00D5170B">
        <w:rPr>
          <w:rFonts w:ascii="Arial" w:hAnsi="Arial" w:cs="Arial"/>
          <w:b/>
          <w:szCs w:val="24"/>
        </w:rPr>
        <w:t>Response</w:t>
      </w:r>
      <w:r w:rsidRPr="00D5170B">
        <w:rPr>
          <w:rFonts w:ascii="Arial" w:hAnsi="Arial" w:cs="Arial"/>
          <w:szCs w:val="24"/>
        </w:rPr>
        <w:t xml:space="preserve">:  </w:t>
      </w:r>
      <w:bookmarkStart w:id="10" w:name="_Hlk25906008"/>
      <w:r w:rsidR="00EA3EDD" w:rsidRPr="00EA3EDD">
        <w:rPr>
          <w:rFonts w:ascii="Arial" w:hAnsi="Arial" w:cs="Arial"/>
          <w:szCs w:val="24"/>
        </w:rPr>
        <w:t xml:space="preserve">P&amp;F Service is collaborating with the Office of Field Operations and Compensation Service to provide broader guidance on these types of scenarios. Veterans Benefits Management System (VBMS) does not allow users to simultaneously process separate rating or award decisions on concurrent EPs because there can only be one proposed rating or award at a time.  If the concurrent EPs can be worked together by a single RO, then the impacted stations should coordinate to consolidate jurisdiction. If not, the stations must coordinate with each other to process the concurrent EPs separately.  This means one station will have to process their claim first and maintain communication with the other station regarding the status. Determination as to which station completes the claim first must be coordinated on a case-by-case basis depending on the unique circumstances of the pending claims. In general, the involved stations should determine the processing order considering the greater benefit for the claimant. Also, if one claim can be granted administratively (without a rating action) at the time of the claims being intertwined, then that claim would likely be processed first as it can be more promptly decided. For the station that cannot take immediate action on a concurrent EP, a note should be added in VBMS that specifies why the claim could not be processed without action from the other station. The involved stations must coordinate so that the waiting station can take action as soon as possible after processing of the other EP.    </w:t>
      </w:r>
    </w:p>
    <w:bookmarkEnd w:id="10"/>
    <w:p w14:paraId="6744BC67" w14:textId="77777777" w:rsidR="00606DD3" w:rsidRDefault="00606DD3" w:rsidP="0093205E">
      <w:pPr>
        <w:spacing w:after="0" w:line="240" w:lineRule="auto"/>
        <w:rPr>
          <w:rFonts w:ascii="Arial" w:hAnsi="Arial" w:cs="Arial"/>
          <w:b/>
        </w:rPr>
      </w:pPr>
    </w:p>
    <w:p w14:paraId="1899C4EB" w14:textId="4811B164" w:rsidR="00606DD3" w:rsidRDefault="003C7AC3" w:rsidP="0093205E">
      <w:pPr>
        <w:spacing w:after="0" w:line="240" w:lineRule="auto"/>
        <w:rPr>
          <w:rFonts w:ascii="Arial" w:hAnsi="Arial" w:cs="Arial"/>
        </w:rPr>
      </w:pPr>
      <w:r w:rsidRPr="00EA3EDD">
        <w:rPr>
          <w:rFonts w:ascii="Arial" w:hAnsi="Arial" w:cs="Arial"/>
          <w:b/>
        </w:rPr>
        <w:t>Result:</w:t>
      </w:r>
      <w:r w:rsidRPr="00EA3EDD">
        <w:rPr>
          <w:rFonts w:ascii="Arial" w:hAnsi="Arial" w:cs="Arial"/>
        </w:rPr>
        <w:t xml:space="preserve"> </w:t>
      </w:r>
      <w:r w:rsidR="00830568" w:rsidRPr="00EA3EDD">
        <w:rPr>
          <w:rFonts w:ascii="Arial" w:hAnsi="Arial" w:cs="Arial"/>
        </w:rPr>
        <w:t xml:space="preserve"> </w:t>
      </w:r>
      <w:r w:rsidR="00EA3EDD" w:rsidRPr="00EA3EDD">
        <w:rPr>
          <w:rFonts w:ascii="Arial" w:hAnsi="Arial" w:cs="Arial"/>
        </w:rPr>
        <w:t>Clarification provided</w:t>
      </w:r>
      <w:r w:rsidR="00606DD3" w:rsidRPr="00EA3EDD">
        <w:rPr>
          <w:rFonts w:ascii="Arial" w:hAnsi="Arial" w:cs="Arial"/>
        </w:rPr>
        <w:t>.</w:t>
      </w:r>
    </w:p>
    <w:p w14:paraId="1E958986" w14:textId="0635BB6E" w:rsidR="008A465E" w:rsidRPr="003C7AC3" w:rsidRDefault="00EA3EDD" w:rsidP="008A465E">
      <w:pPr>
        <w:pStyle w:val="Heading1"/>
        <w:rPr>
          <w:rFonts w:ascii="Arial" w:hAnsi="Arial" w:cs="Arial"/>
        </w:rPr>
      </w:pPr>
      <w:bookmarkStart w:id="11" w:name="_Toc42492295"/>
      <w:r w:rsidRPr="00EA3EDD">
        <w:rPr>
          <w:rFonts w:ascii="Arial" w:hAnsi="Arial" w:cs="Arial"/>
        </w:rPr>
        <w:t>SC Death Grant - Mental Health</w:t>
      </w:r>
      <w:bookmarkEnd w:id="11"/>
    </w:p>
    <w:p w14:paraId="69C9AC06" w14:textId="77777777" w:rsidR="008A465E" w:rsidRPr="00B06081" w:rsidRDefault="008A465E" w:rsidP="00C32D30">
      <w:pPr>
        <w:spacing w:after="0" w:line="240" w:lineRule="auto"/>
        <w:rPr>
          <w:rFonts w:ascii="Arial" w:hAnsi="Arial" w:cs="Arial"/>
          <w:szCs w:val="24"/>
        </w:rPr>
      </w:pPr>
      <w:r w:rsidRPr="00824543">
        <w:rPr>
          <w:rFonts w:ascii="Arial" w:hAnsi="Arial" w:cs="Arial"/>
          <w:b/>
          <w:szCs w:val="24"/>
        </w:rPr>
        <w:t>Target Audience</w:t>
      </w:r>
      <w:r w:rsidRPr="00824543">
        <w:rPr>
          <w:rFonts w:ascii="Arial" w:hAnsi="Arial" w:cs="Arial"/>
          <w:szCs w:val="24"/>
        </w:rPr>
        <w:t xml:space="preserve">: </w:t>
      </w:r>
      <w:r w:rsidR="00171D09">
        <w:rPr>
          <w:rFonts w:ascii="Arial" w:hAnsi="Arial" w:cs="Arial"/>
          <w:szCs w:val="24"/>
        </w:rPr>
        <w:t xml:space="preserve"> </w:t>
      </w:r>
      <w:r w:rsidR="00171D09">
        <w:rPr>
          <w:rFonts w:ascii="Arial" w:hAnsi="Arial" w:cs="Arial"/>
        </w:rPr>
        <w:t>PMC Claims Processors</w:t>
      </w:r>
    </w:p>
    <w:p w14:paraId="78D953EB" w14:textId="71B96C51" w:rsidR="008A465E" w:rsidRDefault="008A465E" w:rsidP="006C4971">
      <w:pPr>
        <w:spacing w:after="0" w:line="240" w:lineRule="auto"/>
        <w:rPr>
          <w:rFonts w:ascii="Arial" w:hAnsi="Arial" w:cs="Arial"/>
          <w:szCs w:val="24"/>
        </w:rPr>
      </w:pPr>
    </w:p>
    <w:p w14:paraId="0D32C0E3" w14:textId="7DAB7ECE" w:rsidR="00EA3EDD" w:rsidRDefault="008A760B" w:rsidP="00EA3EDD">
      <w:pPr>
        <w:spacing w:after="0" w:line="240" w:lineRule="auto"/>
        <w:rPr>
          <w:rFonts w:ascii="Arial" w:hAnsi="Arial" w:cs="Arial"/>
          <w:szCs w:val="24"/>
        </w:rPr>
      </w:pPr>
      <w:r w:rsidRPr="00EA3EDD">
        <w:rPr>
          <w:rFonts w:ascii="Arial" w:hAnsi="Arial" w:cs="Arial"/>
          <w:b/>
        </w:rPr>
        <w:t xml:space="preserve">Question:  </w:t>
      </w:r>
      <w:r w:rsidR="00EA3EDD" w:rsidRPr="00EA3EDD">
        <w:rPr>
          <w:rFonts w:ascii="Arial" w:hAnsi="Arial" w:cs="Arial"/>
          <w:szCs w:val="24"/>
        </w:rPr>
        <w:t>Can SC death be granted without a medical opinion for a Veteran who died by suicide and was service connected for mental health issues not listed on the death certificate?</w:t>
      </w:r>
    </w:p>
    <w:p w14:paraId="372CA065" w14:textId="46120A66" w:rsidR="00EA3EDD" w:rsidRDefault="00EA3EDD" w:rsidP="00EA3EDD">
      <w:pPr>
        <w:spacing w:after="0" w:line="240" w:lineRule="auto"/>
        <w:rPr>
          <w:rFonts w:ascii="Arial" w:hAnsi="Arial" w:cs="Arial"/>
          <w:szCs w:val="24"/>
        </w:rPr>
      </w:pPr>
    </w:p>
    <w:p w14:paraId="00FA8AE0" w14:textId="77777777" w:rsidR="00EA3EDD" w:rsidRPr="00EA3EDD" w:rsidRDefault="00EA3EDD" w:rsidP="00EA3EDD">
      <w:pPr>
        <w:spacing w:after="0" w:line="240" w:lineRule="auto"/>
        <w:rPr>
          <w:rFonts w:ascii="Arial" w:hAnsi="Arial" w:cs="Arial"/>
          <w:szCs w:val="24"/>
        </w:rPr>
      </w:pPr>
      <w:r w:rsidRPr="00EA3EDD">
        <w:rPr>
          <w:rFonts w:ascii="Arial" w:hAnsi="Arial" w:cs="Arial"/>
          <w:szCs w:val="24"/>
        </w:rPr>
        <w:t>The act of suicide or a bona fide attempt is evidence of mental unsoundness resulting from an increase in severity of the Veteran’s service-connected mental health condition per:</w:t>
      </w:r>
    </w:p>
    <w:p w14:paraId="26AE6C66" w14:textId="0F15D549" w:rsidR="00EA3EDD" w:rsidRPr="00EA3EDD" w:rsidRDefault="00EA3EDD" w:rsidP="00EA3EDD">
      <w:pPr>
        <w:pStyle w:val="ListParagraph"/>
        <w:numPr>
          <w:ilvl w:val="0"/>
          <w:numId w:val="33"/>
        </w:numPr>
        <w:spacing w:after="0" w:line="240" w:lineRule="auto"/>
        <w:rPr>
          <w:rFonts w:ascii="Arial" w:hAnsi="Arial" w:cs="Arial"/>
          <w:szCs w:val="24"/>
        </w:rPr>
      </w:pPr>
      <w:r w:rsidRPr="00EA3EDD">
        <w:rPr>
          <w:rFonts w:ascii="Arial" w:hAnsi="Arial" w:cs="Arial"/>
          <w:szCs w:val="24"/>
        </w:rPr>
        <w:t xml:space="preserve">III.iv.4.O.1.e.  Considering SC for Mental Unsoundness in Suicide, </w:t>
      </w:r>
    </w:p>
    <w:p w14:paraId="0C81414D" w14:textId="54B9EF52" w:rsidR="00EA3EDD" w:rsidRPr="00EA3EDD" w:rsidRDefault="00EA3EDD" w:rsidP="00EA3EDD">
      <w:pPr>
        <w:pStyle w:val="ListParagraph"/>
        <w:numPr>
          <w:ilvl w:val="0"/>
          <w:numId w:val="33"/>
        </w:numPr>
        <w:spacing w:after="0" w:line="240" w:lineRule="auto"/>
        <w:rPr>
          <w:rFonts w:ascii="Arial" w:hAnsi="Arial" w:cs="Arial"/>
          <w:szCs w:val="24"/>
        </w:rPr>
      </w:pPr>
      <w:r w:rsidRPr="00EA3EDD">
        <w:rPr>
          <w:rFonts w:ascii="Arial" w:hAnsi="Arial" w:cs="Arial"/>
          <w:szCs w:val="24"/>
        </w:rPr>
        <w:t xml:space="preserve">38 CFR 3.302   Service connection for mental unsoundness in suicide, and </w:t>
      </w:r>
    </w:p>
    <w:p w14:paraId="3D25BE60" w14:textId="49A37EC6" w:rsidR="00EA3EDD" w:rsidRPr="00EA3EDD" w:rsidRDefault="00EA3EDD" w:rsidP="00EA3EDD">
      <w:pPr>
        <w:pStyle w:val="ListParagraph"/>
        <w:numPr>
          <w:ilvl w:val="0"/>
          <w:numId w:val="33"/>
        </w:numPr>
        <w:spacing w:after="0" w:line="240" w:lineRule="auto"/>
        <w:rPr>
          <w:rFonts w:ascii="Arial" w:hAnsi="Arial" w:cs="Arial"/>
          <w:szCs w:val="24"/>
        </w:rPr>
      </w:pPr>
      <w:r w:rsidRPr="00EA3EDD">
        <w:rPr>
          <w:rFonts w:ascii="Arial" w:hAnsi="Arial" w:cs="Arial"/>
          <w:szCs w:val="24"/>
        </w:rPr>
        <w:t>Elkins v. Brown, 8 Vet.App. 391 (1995).</w:t>
      </w:r>
    </w:p>
    <w:p w14:paraId="7D203EE9" w14:textId="2176D63A" w:rsidR="00EA3EDD" w:rsidRDefault="00EA3EDD" w:rsidP="00EA3EDD">
      <w:pPr>
        <w:spacing w:after="0" w:line="240" w:lineRule="auto"/>
        <w:rPr>
          <w:rFonts w:ascii="Arial" w:hAnsi="Arial" w:cs="Arial"/>
          <w:szCs w:val="24"/>
        </w:rPr>
      </w:pPr>
    </w:p>
    <w:p w14:paraId="64C69C97" w14:textId="77777777" w:rsidR="00EA3EDD" w:rsidRDefault="00EA3EDD" w:rsidP="00EA3EDD">
      <w:pPr>
        <w:spacing w:after="0" w:line="240" w:lineRule="auto"/>
        <w:rPr>
          <w:rFonts w:ascii="Arial" w:hAnsi="Arial" w:cs="Arial"/>
          <w:szCs w:val="24"/>
        </w:rPr>
      </w:pPr>
      <w:r>
        <w:rPr>
          <w:rFonts w:ascii="Arial" w:hAnsi="Arial" w:cs="Arial"/>
          <w:szCs w:val="24"/>
        </w:rPr>
        <w:t xml:space="preserve">In all instances, any reasonable doubt should be resolved favorably to support a finding of SC, preempting the need for a medical opinion to determine a nexus between the diagnosed condition and cause of death.  </w:t>
      </w:r>
    </w:p>
    <w:p w14:paraId="04C85C00" w14:textId="77777777" w:rsidR="00C32D30" w:rsidRPr="00EA3EDD" w:rsidRDefault="00C32D30" w:rsidP="00EA3EDD">
      <w:pPr>
        <w:spacing w:after="0" w:line="240" w:lineRule="auto"/>
        <w:rPr>
          <w:rFonts w:ascii="Arial" w:hAnsi="Arial" w:cs="Arial"/>
        </w:rPr>
      </w:pPr>
    </w:p>
    <w:p w14:paraId="675FCFA6" w14:textId="77777777" w:rsidR="00EA3EDD" w:rsidRPr="00EA3EDD" w:rsidRDefault="008A760B" w:rsidP="00EA3EDD">
      <w:pPr>
        <w:spacing w:after="0" w:line="240" w:lineRule="auto"/>
        <w:rPr>
          <w:rFonts w:ascii="Arial" w:hAnsi="Arial" w:cs="Arial"/>
        </w:rPr>
      </w:pPr>
      <w:r w:rsidRPr="00EA3EDD">
        <w:rPr>
          <w:rFonts w:ascii="Arial" w:hAnsi="Arial" w:cs="Arial"/>
          <w:b/>
        </w:rPr>
        <w:t>Response</w:t>
      </w:r>
      <w:r w:rsidRPr="00EA3EDD">
        <w:rPr>
          <w:rFonts w:ascii="Arial" w:hAnsi="Arial" w:cs="Arial"/>
        </w:rPr>
        <w:t xml:space="preserve">: </w:t>
      </w:r>
      <w:r w:rsidR="006C4971" w:rsidRPr="00EA3EDD">
        <w:rPr>
          <w:rFonts w:ascii="Arial" w:hAnsi="Arial" w:cs="Arial"/>
        </w:rPr>
        <w:t xml:space="preserve"> </w:t>
      </w:r>
      <w:r w:rsidR="00EA3EDD" w:rsidRPr="00EA3EDD">
        <w:rPr>
          <w:rFonts w:ascii="Arial" w:hAnsi="Arial" w:cs="Arial"/>
        </w:rPr>
        <w:t xml:space="preserve">No, VA may not eliminate the need for a medical opinion without careful review of specific circumstances of the case. In this situation, the medical opinion is part of the checks and balance system to ensure benefits are being properly granted. On the attached guidance sent on April 23, 2020, field stations were reminded of some </w:t>
      </w:r>
      <w:r w:rsidR="00EA3EDD" w:rsidRPr="00EA3EDD">
        <w:rPr>
          <w:rFonts w:ascii="Arial" w:hAnsi="Arial" w:cs="Arial"/>
        </w:rPr>
        <w:lastRenderedPageBreak/>
        <w:t xml:space="preserve">situations where a reasonable probability of service-connected death should be inferred. In such cases, if service connection for the cause of the Veteran’s death cannot be granted by the rating activity based on the evidence of record, a medical opinion would normally be required to resolve the claim. </w:t>
      </w:r>
    </w:p>
    <w:p w14:paraId="61ADFC47" w14:textId="77777777" w:rsidR="00EA3EDD" w:rsidRPr="00EA3EDD" w:rsidRDefault="00EA3EDD" w:rsidP="00EA3EDD">
      <w:pPr>
        <w:spacing w:after="0" w:line="240" w:lineRule="auto"/>
        <w:rPr>
          <w:rFonts w:ascii="Arial" w:hAnsi="Arial" w:cs="Arial"/>
        </w:rPr>
      </w:pPr>
    </w:p>
    <w:p w14:paraId="0C0A4399" w14:textId="1AA29DD7" w:rsidR="00DA5B43" w:rsidRPr="00EA3EDD" w:rsidRDefault="00EA3EDD" w:rsidP="00EA3EDD">
      <w:pPr>
        <w:spacing w:after="0" w:line="240" w:lineRule="auto"/>
        <w:rPr>
          <w:rFonts w:ascii="Arial" w:hAnsi="Arial" w:cs="Arial"/>
        </w:rPr>
      </w:pPr>
      <w:r w:rsidRPr="00EA3EDD">
        <w:rPr>
          <w:rFonts w:ascii="Arial" w:hAnsi="Arial" w:cs="Arial"/>
        </w:rPr>
        <w:t>P&amp;F Service concedes that reasonable doubt may be applied more than average in mental health and suicide claims; however, VA cannot automatically make an assumed connection in all claims simply based on the fact that a Veteran had a service connected medical diagnoses of a mental health issue (at any percentage) and suicide as cause of death. A review of the evidence must be conducted on each claim.</w:t>
      </w:r>
    </w:p>
    <w:p w14:paraId="6B8E0E47" w14:textId="77777777" w:rsidR="00EA3EDD" w:rsidRPr="00EA3EDD" w:rsidRDefault="00EA3EDD" w:rsidP="00EA3EDD">
      <w:pPr>
        <w:spacing w:after="0" w:line="240" w:lineRule="auto"/>
        <w:rPr>
          <w:rFonts w:ascii="Arial" w:hAnsi="Arial" w:cs="Arial"/>
          <w:szCs w:val="24"/>
        </w:rPr>
      </w:pPr>
    </w:p>
    <w:p w14:paraId="00D000AE" w14:textId="634399B9" w:rsidR="003C7AC3" w:rsidRDefault="003C7AC3" w:rsidP="00EA3EDD">
      <w:pPr>
        <w:spacing w:after="0" w:line="240" w:lineRule="auto"/>
        <w:rPr>
          <w:rFonts w:ascii="Arial" w:hAnsi="Arial" w:cs="Arial"/>
          <w:szCs w:val="24"/>
        </w:rPr>
      </w:pPr>
      <w:r w:rsidRPr="00EA3EDD">
        <w:rPr>
          <w:rFonts w:ascii="Arial" w:hAnsi="Arial" w:cs="Arial"/>
          <w:b/>
          <w:szCs w:val="24"/>
        </w:rPr>
        <w:t>Result:</w:t>
      </w:r>
      <w:r w:rsidRPr="00EA3EDD">
        <w:rPr>
          <w:rFonts w:ascii="Arial" w:hAnsi="Arial" w:cs="Arial"/>
          <w:szCs w:val="24"/>
        </w:rPr>
        <w:t xml:space="preserve"> </w:t>
      </w:r>
      <w:r w:rsidR="00171D09" w:rsidRPr="00EA3EDD">
        <w:rPr>
          <w:rFonts w:ascii="Arial" w:hAnsi="Arial" w:cs="Arial"/>
          <w:szCs w:val="24"/>
        </w:rPr>
        <w:t xml:space="preserve"> </w:t>
      </w:r>
      <w:r w:rsidR="000B5D13" w:rsidRPr="00EA3EDD">
        <w:rPr>
          <w:rFonts w:ascii="Arial" w:hAnsi="Arial" w:cs="Arial"/>
          <w:szCs w:val="24"/>
        </w:rPr>
        <w:t>Clarification provided.</w:t>
      </w:r>
    </w:p>
    <w:p w14:paraId="336D4A37" w14:textId="02C4EB10" w:rsidR="00EA3EDD" w:rsidRDefault="00EA3EDD" w:rsidP="00EA3EDD">
      <w:pPr>
        <w:spacing w:after="0" w:line="240" w:lineRule="auto"/>
        <w:rPr>
          <w:rFonts w:ascii="Arial" w:hAnsi="Arial" w:cs="Arial"/>
          <w:szCs w:val="24"/>
        </w:rPr>
      </w:pPr>
    </w:p>
    <w:p w14:paraId="577A7870" w14:textId="205082B1" w:rsidR="00EA3EDD" w:rsidRPr="00EA3EDD" w:rsidRDefault="0074542E" w:rsidP="00EA3EDD">
      <w:pPr>
        <w:spacing w:after="0" w:line="240" w:lineRule="auto"/>
        <w:rPr>
          <w:rFonts w:ascii="Arial" w:hAnsi="Arial" w:cs="Arial"/>
          <w:szCs w:val="24"/>
        </w:rPr>
      </w:pPr>
      <w:r>
        <w:rPr>
          <w:rFonts w:ascii="Arial" w:hAnsi="Arial" w:cs="Arial"/>
          <w:szCs w:val="24"/>
        </w:rPr>
        <w:object w:dxaOrig="1541" w:dyaOrig="1000" w14:anchorId="49AC8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0.4pt" o:ole="">
            <v:imagedata r:id="rId13" o:title=""/>
          </v:shape>
          <o:OLEObject Type="Embed" ProgID="Package" ShapeID="_x0000_i1025" DrawAspect="Icon" ObjectID="_1654447640" r:id="rId14"/>
        </w:object>
      </w:r>
    </w:p>
    <w:p w14:paraId="46B6BA40" w14:textId="503DEE91" w:rsidR="008B6CC9" w:rsidRPr="00824543" w:rsidRDefault="005F42F8" w:rsidP="008B6CC9">
      <w:pPr>
        <w:pStyle w:val="Heading1"/>
        <w:rPr>
          <w:rFonts w:ascii="Arial" w:hAnsi="Arial" w:cs="Arial"/>
        </w:rPr>
      </w:pPr>
      <w:bookmarkStart w:id="12" w:name="_Toc42492296"/>
      <w:bookmarkStart w:id="13" w:name="_Toc11231425"/>
      <w:r w:rsidRPr="005F42F8">
        <w:rPr>
          <w:rFonts w:ascii="Arial" w:hAnsi="Arial" w:cs="Arial"/>
        </w:rPr>
        <w:t>Burial Decision Elements/Favorable Findings in VBMS-A</w:t>
      </w:r>
      <w:bookmarkEnd w:id="12"/>
    </w:p>
    <w:p w14:paraId="6B13F514" w14:textId="77777777" w:rsidR="008B6CC9" w:rsidRPr="003334F9" w:rsidRDefault="008B6CC9" w:rsidP="008B6CC9">
      <w:pPr>
        <w:spacing w:after="0" w:line="240" w:lineRule="auto"/>
        <w:rPr>
          <w:rFonts w:ascii="Arial" w:eastAsia="Times New Roman" w:hAnsi="Arial" w:cs="Arial"/>
          <w:szCs w:val="24"/>
        </w:rPr>
      </w:pPr>
      <w:r w:rsidRPr="003334F9">
        <w:rPr>
          <w:rFonts w:ascii="Arial" w:hAnsi="Arial" w:cs="Arial"/>
          <w:b/>
          <w:szCs w:val="24"/>
        </w:rPr>
        <w:t>Target Audience</w:t>
      </w:r>
      <w:r w:rsidRPr="003334F9">
        <w:rPr>
          <w:rFonts w:ascii="Arial" w:hAnsi="Arial" w:cs="Arial"/>
          <w:szCs w:val="24"/>
        </w:rPr>
        <w:t>:</w:t>
      </w:r>
      <w:r w:rsidRPr="003334F9">
        <w:rPr>
          <w:rFonts w:ascii="Arial" w:eastAsia="Times New Roman" w:hAnsi="Arial" w:cs="Arial"/>
          <w:szCs w:val="24"/>
        </w:rPr>
        <w:t xml:space="preserve"> </w:t>
      </w:r>
      <w:r w:rsidRPr="003334F9">
        <w:rPr>
          <w:rFonts w:ascii="Arial" w:hAnsi="Arial" w:cs="Arial"/>
        </w:rPr>
        <w:t>PMC Claims Processors</w:t>
      </w:r>
    </w:p>
    <w:p w14:paraId="77ADDEAC" w14:textId="77777777" w:rsidR="008B6CC9" w:rsidRPr="003334F9" w:rsidRDefault="008B6CC9" w:rsidP="005F42F8">
      <w:pPr>
        <w:spacing w:after="0" w:line="240" w:lineRule="auto"/>
        <w:rPr>
          <w:rFonts w:ascii="Arial" w:hAnsi="Arial" w:cs="Arial"/>
        </w:rPr>
      </w:pPr>
    </w:p>
    <w:p w14:paraId="57407F29" w14:textId="77777777" w:rsidR="005F42F8" w:rsidRDefault="005F42F8" w:rsidP="005F42F8">
      <w:pPr>
        <w:spacing w:after="0" w:line="240" w:lineRule="auto"/>
        <w:rPr>
          <w:rFonts w:ascii="Arial" w:hAnsi="Arial" w:cs="Arial"/>
          <w:szCs w:val="24"/>
        </w:rPr>
      </w:pPr>
      <w:r>
        <w:rPr>
          <w:rFonts w:ascii="Arial" w:hAnsi="Arial" w:cs="Arial"/>
          <w:b/>
          <w:bCs/>
          <w:szCs w:val="24"/>
        </w:rPr>
        <w:t>Question 1:</w:t>
      </w:r>
      <w:r>
        <w:rPr>
          <w:rFonts w:ascii="Arial" w:hAnsi="Arial" w:cs="Arial"/>
          <w:szCs w:val="24"/>
        </w:rPr>
        <w:t>  Free text issue when denying SC burial by rating.  We have included the eligibility decision along with the suggested decision element free text.  </w:t>
      </w:r>
    </w:p>
    <w:p w14:paraId="605B1944" w14:textId="77777777" w:rsidR="005F42F8" w:rsidRDefault="005F42F8" w:rsidP="005F42F8">
      <w:pPr>
        <w:spacing w:after="0" w:line="240" w:lineRule="auto"/>
        <w:rPr>
          <w:rFonts w:ascii="Arial" w:hAnsi="Arial" w:cs="Arial"/>
          <w:szCs w:val="24"/>
        </w:rPr>
      </w:pPr>
    </w:p>
    <w:p w14:paraId="21E52996" w14:textId="7CCA498E" w:rsidR="005F42F8" w:rsidRDefault="005F42F8" w:rsidP="005F42F8">
      <w:pPr>
        <w:spacing w:after="0" w:line="240" w:lineRule="auto"/>
        <w:rPr>
          <w:rFonts w:ascii="Arial" w:hAnsi="Arial" w:cs="Arial"/>
          <w:szCs w:val="24"/>
        </w:rPr>
      </w:pPr>
      <w:r>
        <w:rPr>
          <w:rFonts w:ascii="Arial" w:hAnsi="Arial" w:cs="Arial"/>
          <w:noProof/>
          <w:szCs w:val="24"/>
        </w:rPr>
        <w:drawing>
          <wp:inline distT="0" distB="0" distL="0" distR="0" wp14:anchorId="29A4C3FB" wp14:editId="6979B2B9">
            <wp:extent cx="4962525" cy="809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962525" cy="809625"/>
                    </a:xfrm>
                    <a:prstGeom prst="rect">
                      <a:avLst/>
                    </a:prstGeom>
                    <a:noFill/>
                    <a:ln>
                      <a:noFill/>
                    </a:ln>
                  </pic:spPr>
                </pic:pic>
              </a:graphicData>
            </a:graphic>
          </wp:inline>
        </w:drawing>
      </w:r>
    </w:p>
    <w:p w14:paraId="6F7917D6" w14:textId="77777777" w:rsidR="005F42F8" w:rsidRDefault="005F42F8" w:rsidP="005F42F8">
      <w:pPr>
        <w:spacing w:after="0" w:line="240" w:lineRule="auto"/>
        <w:rPr>
          <w:rFonts w:ascii="Arial" w:hAnsi="Arial" w:cs="Arial"/>
          <w:szCs w:val="24"/>
        </w:rPr>
      </w:pPr>
    </w:p>
    <w:p w14:paraId="13945D5D" w14:textId="2519D108" w:rsidR="005F42F8" w:rsidRDefault="005F42F8" w:rsidP="005F42F8">
      <w:pPr>
        <w:spacing w:after="0" w:line="240" w:lineRule="auto"/>
        <w:rPr>
          <w:rFonts w:ascii="Arial" w:hAnsi="Arial" w:cs="Arial"/>
          <w:szCs w:val="24"/>
        </w:rPr>
      </w:pPr>
      <w:r>
        <w:rPr>
          <w:rFonts w:ascii="Arial" w:hAnsi="Arial" w:cs="Arial"/>
          <w:b/>
          <w:bCs/>
          <w:szCs w:val="24"/>
        </w:rPr>
        <w:t>Response 1:</w:t>
      </w:r>
      <w:r>
        <w:rPr>
          <w:rFonts w:ascii="Arial" w:hAnsi="Arial" w:cs="Arial"/>
          <w:szCs w:val="24"/>
        </w:rPr>
        <w:t xml:space="preserve">  P&amp;F will not </w:t>
      </w:r>
      <w:r w:rsidR="00B7357E">
        <w:rPr>
          <w:rFonts w:ascii="Arial" w:hAnsi="Arial" w:cs="Arial"/>
          <w:szCs w:val="24"/>
        </w:rPr>
        <w:t xml:space="preserve">be </w:t>
      </w:r>
      <w:r>
        <w:rPr>
          <w:rFonts w:ascii="Arial" w:hAnsi="Arial" w:cs="Arial"/>
          <w:szCs w:val="24"/>
        </w:rPr>
        <w:t>add</w:t>
      </w:r>
      <w:r w:rsidR="00B7357E">
        <w:rPr>
          <w:rFonts w:ascii="Arial" w:hAnsi="Arial" w:cs="Arial"/>
          <w:szCs w:val="24"/>
        </w:rPr>
        <w:t>ing</w:t>
      </w:r>
      <w:r>
        <w:rPr>
          <w:rFonts w:ascii="Arial" w:hAnsi="Arial" w:cs="Arial"/>
          <w:szCs w:val="24"/>
        </w:rPr>
        <w:t xml:space="preserve"> this element to the Burial Decision Elements Job Aide.  VBMS-A </w:t>
      </w:r>
      <w:r w:rsidR="00B7357E">
        <w:rPr>
          <w:rFonts w:ascii="Arial" w:hAnsi="Arial" w:cs="Arial"/>
          <w:szCs w:val="24"/>
        </w:rPr>
        <w:t xml:space="preserve">already </w:t>
      </w:r>
      <w:r>
        <w:rPr>
          <w:rFonts w:ascii="Arial" w:hAnsi="Arial" w:cs="Arial"/>
          <w:szCs w:val="24"/>
        </w:rPr>
        <w:t xml:space="preserve">populates language in the body of the letter, which is sufficient for notification requirements.  Do not add free text when SC Burial is denied by rating.      </w:t>
      </w:r>
    </w:p>
    <w:p w14:paraId="3DCE6C90" w14:textId="77777777" w:rsidR="005F42F8" w:rsidRDefault="005F42F8" w:rsidP="005F42F8">
      <w:pPr>
        <w:spacing w:after="0" w:line="240" w:lineRule="auto"/>
        <w:rPr>
          <w:rFonts w:ascii="Arial" w:hAnsi="Arial" w:cs="Arial"/>
          <w:b/>
          <w:bCs/>
          <w:sz w:val="22"/>
        </w:rPr>
      </w:pPr>
    </w:p>
    <w:p w14:paraId="3327977F" w14:textId="77777777" w:rsidR="005F42F8" w:rsidRDefault="005F42F8" w:rsidP="005F42F8">
      <w:pPr>
        <w:spacing w:after="0" w:line="240" w:lineRule="auto"/>
        <w:rPr>
          <w:rFonts w:ascii="Arial" w:hAnsi="Arial" w:cs="Arial"/>
          <w:b/>
          <w:bCs/>
          <w:szCs w:val="24"/>
        </w:rPr>
      </w:pPr>
      <w:r>
        <w:rPr>
          <w:rFonts w:ascii="Arial" w:hAnsi="Arial" w:cs="Arial"/>
          <w:b/>
          <w:bCs/>
          <w:szCs w:val="24"/>
        </w:rPr>
        <w:t>Question 2:</w:t>
      </w:r>
      <w:r>
        <w:rPr>
          <w:rFonts w:ascii="Arial" w:hAnsi="Arial" w:cs="Arial"/>
          <w:szCs w:val="24"/>
        </w:rPr>
        <w:t xml:space="preserve">  The PMC handles State Plot or interment allowance (per </w:t>
      </w:r>
      <w:hyperlink r:id="rId17" w:anchor="5g" w:history="1">
        <w:r>
          <w:rPr>
            <w:rStyle w:val="Hyperlink"/>
            <w:rFonts w:ascii="Arial" w:hAnsi="Arial" w:cs="Arial"/>
            <w:szCs w:val="24"/>
          </w:rPr>
          <w:t>M21-1 VII.1.B.5.g.</w:t>
        </w:r>
      </w:hyperlink>
      <w:r>
        <w:rPr>
          <w:rFonts w:ascii="Arial" w:hAnsi="Arial" w:cs="Arial"/>
          <w:szCs w:val="24"/>
        </w:rPr>
        <w:t>), could P&amp;F review the below suggested decision elements and possibly incorporate them into the AMA Burial Decision Elements document?  Below, we have included a text only version and a screen shot from a locally created document we use to outline the State Plot decision elements.</w:t>
      </w:r>
    </w:p>
    <w:p w14:paraId="10EBAC0C" w14:textId="77777777" w:rsidR="005F42F8" w:rsidRDefault="005F42F8" w:rsidP="005F42F8">
      <w:pPr>
        <w:spacing w:after="0" w:line="240" w:lineRule="auto"/>
        <w:rPr>
          <w:rFonts w:ascii="Arial" w:hAnsi="Arial" w:cs="Arial"/>
          <w:szCs w:val="24"/>
        </w:rPr>
      </w:pPr>
    </w:p>
    <w:p w14:paraId="3C33F1B8" w14:textId="3BB61133" w:rsidR="005F42F8" w:rsidRDefault="005F42F8" w:rsidP="005F42F8">
      <w:pPr>
        <w:spacing w:after="0" w:line="240" w:lineRule="auto"/>
        <w:rPr>
          <w:rFonts w:ascii="Arial" w:hAnsi="Arial" w:cs="Arial"/>
          <w:szCs w:val="24"/>
        </w:rPr>
      </w:pPr>
      <w:r>
        <w:rPr>
          <w:rFonts w:ascii="Arial" w:hAnsi="Arial" w:cs="Arial"/>
          <w:noProof/>
          <w:szCs w:val="24"/>
        </w:rPr>
        <w:lastRenderedPageBreak/>
        <w:drawing>
          <wp:inline distT="0" distB="0" distL="0" distR="0" wp14:anchorId="30FF37EC" wp14:editId="5B17D0E7">
            <wp:extent cx="5943600" cy="2838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943600" cy="2838450"/>
                    </a:xfrm>
                    <a:prstGeom prst="rect">
                      <a:avLst/>
                    </a:prstGeom>
                    <a:noFill/>
                    <a:ln>
                      <a:noFill/>
                    </a:ln>
                  </pic:spPr>
                </pic:pic>
              </a:graphicData>
            </a:graphic>
          </wp:inline>
        </w:drawing>
      </w:r>
    </w:p>
    <w:p w14:paraId="2FCD03E0" w14:textId="6259D541" w:rsidR="005F42F8" w:rsidRDefault="005F42F8" w:rsidP="005F42F8">
      <w:pPr>
        <w:spacing w:after="0" w:line="240" w:lineRule="auto"/>
        <w:rPr>
          <w:rFonts w:ascii="Arial" w:hAnsi="Arial" w:cs="Arial"/>
          <w:szCs w:val="24"/>
        </w:rPr>
      </w:pPr>
      <w:r>
        <w:rPr>
          <w:rFonts w:ascii="Arial" w:hAnsi="Arial" w:cs="Arial"/>
          <w:b/>
          <w:bCs/>
          <w:szCs w:val="24"/>
        </w:rPr>
        <w:t>Response 2:</w:t>
      </w:r>
      <w:r>
        <w:rPr>
          <w:rFonts w:ascii="Arial" w:hAnsi="Arial" w:cs="Arial"/>
          <w:szCs w:val="24"/>
        </w:rPr>
        <w:t xml:space="preserve">   P&amp;F </w:t>
      </w:r>
      <w:r w:rsidR="00B7357E">
        <w:rPr>
          <w:rFonts w:ascii="Arial" w:hAnsi="Arial" w:cs="Arial"/>
          <w:szCs w:val="24"/>
        </w:rPr>
        <w:t xml:space="preserve">Service agrees with your recommendations and </w:t>
      </w:r>
      <w:r>
        <w:rPr>
          <w:rFonts w:ascii="Arial" w:hAnsi="Arial" w:cs="Arial"/>
          <w:szCs w:val="24"/>
        </w:rPr>
        <w:t xml:space="preserve">has added the above State Plot elements to the attached job aide. </w:t>
      </w:r>
    </w:p>
    <w:p w14:paraId="671A6EA8" w14:textId="77777777" w:rsidR="005F42F8" w:rsidRDefault="005F42F8" w:rsidP="005F42F8">
      <w:pPr>
        <w:spacing w:after="0" w:line="240" w:lineRule="auto"/>
        <w:rPr>
          <w:rFonts w:ascii="Arial" w:hAnsi="Arial" w:cs="Arial"/>
          <w:b/>
          <w:bCs/>
          <w:szCs w:val="24"/>
        </w:rPr>
      </w:pPr>
    </w:p>
    <w:p w14:paraId="7C140B67" w14:textId="1FF26FAF" w:rsidR="005F42F8" w:rsidRDefault="005F42F8" w:rsidP="005F42F8">
      <w:pPr>
        <w:spacing w:after="0" w:line="240" w:lineRule="auto"/>
        <w:rPr>
          <w:rFonts w:ascii="Arial" w:hAnsi="Arial" w:cs="Arial"/>
          <w:szCs w:val="24"/>
        </w:rPr>
      </w:pPr>
      <w:r>
        <w:rPr>
          <w:rFonts w:ascii="Arial" w:hAnsi="Arial" w:cs="Arial"/>
          <w:b/>
          <w:bCs/>
          <w:szCs w:val="24"/>
        </w:rPr>
        <w:t>Question 3:</w:t>
      </w:r>
      <w:r>
        <w:rPr>
          <w:rFonts w:ascii="Arial" w:hAnsi="Arial" w:cs="Arial"/>
          <w:szCs w:val="24"/>
        </w:rPr>
        <w:t>  Since our previous email below (dated February 11</w:t>
      </w:r>
      <w:r>
        <w:rPr>
          <w:rFonts w:ascii="Arial" w:hAnsi="Arial" w:cs="Arial"/>
          <w:szCs w:val="24"/>
          <w:vertAlign w:val="superscript"/>
        </w:rPr>
        <w:t>th</w:t>
      </w:r>
      <w:r>
        <w:rPr>
          <w:rFonts w:ascii="Arial" w:hAnsi="Arial" w:cs="Arial"/>
          <w:szCs w:val="24"/>
        </w:rPr>
        <w:t>) was sent, it has been pointed out by an AQRS on our team who serves on VBMS details involving this topic, that the following decision element language (</w:t>
      </w:r>
      <w:r>
        <w:rPr>
          <w:rFonts w:ascii="Arial" w:hAnsi="Arial" w:cs="Arial"/>
          <w:b/>
          <w:bCs/>
          <w:i/>
          <w:iCs/>
          <w:szCs w:val="24"/>
        </w:rPr>
        <w:t>Plot Allowance, C&amp;P Eligibility</w:t>
      </w:r>
      <w:r>
        <w:rPr>
          <w:rFonts w:ascii="Arial" w:hAnsi="Arial" w:cs="Arial"/>
          <w:szCs w:val="24"/>
        </w:rPr>
        <w:t>) has been updated in VBMS-A and therefore, N/A should not be used.  The text that now populates is:  “</w:t>
      </w:r>
      <w:r>
        <w:rPr>
          <w:rFonts w:ascii="Arial" w:hAnsi="Arial" w:cs="Arial"/>
          <w:b/>
          <w:bCs/>
          <w:i/>
          <w:iCs/>
          <w:szCs w:val="24"/>
        </w:rPr>
        <w:t>You did not provide evidence showing that the Veteran was eligible to receive, or was retroactively found to have been eligible to receive, disability compensation or VA pension. (38 CFR 3.1707)</w:t>
      </w:r>
      <w:r>
        <w:rPr>
          <w:rFonts w:ascii="Arial" w:hAnsi="Arial" w:cs="Arial"/>
          <w:szCs w:val="24"/>
        </w:rPr>
        <w:t xml:space="preserve">.”  </w:t>
      </w:r>
    </w:p>
    <w:p w14:paraId="32B3618B" w14:textId="77777777" w:rsidR="00112820" w:rsidRDefault="00112820" w:rsidP="005F42F8">
      <w:pPr>
        <w:spacing w:after="0" w:line="240" w:lineRule="auto"/>
        <w:rPr>
          <w:rFonts w:ascii="Arial" w:hAnsi="Arial" w:cs="Arial"/>
          <w:szCs w:val="24"/>
        </w:rPr>
      </w:pPr>
    </w:p>
    <w:p w14:paraId="28066F99" w14:textId="77777777" w:rsidR="005F42F8" w:rsidRDefault="005F42F8" w:rsidP="005F42F8">
      <w:pPr>
        <w:spacing w:after="0" w:line="240" w:lineRule="auto"/>
        <w:rPr>
          <w:rFonts w:ascii="Arial" w:hAnsi="Arial" w:cs="Arial"/>
          <w:sz w:val="22"/>
        </w:rPr>
      </w:pPr>
    </w:p>
    <w:p w14:paraId="19F3F9C1" w14:textId="0DF45650" w:rsidR="005F42F8" w:rsidRDefault="005F42F8" w:rsidP="005F42F8">
      <w:pPr>
        <w:spacing w:after="0" w:line="240" w:lineRule="auto"/>
        <w:rPr>
          <w:rFonts w:ascii="Arial" w:hAnsi="Arial" w:cs="Arial"/>
        </w:rPr>
      </w:pPr>
      <w:r>
        <w:rPr>
          <w:rFonts w:ascii="Arial" w:hAnsi="Arial" w:cs="Arial"/>
          <w:noProof/>
        </w:rPr>
        <w:drawing>
          <wp:inline distT="0" distB="0" distL="0" distR="0" wp14:anchorId="4A111401" wp14:editId="07C0E3EB">
            <wp:extent cx="5753100" cy="2971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753100" cy="2971800"/>
                    </a:xfrm>
                    <a:prstGeom prst="rect">
                      <a:avLst/>
                    </a:prstGeom>
                    <a:noFill/>
                    <a:ln>
                      <a:noFill/>
                    </a:ln>
                  </pic:spPr>
                </pic:pic>
              </a:graphicData>
            </a:graphic>
          </wp:inline>
        </w:drawing>
      </w:r>
    </w:p>
    <w:p w14:paraId="3FC12B4B" w14:textId="77777777" w:rsidR="005F42F8" w:rsidRDefault="005F42F8" w:rsidP="005F42F8">
      <w:pPr>
        <w:spacing w:after="0" w:line="240" w:lineRule="auto"/>
        <w:rPr>
          <w:rFonts w:ascii="Arial" w:hAnsi="Arial" w:cs="Arial"/>
          <w:b/>
          <w:bCs/>
          <w:szCs w:val="24"/>
        </w:rPr>
      </w:pPr>
    </w:p>
    <w:p w14:paraId="70A6AF57" w14:textId="6450F968" w:rsidR="005F42F8" w:rsidRDefault="005F42F8" w:rsidP="005F42F8">
      <w:pPr>
        <w:spacing w:after="0" w:line="240" w:lineRule="auto"/>
        <w:rPr>
          <w:rFonts w:ascii="Arial" w:hAnsi="Arial" w:cs="Arial"/>
          <w:szCs w:val="24"/>
        </w:rPr>
      </w:pPr>
      <w:r>
        <w:rPr>
          <w:rFonts w:ascii="Arial" w:hAnsi="Arial" w:cs="Arial"/>
          <w:b/>
          <w:bCs/>
          <w:szCs w:val="24"/>
        </w:rPr>
        <w:lastRenderedPageBreak/>
        <w:t>Response 3:</w:t>
      </w:r>
      <w:r>
        <w:rPr>
          <w:rFonts w:ascii="Arial" w:hAnsi="Arial" w:cs="Arial"/>
          <w:szCs w:val="24"/>
        </w:rPr>
        <w:t>  The attached job aide was updated to reflect the</w:t>
      </w:r>
      <w:r w:rsidR="00B7357E">
        <w:rPr>
          <w:rFonts w:ascii="Arial" w:hAnsi="Arial" w:cs="Arial"/>
          <w:szCs w:val="24"/>
        </w:rPr>
        <w:t xml:space="preserve"> existing</w:t>
      </w:r>
      <w:r>
        <w:rPr>
          <w:rFonts w:ascii="Arial" w:hAnsi="Arial" w:cs="Arial"/>
          <w:szCs w:val="24"/>
        </w:rPr>
        <w:t xml:space="preserve"> VBMS-A text and the correct CFR</w:t>
      </w:r>
      <w:r w:rsidR="00B7357E">
        <w:rPr>
          <w:rFonts w:ascii="Arial" w:hAnsi="Arial" w:cs="Arial"/>
          <w:szCs w:val="24"/>
        </w:rPr>
        <w:t xml:space="preserve"> reference</w:t>
      </w:r>
      <w:r>
        <w:rPr>
          <w:rFonts w:ascii="Arial" w:hAnsi="Arial" w:cs="Arial"/>
          <w:szCs w:val="24"/>
        </w:rPr>
        <w:t xml:space="preserve">.  </w:t>
      </w:r>
    </w:p>
    <w:p w14:paraId="45A1874E" w14:textId="77777777" w:rsidR="005F42F8" w:rsidRDefault="005F42F8" w:rsidP="005F42F8">
      <w:pPr>
        <w:spacing w:after="0" w:line="240" w:lineRule="auto"/>
        <w:rPr>
          <w:rFonts w:ascii="Arial" w:hAnsi="Arial" w:cs="Arial"/>
          <w:b/>
          <w:bCs/>
          <w:szCs w:val="24"/>
        </w:rPr>
      </w:pPr>
    </w:p>
    <w:p w14:paraId="60D087FC" w14:textId="77777777" w:rsidR="005F42F8" w:rsidRDefault="005F42F8" w:rsidP="005F42F8">
      <w:pPr>
        <w:spacing w:after="0" w:line="240" w:lineRule="auto"/>
        <w:rPr>
          <w:rFonts w:ascii="Calibri" w:hAnsi="Calibri" w:cs="Calibri"/>
          <w:b/>
          <w:bCs/>
          <w:szCs w:val="24"/>
        </w:rPr>
      </w:pPr>
      <w:r>
        <w:rPr>
          <w:rFonts w:ascii="Arial" w:hAnsi="Arial" w:cs="Arial"/>
          <w:b/>
          <w:bCs/>
          <w:szCs w:val="24"/>
        </w:rPr>
        <w:t>Question 4:</w:t>
      </w:r>
      <w:r>
        <w:rPr>
          <w:rFonts w:ascii="Arial" w:hAnsi="Arial" w:cs="Arial"/>
          <w:szCs w:val="24"/>
        </w:rPr>
        <w:t xml:space="preserve">  Lastly, we are wondering if the </w:t>
      </w:r>
      <w:r>
        <w:rPr>
          <w:rFonts w:ascii="Arial" w:hAnsi="Arial" w:cs="Arial"/>
          <w:b/>
          <w:bCs/>
          <w:i/>
          <w:iCs/>
          <w:szCs w:val="24"/>
        </w:rPr>
        <w:t>Transportation Allowance/C&amp;P Eligibility</w:t>
      </w:r>
      <w:r>
        <w:rPr>
          <w:rFonts w:ascii="Arial" w:hAnsi="Arial" w:cs="Arial"/>
          <w:szCs w:val="24"/>
        </w:rPr>
        <w:t xml:space="preserve"> decision element should remain as N/A, as indicated on the “AMA Burial Decision Elements Language Blocks” job aid, or if Free Text using the ADL text provided on the job aid could be used, but with a possibly corrected CFR reference (either 38 CFR 3.1709 or 38 CFR 3.1709), so that the Met or Not Met ADL text would be consistent with one another.   </w:t>
      </w:r>
    </w:p>
    <w:p w14:paraId="3AFDC7C8" w14:textId="77777777" w:rsidR="005F42F8" w:rsidRPr="00112820" w:rsidRDefault="005F42F8" w:rsidP="005F42F8">
      <w:pPr>
        <w:spacing w:after="0" w:line="240" w:lineRule="auto"/>
        <w:rPr>
          <w:rFonts w:ascii="Arial" w:hAnsi="Arial" w:cs="Arial"/>
          <w:szCs w:val="24"/>
        </w:rPr>
      </w:pPr>
    </w:p>
    <w:p w14:paraId="34E61973" w14:textId="01D10528" w:rsidR="005F42F8" w:rsidRDefault="005F42F8" w:rsidP="005F42F8">
      <w:pPr>
        <w:spacing w:after="0" w:line="240" w:lineRule="auto"/>
        <w:rPr>
          <w:rFonts w:cs="Times New Roman"/>
          <w:b/>
          <w:bCs/>
          <w:sz w:val="20"/>
          <w:szCs w:val="20"/>
        </w:rPr>
      </w:pPr>
      <w:r>
        <w:rPr>
          <w:noProof/>
        </w:rPr>
        <w:drawing>
          <wp:inline distT="0" distB="0" distL="0" distR="0" wp14:anchorId="0C3937D8" wp14:editId="293C1A7D">
            <wp:extent cx="5743575" cy="3562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743575" cy="3562350"/>
                    </a:xfrm>
                    <a:prstGeom prst="rect">
                      <a:avLst/>
                    </a:prstGeom>
                    <a:noFill/>
                    <a:ln>
                      <a:noFill/>
                    </a:ln>
                  </pic:spPr>
                </pic:pic>
              </a:graphicData>
            </a:graphic>
          </wp:inline>
        </w:drawing>
      </w:r>
    </w:p>
    <w:p w14:paraId="7A6B29CA" w14:textId="77777777" w:rsidR="005F42F8" w:rsidRDefault="005F42F8" w:rsidP="005F42F8">
      <w:pPr>
        <w:spacing w:after="0" w:line="240" w:lineRule="auto"/>
        <w:rPr>
          <w:rFonts w:cs="Times New Roman"/>
          <w:b/>
          <w:bCs/>
          <w:szCs w:val="24"/>
        </w:rPr>
      </w:pPr>
    </w:p>
    <w:p w14:paraId="57936B1C" w14:textId="77777777" w:rsidR="005F42F8" w:rsidRDefault="005F42F8" w:rsidP="005F42F8">
      <w:pPr>
        <w:pStyle w:val="PlainText"/>
        <w:rPr>
          <w:rFonts w:ascii="Arial" w:hAnsi="Arial" w:cs="Arial"/>
          <w:sz w:val="24"/>
          <w:szCs w:val="24"/>
        </w:rPr>
      </w:pPr>
      <w:r>
        <w:rPr>
          <w:rFonts w:ascii="Arial" w:hAnsi="Arial" w:cs="Arial"/>
          <w:b/>
          <w:bCs/>
          <w:sz w:val="24"/>
          <w:szCs w:val="24"/>
        </w:rPr>
        <w:t>Response 4:</w:t>
      </w:r>
      <w:r>
        <w:rPr>
          <w:rFonts w:ascii="Arial" w:hAnsi="Arial" w:cs="Arial"/>
          <w:sz w:val="24"/>
          <w:szCs w:val="24"/>
        </w:rPr>
        <w:t xml:space="preserve">  This element was created specifically to address burial transportation claims that are denied for no C&amp;P.  All other burial claims should select N/A for this element.  The job aide was updated to reflect this guidance.      </w:t>
      </w:r>
    </w:p>
    <w:p w14:paraId="68B5C1E0" w14:textId="77777777" w:rsidR="005F42F8" w:rsidRDefault="005F42F8" w:rsidP="005F42F8">
      <w:pPr>
        <w:pStyle w:val="PlainText"/>
        <w:rPr>
          <w:rFonts w:ascii="Arial" w:hAnsi="Arial" w:cs="Arial"/>
          <w:sz w:val="24"/>
          <w:szCs w:val="24"/>
        </w:rPr>
      </w:pPr>
    </w:p>
    <w:p w14:paraId="327EF57F" w14:textId="061DC056" w:rsidR="008B6CC9" w:rsidRDefault="008B6CC9" w:rsidP="005F42F8">
      <w:pPr>
        <w:spacing w:after="0" w:line="240" w:lineRule="auto"/>
        <w:rPr>
          <w:rFonts w:ascii="Arial" w:hAnsi="Arial" w:cs="Arial"/>
          <w:szCs w:val="24"/>
        </w:rPr>
      </w:pPr>
      <w:r w:rsidRPr="003334F9">
        <w:rPr>
          <w:rFonts w:ascii="Arial" w:hAnsi="Arial" w:cs="Arial"/>
          <w:b/>
        </w:rPr>
        <w:t>Result:</w:t>
      </w:r>
      <w:r w:rsidRPr="003334F9">
        <w:rPr>
          <w:rFonts w:ascii="Arial" w:hAnsi="Arial" w:cs="Arial"/>
        </w:rPr>
        <w:t xml:space="preserve">  </w:t>
      </w:r>
      <w:r w:rsidR="00513B94">
        <w:rPr>
          <w:rFonts w:ascii="Arial" w:hAnsi="Arial" w:cs="Arial"/>
        </w:rPr>
        <w:t xml:space="preserve">Clarification </w:t>
      </w:r>
      <w:r w:rsidR="005F42F8">
        <w:rPr>
          <w:rFonts w:ascii="Arial" w:hAnsi="Arial" w:cs="Arial"/>
          <w:szCs w:val="24"/>
        </w:rPr>
        <w:t>provided.</w:t>
      </w:r>
      <w:r w:rsidR="002C74BD">
        <w:rPr>
          <w:rFonts w:ascii="Arial" w:hAnsi="Arial" w:cs="Arial"/>
          <w:szCs w:val="24"/>
        </w:rPr>
        <w:t xml:space="preserve">  The Burial Decision Element Job Aid updated on June 8, 2020, is attached.</w:t>
      </w:r>
    </w:p>
    <w:p w14:paraId="3D0FE6B7" w14:textId="2612D392" w:rsidR="005F42F8" w:rsidRDefault="005F42F8" w:rsidP="005F42F8">
      <w:pPr>
        <w:spacing w:after="0" w:line="240" w:lineRule="auto"/>
        <w:rPr>
          <w:rFonts w:ascii="Arial" w:hAnsi="Arial" w:cs="Arial"/>
          <w:szCs w:val="24"/>
        </w:rPr>
      </w:pPr>
    </w:p>
    <w:bookmarkStart w:id="14" w:name="_MON_1653206138"/>
    <w:bookmarkEnd w:id="14"/>
    <w:p w14:paraId="3B4B60C1" w14:textId="441464DB" w:rsidR="005F42F8" w:rsidRPr="003334F9" w:rsidRDefault="002C74BD" w:rsidP="008B6CC9">
      <w:pPr>
        <w:spacing w:after="0" w:line="240" w:lineRule="auto"/>
        <w:rPr>
          <w:rFonts w:ascii="Arial" w:hAnsi="Arial" w:cs="Arial"/>
        </w:rPr>
      </w:pPr>
      <w:r>
        <w:rPr>
          <w:rFonts w:ascii="Arial" w:hAnsi="Arial" w:cs="Arial"/>
          <w:szCs w:val="24"/>
        </w:rPr>
        <w:object w:dxaOrig="1541" w:dyaOrig="1000" w14:anchorId="5D6E0F6E">
          <v:shape id="_x0000_i1026" type="#_x0000_t75" style="width:77.4pt;height:50.4pt" o:ole="">
            <v:imagedata r:id="rId24" o:title=""/>
          </v:shape>
          <o:OLEObject Type="Embed" ProgID="Word.Document.12" ShapeID="_x0000_i1026" DrawAspect="Icon" ObjectID="_1654447641" r:id="rId25">
            <o:FieldCodes>\s</o:FieldCodes>
          </o:OLEObject>
        </w:object>
      </w:r>
    </w:p>
    <w:p w14:paraId="3D63D797" w14:textId="77777777" w:rsidR="00EC737A" w:rsidRDefault="00EC737A" w:rsidP="00AA74F6">
      <w:pPr>
        <w:pStyle w:val="Heading1"/>
        <w:rPr>
          <w:rFonts w:ascii="Arial" w:hAnsi="Arial" w:cs="Arial"/>
          <w:b/>
          <w:color w:val="auto"/>
          <w:sz w:val="36"/>
        </w:rPr>
      </w:pPr>
    </w:p>
    <w:p w14:paraId="0D2600C3" w14:textId="77777777" w:rsidR="00EC737A" w:rsidRDefault="00EC737A" w:rsidP="00AA74F6">
      <w:pPr>
        <w:pStyle w:val="Heading1"/>
        <w:rPr>
          <w:rFonts w:ascii="Arial" w:hAnsi="Arial" w:cs="Arial"/>
          <w:b/>
          <w:color w:val="auto"/>
          <w:sz w:val="36"/>
        </w:rPr>
      </w:pPr>
    </w:p>
    <w:p w14:paraId="4B9CE5AC" w14:textId="3A5294DF" w:rsidR="00AA74F6" w:rsidRPr="00900D56" w:rsidRDefault="00AA74F6" w:rsidP="00AA74F6">
      <w:pPr>
        <w:pStyle w:val="Heading1"/>
        <w:rPr>
          <w:rFonts w:ascii="Arial" w:hAnsi="Arial" w:cs="Arial"/>
          <w:b/>
          <w:color w:val="auto"/>
          <w:sz w:val="36"/>
        </w:rPr>
      </w:pPr>
      <w:bookmarkStart w:id="15" w:name="_Toc42492297"/>
      <w:r w:rsidRPr="00900D56">
        <w:rPr>
          <w:rFonts w:ascii="Arial" w:hAnsi="Arial" w:cs="Arial"/>
          <w:b/>
          <w:color w:val="auto"/>
          <w:sz w:val="36"/>
        </w:rPr>
        <w:t>Fiduciary HUB Related Inquiries</w:t>
      </w:r>
      <w:bookmarkEnd w:id="13"/>
      <w:bookmarkEnd w:id="15"/>
    </w:p>
    <w:p w14:paraId="5D23DDD6" w14:textId="6C3B5DE9" w:rsidR="00171D09" w:rsidRPr="003C7AC3" w:rsidRDefault="00856559" w:rsidP="00171D09">
      <w:pPr>
        <w:pStyle w:val="Heading1"/>
        <w:rPr>
          <w:rFonts w:ascii="Arial" w:hAnsi="Arial" w:cs="Arial"/>
        </w:rPr>
      </w:pPr>
      <w:bookmarkStart w:id="16" w:name="_Toc42492298"/>
      <w:r>
        <w:rPr>
          <w:rFonts w:ascii="Arial" w:hAnsi="Arial" w:cs="Arial"/>
        </w:rPr>
        <w:t>S</w:t>
      </w:r>
      <w:r w:rsidRPr="00856559">
        <w:rPr>
          <w:rFonts w:ascii="Arial" w:hAnsi="Arial" w:cs="Arial"/>
        </w:rPr>
        <w:t xml:space="preserve">timulus </w:t>
      </w:r>
      <w:r>
        <w:rPr>
          <w:rFonts w:ascii="Arial" w:hAnsi="Arial" w:cs="Arial"/>
        </w:rPr>
        <w:t>F</w:t>
      </w:r>
      <w:r w:rsidRPr="00856559">
        <w:rPr>
          <w:rFonts w:ascii="Arial" w:hAnsi="Arial" w:cs="Arial"/>
        </w:rPr>
        <w:t xml:space="preserve">unds </w:t>
      </w:r>
      <w:r>
        <w:rPr>
          <w:rFonts w:ascii="Arial" w:hAnsi="Arial" w:cs="Arial"/>
        </w:rPr>
        <w:t>I</w:t>
      </w:r>
      <w:r w:rsidRPr="00856559">
        <w:rPr>
          <w:rFonts w:ascii="Arial" w:hAnsi="Arial" w:cs="Arial"/>
        </w:rPr>
        <w:t xml:space="preserve">ssued </w:t>
      </w:r>
      <w:r>
        <w:rPr>
          <w:rFonts w:ascii="Arial" w:hAnsi="Arial" w:cs="Arial"/>
        </w:rPr>
        <w:t>U</w:t>
      </w:r>
      <w:r w:rsidRPr="00856559">
        <w:rPr>
          <w:rFonts w:ascii="Arial" w:hAnsi="Arial" w:cs="Arial"/>
        </w:rPr>
        <w:t xml:space="preserve">nder the </w:t>
      </w:r>
      <w:r>
        <w:rPr>
          <w:rFonts w:ascii="Arial" w:hAnsi="Arial" w:cs="Arial"/>
        </w:rPr>
        <w:t>C</w:t>
      </w:r>
      <w:r w:rsidRPr="00856559">
        <w:rPr>
          <w:rFonts w:ascii="Arial" w:hAnsi="Arial" w:cs="Arial"/>
        </w:rPr>
        <w:t xml:space="preserve">ARES </w:t>
      </w:r>
      <w:r>
        <w:rPr>
          <w:rFonts w:ascii="Arial" w:hAnsi="Arial" w:cs="Arial"/>
        </w:rPr>
        <w:t>A</w:t>
      </w:r>
      <w:r w:rsidRPr="00856559">
        <w:rPr>
          <w:rFonts w:ascii="Arial" w:hAnsi="Arial" w:cs="Arial"/>
        </w:rPr>
        <w:t>ct</w:t>
      </w:r>
      <w:bookmarkEnd w:id="16"/>
    </w:p>
    <w:p w14:paraId="4402393A" w14:textId="436023B8" w:rsidR="00171D09" w:rsidRPr="00B06081" w:rsidRDefault="00171D09" w:rsidP="00171D09">
      <w:pPr>
        <w:spacing w:after="0" w:line="240" w:lineRule="auto"/>
        <w:rPr>
          <w:rFonts w:ascii="Arial" w:hAnsi="Arial" w:cs="Arial"/>
          <w:szCs w:val="24"/>
        </w:rPr>
      </w:pPr>
      <w:r w:rsidRPr="00824543">
        <w:rPr>
          <w:rFonts w:ascii="Arial" w:hAnsi="Arial" w:cs="Arial"/>
          <w:b/>
          <w:szCs w:val="24"/>
        </w:rPr>
        <w:t>Target Audience</w:t>
      </w:r>
      <w:r w:rsidRPr="00824543">
        <w:rPr>
          <w:rFonts w:ascii="Arial" w:hAnsi="Arial" w:cs="Arial"/>
          <w:szCs w:val="24"/>
        </w:rPr>
        <w:t xml:space="preserve">: </w:t>
      </w:r>
      <w:r w:rsidR="00DD4888">
        <w:rPr>
          <w:rFonts w:ascii="Arial" w:hAnsi="Arial" w:cs="Arial"/>
          <w:szCs w:val="24"/>
        </w:rPr>
        <w:t xml:space="preserve"> </w:t>
      </w:r>
      <w:r w:rsidR="00C16AEC">
        <w:rPr>
          <w:rFonts w:ascii="Arial" w:hAnsi="Arial" w:cs="Arial"/>
          <w:szCs w:val="24"/>
        </w:rPr>
        <w:t>Field Examine</w:t>
      </w:r>
      <w:r w:rsidR="00FA52C6">
        <w:rPr>
          <w:rFonts w:ascii="Arial" w:hAnsi="Arial" w:cs="Arial"/>
          <w:szCs w:val="24"/>
        </w:rPr>
        <w:t>r</w:t>
      </w:r>
      <w:r w:rsidR="00C16AEC">
        <w:rPr>
          <w:rFonts w:ascii="Arial" w:hAnsi="Arial" w:cs="Arial"/>
          <w:szCs w:val="24"/>
        </w:rPr>
        <w:t>s</w:t>
      </w:r>
      <w:r w:rsidR="00856559">
        <w:rPr>
          <w:rFonts w:ascii="Arial" w:hAnsi="Arial" w:cs="Arial"/>
          <w:szCs w:val="24"/>
        </w:rPr>
        <w:t xml:space="preserve"> and Legal </w:t>
      </w:r>
      <w:r w:rsidR="00623BB4">
        <w:rPr>
          <w:rFonts w:ascii="Arial" w:hAnsi="Arial" w:cs="Arial"/>
          <w:szCs w:val="24"/>
        </w:rPr>
        <w:t>Instrument</w:t>
      </w:r>
      <w:r w:rsidR="00856559">
        <w:rPr>
          <w:rFonts w:ascii="Arial" w:hAnsi="Arial" w:cs="Arial"/>
          <w:szCs w:val="24"/>
        </w:rPr>
        <w:t xml:space="preserve"> Examiners</w:t>
      </w:r>
    </w:p>
    <w:p w14:paraId="245A41C9" w14:textId="77777777" w:rsidR="00171D09" w:rsidRPr="00C16AEC" w:rsidRDefault="00171D09" w:rsidP="00856559">
      <w:pPr>
        <w:spacing w:after="0" w:line="240" w:lineRule="auto"/>
        <w:rPr>
          <w:rFonts w:ascii="Arial" w:hAnsi="Arial" w:cs="Arial"/>
          <w:szCs w:val="24"/>
        </w:rPr>
      </w:pPr>
    </w:p>
    <w:p w14:paraId="15BAB0E9" w14:textId="4DDC7B18" w:rsidR="00856559" w:rsidRDefault="00856559" w:rsidP="00856559">
      <w:pPr>
        <w:spacing w:after="0" w:line="240" w:lineRule="auto"/>
        <w:rPr>
          <w:rFonts w:ascii="Arial" w:hAnsi="Arial" w:cs="Arial"/>
          <w:szCs w:val="24"/>
        </w:rPr>
      </w:pPr>
      <w:r>
        <w:rPr>
          <w:rFonts w:ascii="Arial" w:hAnsi="Arial" w:cs="Arial"/>
          <w:b/>
          <w:bCs/>
          <w:szCs w:val="24"/>
        </w:rPr>
        <w:t xml:space="preserve">Question: </w:t>
      </w:r>
      <w:r>
        <w:rPr>
          <w:rFonts w:ascii="Arial" w:hAnsi="Arial" w:cs="Arial"/>
          <w:szCs w:val="24"/>
        </w:rPr>
        <w:t>How are the Fiduciary Hubs to treat stimulus funds issued under the CARES act? Are these stimulus funds to be managed by the fiduciary since they are not VA funds?  Is a commissioned fiduciary (authorized up to a 4% fee) permitted to take a fee from these funds?</w:t>
      </w:r>
    </w:p>
    <w:p w14:paraId="3621A98C" w14:textId="77777777" w:rsidR="00856559" w:rsidRDefault="00856559" w:rsidP="00856559">
      <w:pPr>
        <w:spacing w:after="0" w:line="240" w:lineRule="auto"/>
        <w:rPr>
          <w:rFonts w:ascii="Arial" w:hAnsi="Arial" w:cs="Arial"/>
          <w:szCs w:val="24"/>
        </w:rPr>
      </w:pPr>
    </w:p>
    <w:p w14:paraId="44721D9A" w14:textId="388C0661" w:rsidR="00856559" w:rsidRDefault="00856559" w:rsidP="00856559">
      <w:pPr>
        <w:spacing w:after="0" w:line="240" w:lineRule="auto"/>
        <w:rPr>
          <w:rFonts w:ascii="Arial" w:hAnsi="Arial" w:cs="Arial"/>
          <w:szCs w:val="24"/>
        </w:rPr>
      </w:pPr>
      <w:r>
        <w:rPr>
          <w:rFonts w:ascii="Arial" w:hAnsi="Arial" w:cs="Arial"/>
          <w:b/>
          <w:bCs/>
          <w:szCs w:val="24"/>
        </w:rPr>
        <w:t xml:space="preserve">Response:  </w:t>
      </w:r>
      <w:r>
        <w:rPr>
          <w:rFonts w:ascii="Arial" w:hAnsi="Arial" w:cs="Arial"/>
          <w:szCs w:val="24"/>
        </w:rPr>
        <w:t xml:space="preserve">You are correct that the IRS Economic Payments from the CARES Act are not considered a VA benefit.  As such, a fiduciary fee is not applicable for this payment.  </w:t>
      </w:r>
    </w:p>
    <w:p w14:paraId="68E66A32" w14:textId="77777777" w:rsidR="00856559" w:rsidRDefault="00856559" w:rsidP="00856559">
      <w:pPr>
        <w:spacing w:after="0" w:line="240" w:lineRule="auto"/>
        <w:rPr>
          <w:rFonts w:ascii="Arial" w:hAnsi="Arial" w:cs="Arial"/>
          <w:szCs w:val="24"/>
        </w:rPr>
      </w:pPr>
    </w:p>
    <w:p w14:paraId="6A84E46A" w14:textId="77777777" w:rsidR="00856559" w:rsidRDefault="00856559" w:rsidP="00856559">
      <w:pPr>
        <w:spacing w:after="0" w:line="240" w:lineRule="auto"/>
        <w:rPr>
          <w:rFonts w:ascii="Arial" w:hAnsi="Arial" w:cs="Arial"/>
          <w:szCs w:val="24"/>
        </w:rPr>
      </w:pPr>
      <w:r>
        <w:rPr>
          <w:rFonts w:ascii="Arial" w:hAnsi="Arial" w:cs="Arial"/>
          <w:szCs w:val="24"/>
        </w:rPr>
        <w:t xml:space="preserve">For the aspect of managing the payment within the custodial account, this payment would be treated the same way as a normal Federal tax refund.  The amount deposited must be annotated on any required accountings within the AMOUNT RECEIVED FROM OTHER SOURCES section.  </w:t>
      </w:r>
      <w:hyperlink r:id="rId26" w:anchor="3d" w:history="1">
        <w:r>
          <w:rPr>
            <w:rStyle w:val="Hyperlink"/>
            <w:rFonts w:ascii="Arial" w:hAnsi="Arial" w:cs="Arial"/>
            <w:szCs w:val="24"/>
          </w:rPr>
          <w:t>FPM 3.D.3.d</w:t>
        </w:r>
      </w:hyperlink>
      <w:r>
        <w:rPr>
          <w:rFonts w:ascii="Arial" w:hAnsi="Arial" w:cs="Arial"/>
          <w:szCs w:val="24"/>
        </w:rPr>
        <w:t xml:space="preserve"> and </w:t>
      </w:r>
      <w:hyperlink r:id="rId27" w:anchor="3i" w:history="1">
        <w:r>
          <w:rPr>
            <w:rStyle w:val="Hyperlink"/>
            <w:rFonts w:ascii="Arial" w:hAnsi="Arial" w:cs="Arial"/>
            <w:szCs w:val="24"/>
          </w:rPr>
          <w:t>i</w:t>
        </w:r>
      </w:hyperlink>
      <w:r>
        <w:rPr>
          <w:rFonts w:ascii="Arial" w:hAnsi="Arial" w:cs="Arial"/>
          <w:szCs w:val="24"/>
        </w:rPr>
        <w:t xml:space="preserve"> instruct the Legal Instruments Examiner to review these funds from other sources and implement misuse procedures if there is an indication of misuse.  No additional oversight of the stimulus payment is required.  The fiduciary does not need to manage the stimulus payment but must account for its deposit and must not misuse those funds.</w:t>
      </w:r>
    </w:p>
    <w:p w14:paraId="073BB810" w14:textId="77777777" w:rsidR="00856559" w:rsidRDefault="00856559" w:rsidP="00856559">
      <w:pPr>
        <w:spacing w:after="0" w:line="240" w:lineRule="auto"/>
        <w:rPr>
          <w:rFonts w:ascii="Arial" w:hAnsi="Arial" w:cs="Arial"/>
          <w:szCs w:val="24"/>
        </w:rPr>
      </w:pPr>
    </w:p>
    <w:p w14:paraId="1910F377" w14:textId="77777777" w:rsidR="00856559" w:rsidRDefault="00856559" w:rsidP="00856559">
      <w:pPr>
        <w:spacing w:after="0" w:line="240" w:lineRule="auto"/>
        <w:rPr>
          <w:rFonts w:ascii="Arial" w:hAnsi="Arial" w:cs="Arial"/>
          <w:i/>
          <w:iCs/>
          <w:szCs w:val="24"/>
        </w:rPr>
      </w:pPr>
      <w:r>
        <w:rPr>
          <w:rFonts w:ascii="Arial" w:hAnsi="Arial" w:cs="Arial"/>
          <w:i/>
          <w:iCs/>
          <w:szCs w:val="24"/>
        </w:rPr>
        <w:t>References:</w:t>
      </w:r>
    </w:p>
    <w:p w14:paraId="3A58D1CE" w14:textId="77777777" w:rsidR="00856559" w:rsidRDefault="00856559" w:rsidP="00856559">
      <w:pPr>
        <w:spacing w:after="0" w:line="240" w:lineRule="auto"/>
        <w:rPr>
          <w:rFonts w:ascii="Arial" w:hAnsi="Arial" w:cs="Arial"/>
          <w:i/>
          <w:iCs/>
          <w:szCs w:val="24"/>
        </w:rPr>
      </w:pPr>
    </w:p>
    <w:p w14:paraId="7C75A0CD" w14:textId="77777777" w:rsidR="00856559" w:rsidRDefault="00C75470" w:rsidP="00856559">
      <w:pPr>
        <w:spacing w:after="0" w:line="240" w:lineRule="auto"/>
        <w:rPr>
          <w:rFonts w:ascii="Arial" w:hAnsi="Arial" w:cs="Arial"/>
          <w:szCs w:val="24"/>
        </w:rPr>
      </w:pPr>
      <w:hyperlink r:id="rId28" w:anchor="4a" w:history="1">
        <w:r w:rsidR="00856559">
          <w:rPr>
            <w:rStyle w:val="Hyperlink"/>
            <w:rFonts w:ascii="Arial" w:hAnsi="Arial" w:cs="Arial"/>
            <w:szCs w:val="24"/>
          </w:rPr>
          <w:t>FPM 3.D.4.a</w:t>
        </w:r>
      </w:hyperlink>
    </w:p>
    <w:p w14:paraId="47A6D7ED" w14:textId="565662D2" w:rsidR="00856559" w:rsidRDefault="00C75470" w:rsidP="00856559">
      <w:pPr>
        <w:spacing w:after="0" w:line="240" w:lineRule="auto"/>
        <w:rPr>
          <w:rStyle w:val="Hyperlink"/>
          <w:rFonts w:ascii="Arial" w:hAnsi="Arial" w:cs="Arial"/>
          <w:szCs w:val="24"/>
        </w:rPr>
      </w:pPr>
      <w:hyperlink r:id="rId29" w:anchor="3d" w:history="1">
        <w:r w:rsidR="00856559">
          <w:rPr>
            <w:rStyle w:val="Hyperlink"/>
            <w:rFonts w:ascii="Arial" w:hAnsi="Arial" w:cs="Arial"/>
            <w:szCs w:val="24"/>
          </w:rPr>
          <w:t>FPM 3.D.3.d</w:t>
        </w:r>
      </w:hyperlink>
      <w:r w:rsidR="00856559">
        <w:rPr>
          <w:rFonts w:ascii="Arial" w:hAnsi="Arial" w:cs="Arial"/>
          <w:szCs w:val="24"/>
        </w:rPr>
        <w:t xml:space="preserve"> and </w:t>
      </w:r>
      <w:hyperlink r:id="rId30" w:anchor="3i" w:history="1">
        <w:r w:rsidR="00856559">
          <w:rPr>
            <w:rStyle w:val="Hyperlink"/>
            <w:rFonts w:ascii="Arial" w:hAnsi="Arial" w:cs="Arial"/>
            <w:szCs w:val="24"/>
          </w:rPr>
          <w:t>i</w:t>
        </w:r>
      </w:hyperlink>
    </w:p>
    <w:p w14:paraId="4B1A0501" w14:textId="403ED4B9" w:rsidR="00EC737A" w:rsidRDefault="00EC737A" w:rsidP="00856559">
      <w:pPr>
        <w:spacing w:after="0" w:line="240" w:lineRule="auto"/>
        <w:rPr>
          <w:rStyle w:val="Hyperlink"/>
          <w:rFonts w:ascii="Arial" w:hAnsi="Arial" w:cs="Arial"/>
          <w:szCs w:val="24"/>
        </w:rPr>
      </w:pPr>
    </w:p>
    <w:p w14:paraId="31D0907F" w14:textId="77777777" w:rsidR="00EC737A" w:rsidRPr="00B06081" w:rsidRDefault="00EC737A" w:rsidP="00EC737A">
      <w:pPr>
        <w:spacing w:after="0" w:line="240" w:lineRule="auto"/>
        <w:rPr>
          <w:rFonts w:ascii="Arial" w:hAnsi="Arial" w:cs="Arial"/>
          <w:szCs w:val="24"/>
        </w:rPr>
      </w:pPr>
      <w:r w:rsidRPr="003C7AC3">
        <w:rPr>
          <w:rFonts w:ascii="Arial" w:hAnsi="Arial" w:cs="Arial"/>
          <w:b/>
          <w:szCs w:val="24"/>
        </w:rPr>
        <w:t>Result:</w:t>
      </w:r>
      <w:r w:rsidRPr="003C7AC3">
        <w:rPr>
          <w:rFonts w:ascii="Arial" w:hAnsi="Arial" w:cs="Arial"/>
          <w:szCs w:val="24"/>
        </w:rPr>
        <w:t xml:space="preserve"> </w:t>
      </w:r>
      <w:r>
        <w:rPr>
          <w:rFonts w:ascii="Arial" w:hAnsi="Arial" w:cs="Arial"/>
          <w:szCs w:val="24"/>
        </w:rPr>
        <w:t xml:space="preserve"> Clarification provided.</w:t>
      </w:r>
    </w:p>
    <w:p w14:paraId="325BCADC" w14:textId="2B04A05E" w:rsidR="00AB6F09" w:rsidRPr="003C7AC3" w:rsidRDefault="0030160A" w:rsidP="00AB6F09">
      <w:pPr>
        <w:pStyle w:val="Heading1"/>
        <w:rPr>
          <w:rFonts w:ascii="Arial" w:hAnsi="Arial" w:cs="Arial"/>
        </w:rPr>
      </w:pPr>
      <w:bookmarkStart w:id="17" w:name="_Toc42492299"/>
      <w:r>
        <w:rPr>
          <w:rFonts w:ascii="Arial" w:hAnsi="Arial" w:cs="Arial"/>
        </w:rPr>
        <w:t>B</w:t>
      </w:r>
      <w:r w:rsidRPr="0030160A">
        <w:rPr>
          <w:rFonts w:ascii="Arial" w:hAnsi="Arial" w:cs="Arial"/>
        </w:rPr>
        <w:t xml:space="preserve">ond </w:t>
      </w:r>
      <w:r>
        <w:rPr>
          <w:rFonts w:ascii="Arial" w:hAnsi="Arial" w:cs="Arial"/>
        </w:rPr>
        <w:t>R</w:t>
      </w:r>
      <w:r w:rsidRPr="0030160A">
        <w:rPr>
          <w:rFonts w:ascii="Arial" w:hAnsi="Arial" w:cs="Arial"/>
        </w:rPr>
        <w:t xml:space="preserve">equirement </w:t>
      </w:r>
      <w:r>
        <w:rPr>
          <w:rFonts w:ascii="Arial" w:hAnsi="Arial" w:cs="Arial"/>
        </w:rPr>
        <w:t>F</w:t>
      </w:r>
      <w:r w:rsidRPr="0030160A">
        <w:rPr>
          <w:rFonts w:ascii="Arial" w:hAnsi="Arial" w:cs="Arial"/>
        </w:rPr>
        <w:t xml:space="preserve">or </w:t>
      </w:r>
      <w:r>
        <w:rPr>
          <w:rFonts w:ascii="Arial" w:hAnsi="Arial" w:cs="Arial"/>
        </w:rPr>
        <w:t>S</w:t>
      </w:r>
      <w:r w:rsidRPr="0030160A">
        <w:rPr>
          <w:rFonts w:ascii="Arial" w:hAnsi="Arial" w:cs="Arial"/>
        </w:rPr>
        <w:t xml:space="preserve">tate </w:t>
      </w:r>
      <w:r>
        <w:rPr>
          <w:rFonts w:ascii="Arial" w:hAnsi="Arial" w:cs="Arial"/>
        </w:rPr>
        <w:t>A</w:t>
      </w:r>
      <w:r w:rsidRPr="0030160A">
        <w:rPr>
          <w:rFonts w:ascii="Arial" w:hAnsi="Arial" w:cs="Arial"/>
        </w:rPr>
        <w:t>gency</w:t>
      </w:r>
      <w:bookmarkEnd w:id="17"/>
    </w:p>
    <w:p w14:paraId="06822A19" w14:textId="45841966" w:rsidR="00AB6F09" w:rsidRPr="00B06081" w:rsidRDefault="00AB6F09" w:rsidP="003049DF">
      <w:pPr>
        <w:spacing w:after="0" w:line="240" w:lineRule="auto"/>
        <w:rPr>
          <w:rFonts w:ascii="Arial" w:hAnsi="Arial" w:cs="Arial"/>
          <w:szCs w:val="24"/>
        </w:rPr>
      </w:pPr>
      <w:r w:rsidRPr="00824543">
        <w:rPr>
          <w:rFonts w:ascii="Arial" w:hAnsi="Arial" w:cs="Arial"/>
          <w:b/>
          <w:szCs w:val="24"/>
        </w:rPr>
        <w:t>Target Audience</w:t>
      </w:r>
      <w:r w:rsidRPr="00824543">
        <w:rPr>
          <w:rFonts w:ascii="Arial" w:hAnsi="Arial" w:cs="Arial"/>
          <w:szCs w:val="24"/>
        </w:rPr>
        <w:t xml:space="preserve">: </w:t>
      </w:r>
      <w:r>
        <w:rPr>
          <w:rFonts w:ascii="Arial" w:hAnsi="Arial" w:cs="Arial"/>
          <w:szCs w:val="24"/>
        </w:rPr>
        <w:t xml:space="preserve"> </w:t>
      </w:r>
      <w:r w:rsidR="00FA52C6">
        <w:rPr>
          <w:rFonts w:ascii="Arial" w:hAnsi="Arial" w:cs="Arial"/>
        </w:rPr>
        <w:t>Field Examiners</w:t>
      </w:r>
      <w:r w:rsidR="0030160A">
        <w:rPr>
          <w:rFonts w:ascii="Arial" w:hAnsi="Arial" w:cs="Arial"/>
        </w:rPr>
        <w:t xml:space="preserve"> and Legal Instrument Examiners</w:t>
      </w:r>
    </w:p>
    <w:p w14:paraId="4A95C232" w14:textId="466CB5A6" w:rsidR="00AB6F09" w:rsidRDefault="00AB6F09" w:rsidP="003049DF">
      <w:pPr>
        <w:spacing w:after="0" w:line="240" w:lineRule="auto"/>
        <w:rPr>
          <w:rFonts w:ascii="Arial" w:hAnsi="Arial" w:cs="Arial"/>
          <w:szCs w:val="24"/>
        </w:rPr>
      </w:pPr>
    </w:p>
    <w:p w14:paraId="05946CFF" w14:textId="55395FAB" w:rsidR="0030160A" w:rsidRPr="0030160A" w:rsidRDefault="003049DF" w:rsidP="0030160A">
      <w:pPr>
        <w:spacing w:after="0" w:line="240" w:lineRule="auto"/>
        <w:rPr>
          <w:rFonts w:ascii="Arial" w:hAnsi="Arial" w:cs="Arial"/>
        </w:rPr>
      </w:pPr>
      <w:r>
        <w:rPr>
          <w:rFonts w:ascii="Arial" w:hAnsi="Arial" w:cs="Arial"/>
          <w:b/>
        </w:rPr>
        <w:t>Question</w:t>
      </w:r>
      <w:r>
        <w:rPr>
          <w:rFonts w:ascii="Arial" w:hAnsi="Arial" w:cs="Arial"/>
        </w:rPr>
        <w:t xml:space="preserve">:  </w:t>
      </w:r>
      <w:r w:rsidR="0030160A" w:rsidRPr="0030160A">
        <w:rPr>
          <w:rFonts w:ascii="Arial" w:hAnsi="Arial" w:cs="Arial"/>
        </w:rPr>
        <w:t>Some time ago, we received clarification regarding bond requirements for state agencies.  The clarification allowed for State agencies to serve without bond payable to VA.  This is no longer the case and the clarification is outdated because the references have obviously been updated.</w:t>
      </w:r>
    </w:p>
    <w:p w14:paraId="2A2615EE" w14:textId="77777777" w:rsidR="0030160A" w:rsidRPr="0030160A" w:rsidRDefault="0030160A" w:rsidP="0030160A">
      <w:pPr>
        <w:spacing w:after="0" w:line="240" w:lineRule="auto"/>
        <w:rPr>
          <w:rFonts w:ascii="Arial" w:hAnsi="Arial" w:cs="Arial"/>
        </w:rPr>
      </w:pPr>
    </w:p>
    <w:p w14:paraId="12241425" w14:textId="77777777" w:rsidR="0030160A" w:rsidRPr="0030160A" w:rsidRDefault="0030160A" w:rsidP="0030160A">
      <w:pPr>
        <w:spacing w:after="0" w:line="240" w:lineRule="auto"/>
        <w:rPr>
          <w:rFonts w:ascii="Arial" w:hAnsi="Arial" w:cs="Arial"/>
        </w:rPr>
      </w:pPr>
      <w:r w:rsidRPr="0030160A">
        <w:rPr>
          <w:rFonts w:ascii="Arial" w:hAnsi="Arial" w:cs="Arial"/>
        </w:rPr>
        <w:t xml:space="preserve">However, the problem regarding bond requirements for State agencies still exists.  Most states have one or more State Veterans Homes that serve as fiduciary.  And depending </w:t>
      </w:r>
      <w:r w:rsidRPr="0030160A">
        <w:rPr>
          <w:rFonts w:ascii="Arial" w:hAnsi="Arial" w:cs="Arial"/>
        </w:rPr>
        <w:lastRenderedPageBreak/>
        <w:t>on the state laws, an accumulation of VA benefit might occur, triggering a bond requirement.  Replacement of all of these fiduciaries, and cost to our beneficiaries is burdensome.</w:t>
      </w:r>
    </w:p>
    <w:p w14:paraId="0D258A43" w14:textId="77777777" w:rsidR="0030160A" w:rsidRPr="0030160A" w:rsidRDefault="0030160A" w:rsidP="0030160A">
      <w:pPr>
        <w:spacing w:after="0" w:line="240" w:lineRule="auto"/>
        <w:rPr>
          <w:rFonts w:ascii="Arial" w:hAnsi="Arial" w:cs="Arial"/>
        </w:rPr>
      </w:pPr>
    </w:p>
    <w:p w14:paraId="7C9E18C1" w14:textId="15181624" w:rsidR="00FA52C6" w:rsidRDefault="0030160A" w:rsidP="0030160A">
      <w:pPr>
        <w:spacing w:after="0" w:line="240" w:lineRule="auto"/>
        <w:rPr>
          <w:rFonts w:ascii="Arial" w:hAnsi="Arial" w:cs="Arial"/>
        </w:rPr>
      </w:pPr>
      <w:r w:rsidRPr="0030160A">
        <w:rPr>
          <w:rFonts w:ascii="Arial" w:hAnsi="Arial" w:cs="Arial"/>
        </w:rPr>
        <w:t>Does P&amp;F anticipate relief for state agencies from the requirement when insured or bonded by the state?  It would be helpful to update 4.G.1.e. to include an exception for governmental agencies.  In the alternative, may the fiduciary hub accept bond payable to the states much like we now do with bonds payable to the courts per 4.G.1.k.?</w:t>
      </w:r>
    </w:p>
    <w:p w14:paraId="58160F96" w14:textId="6160C349" w:rsidR="0030160A" w:rsidRDefault="0030160A" w:rsidP="0030160A">
      <w:pPr>
        <w:spacing w:after="0" w:line="240" w:lineRule="auto"/>
        <w:rPr>
          <w:rFonts w:ascii="Arial" w:hAnsi="Arial" w:cs="Arial"/>
        </w:rPr>
      </w:pPr>
    </w:p>
    <w:tbl>
      <w:tblPr>
        <w:tblW w:w="0" w:type="auto"/>
        <w:tblCellSpacing w:w="0" w:type="dxa"/>
        <w:tblCellMar>
          <w:left w:w="0" w:type="dxa"/>
          <w:right w:w="0" w:type="dxa"/>
        </w:tblCellMar>
        <w:tblLook w:val="04A0" w:firstRow="1" w:lastRow="0" w:firstColumn="1" w:lastColumn="0" w:noHBand="0" w:noVBand="1"/>
      </w:tblPr>
      <w:tblGrid>
        <w:gridCol w:w="1724"/>
        <w:gridCol w:w="136"/>
        <w:gridCol w:w="78"/>
        <w:gridCol w:w="118"/>
        <w:gridCol w:w="6989"/>
        <w:gridCol w:w="315"/>
      </w:tblGrid>
      <w:tr w:rsidR="0030160A" w14:paraId="57C49A08" w14:textId="77777777" w:rsidTr="0030160A">
        <w:trPr>
          <w:trHeight w:val="120"/>
          <w:tblCellSpacing w:w="0" w:type="dxa"/>
        </w:trPr>
        <w:tc>
          <w:tcPr>
            <w:tcW w:w="1868" w:type="dxa"/>
            <w:gridSpan w:val="2"/>
            <w:hideMark/>
          </w:tcPr>
          <w:p w14:paraId="4D43A282" w14:textId="77777777" w:rsidR="0030160A" w:rsidRDefault="0030160A">
            <w:pPr>
              <w:pStyle w:val="Heading3"/>
              <w:rPr>
                <w:rFonts w:eastAsia="Times New Roman"/>
                <w:sz w:val="18"/>
                <w:szCs w:val="18"/>
              </w:rPr>
            </w:pPr>
            <w:bookmarkStart w:id="18" w:name="_Toc41903891"/>
            <w:bookmarkStart w:id="19" w:name="_Toc41904005"/>
            <w:bookmarkStart w:id="20" w:name="_Toc42492300"/>
            <w:r w:rsidRPr="0074542E">
              <w:rPr>
                <w:caps w:val="0"/>
                <w:color w:val="auto"/>
              </w:rPr>
              <w:t>4</w:t>
            </w:r>
            <w:r w:rsidRPr="0074542E">
              <w:rPr>
                <w:rFonts w:ascii="Arial" w:hAnsi="Arial" w:cs="Arial"/>
                <w:b/>
                <w:bCs/>
                <w:caps w:val="0"/>
                <w:color w:val="auto"/>
                <w:sz w:val="18"/>
                <w:szCs w:val="18"/>
              </w:rPr>
              <w:t>.G.1.e</w:t>
            </w:r>
            <w:bookmarkStart w:id="21" w:name="1e"/>
            <w:r w:rsidRPr="0074542E">
              <w:rPr>
                <w:rFonts w:ascii="Arial" w:hAnsi="Arial" w:cs="Arial"/>
                <w:b/>
                <w:bCs/>
                <w:caps w:val="0"/>
                <w:color w:val="auto"/>
                <w:sz w:val="18"/>
                <w:szCs w:val="18"/>
              </w:rPr>
              <w:t>.</w:t>
            </w:r>
            <w:bookmarkEnd w:id="21"/>
            <w:r w:rsidRPr="0074542E">
              <w:rPr>
                <w:rFonts w:ascii="Arial" w:hAnsi="Arial" w:cs="Arial"/>
                <w:b/>
                <w:bCs/>
                <w:caps w:val="0"/>
                <w:color w:val="auto"/>
                <w:sz w:val="18"/>
                <w:szCs w:val="18"/>
              </w:rPr>
              <w:t xml:space="preserve">  </w:t>
            </w:r>
            <w:r w:rsidRPr="0074542E">
              <w:rPr>
                <w:caps w:val="0"/>
                <w:color w:val="auto"/>
              </w:rPr>
              <w:t>Corporate Surety Bond Exceptions</w:t>
            </w:r>
            <w:bookmarkEnd w:id="18"/>
            <w:bookmarkEnd w:id="19"/>
            <w:bookmarkEnd w:id="20"/>
            <w:r>
              <w:rPr>
                <w:rFonts w:ascii="Arial" w:eastAsia="Times New Roman" w:hAnsi="Arial" w:cs="Arial"/>
                <w:sz w:val="18"/>
                <w:szCs w:val="18"/>
              </w:rPr>
              <w:t> </w:t>
            </w:r>
          </w:p>
        </w:tc>
        <w:tc>
          <w:tcPr>
            <w:tcW w:w="207" w:type="dxa"/>
            <w:gridSpan w:val="2"/>
            <w:vAlign w:val="center"/>
            <w:hideMark/>
          </w:tcPr>
          <w:p w14:paraId="36BE31C4" w14:textId="77777777" w:rsidR="0030160A" w:rsidRDefault="0030160A">
            <w:pPr>
              <w:rPr>
                <w:rFonts w:eastAsia="Times New Roman"/>
                <w:sz w:val="18"/>
                <w:szCs w:val="18"/>
              </w:rPr>
            </w:pPr>
          </w:p>
        </w:tc>
        <w:tc>
          <w:tcPr>
            <w:tcW w:w="7285" w:type="dxa"/>
            <w:hideMark/>
          </w:tcPr>
          <w:p w14:paraId="3987EC31" w14:textId="77777777" w:rsidR="0030160A" w:rsidRDefault="0030160A">
            <w:pPr>
              <w:rPr>
                <w:rFonts w:ascii="Calibri" w:eastAsiaTheme="minorHAnsi" w:hAnsi="Calibri" w:cs="Calibri"/>
                <w:sz w:val="18"/>
                <w:szCs w:val="18"/>
              </w:rPr>
            </w:pPr>
            <w:r>
              <w:rPr>
                <w:rFonts w:ascii="Arial" w:hAnsi="Arial" w:cs="Arial"/>
                <w:sz w:val="18"/>
                <w:szCs w:val="18"/>
              </w:rPr>
              <w:t>The following are exempted from obtaining a surety bond:</w:t>
            </w:r>
          </w:p>
          <w:p w14:paraId="2E7CF249" w14:textId="4952B56C" w:rsidR="0030160A" w:rsidRDefault="0030160A" w:rsidP="0030160A">
            <w:pPr>
              <w:numPr>
                <w:ilvl w:val="0"/>
                <w:numId w:val="34"/>
              </w:numPr>
              <w:spacing w:before="100" w:beforeAutospacing="1" w:after="100" w:afterAutospacing="1" w:line="240" w:lineRule="auto"/>
              <w:rPr>
                <w:rFonts w:eastAsia="Times New Roman"/>
                <w:sz w:val="18"/>
                <w:szCs w:val="18"/>
              </w:rPr>
            </w:pPr>
            <w:r>
              <w:rPr>
                <w:rFonts w:ascii="Arial" w:eastAsia="Times New Roman" w:hAnsi="Arial" w:cs="Arial"/>
                <w:sz w:val="18"/>
                <w:szCs w:val="18"/>
              </w:rPr>
              <w:t>a fiduciary that is a trust company or a bank with trust powers organized under the laws of the U.S.</w:t>
            </w:r>
            <w:r w:rsidR="001B0C9F">
              <w:rPr>
                <w:rFonts w:ascii="Arial" w:eastAsia="Times New Roman" w:hAnsi="Arial" w:cs="Arial"/>
                <w:sz w:val="18"/>
                <w:szCs w:val="18"/>
              </w:rPr>
              <w:t xml:space="preserve"> </w:t>
            </w:r>
            <w:r>
              <w:rPr>
                <w:rFonts w:ascii="Arial" w:eastAsia="Times New Roman" w:hAnsi="Arial" w:cs="Arial"/>
                <w:sz w:val="18"/>
                <w:szCs w:val="18"/>
              </w:rPr>
              <w:t>or a State</w:t>
            </w:r>
          </w:p>
          <w:p w14:paraId="0A67B63C" w14:textId="77777777" w:rsidR="0030160A" w:rsidRDefault="0030160A" w:rsidP="0030160A">
            <w:pPr>
              <w:numPr>
                <w:ilvl w:val="0"/>
                <w:numId w:val="34"/>
              </w:numPr>
              <w:spacing w:before="100" w:beforeAutospacing="1" w:after="100" w:afterAutospacing="1" w:line="240" w:lineRule="auto"/>
              <w:rPr>
                <w:rFonts w:eastAsia="Times New Roman"/>
                <w:sz w:val="18"/>
                <w:szCs w:val="18"/>
              </w:rPr>
            </w:pPr>
            <w:r>
              <w:rPr>
                <w:rFonts w:ascii="Arial" w:eastAsia="Times New Roman" w:hAnsi="Arial" w:cs="Arial"/>
                <w:sz w:val="18"/>
                <w:szCs w:val="18"/>
              </w:rPr>
              <w:t>a fiduciary who is the beneficiary's spouse, or</w:t>
            </w:r>
          </w:p>
          <w:p w14:paraId="47C6DBDC" w14:textId="77777777" w:rsidR="0030160A" w:rsidRDefault="0030160A" w:rsidP="0030160A">
            <w:pPr>
              <w:numPr>
                <w:ilvl w:val="0"/>
                <w:numId w:val="34"/>
              </w:numPr>
              <w:spacing w:before="100" w:beforeAutospacing="1" w:after="100" w:afterAutospacing="1" w:line="240" w:lineRule="auto"/>
              <w:rPr>
                <w:rFonts w:eastAsia="Times New Roman"/>
                <w:sz w:val="18"/>
                <w:szCs w:val="18"/>
              </w:rPr>
            </w:pPr>
            <w:r>
              <w:rPr>
                <w:rFonts w:ascii="Arial" w:eastAsia="Times New Roman" w:hAnsi="Arial" w:cs="Arial"/>
                <w:sz w:val="18"/>
                <w:szCs w:val="18"/>
              </w:rPr>
              <w:t>a fiduciary in the Commonwealth of Puerto Rico, Guam, or another territory of the U.S., or in the Republic of the Philippines, who has entered into a restricted withdrawal agreement in lieu of a surety bond.</w:t>
            </w:r>
          </w:p>
          <w:p w14:paraId="32ED6C60" w14:textId="77777777" w:rsidR="0030160A" w:rsidRDefault="0030160A">
            <w:pPr>
              <w:rPr>
                <w:rFonts w:ascii="Arial" w:eastAsiaTheme="minorHAnsi" w:hAnsi="Arial" w:cs="Arial"/>
                <w:sz w:val="18"/>
                <w:szCs w:val="18"/>
              </w:rPr>
            </w:pPr>
            <w:r>
              <w:rPr>
                <w:rStyle w:val="Emphasis"/>
                <w:rFonts w:ascii="Arial" w:hAnsi="Arial" w:cs="Arial"/>
                <w:b/>
                <w:bCs/>
                <w:sz w:val="18"/>
                <w:szCs w:val="18"/>
              </w:rPr>
              <w:t>Reference</w:t>
            </w:r>
            <w:r>
              <w:rPr>
                <w:rFonts w:ascii="Arial" w:hAnsi="Arial" w:cs="Arial"/>
                <w:sz w:val="18"/>
                <w:szCs w:val="18"/>
              </w:rPr>
              <w:t xml:space="preserve">:  For information on withdrawal agreements, see </w:t>
            </w:r>
            <w:hyperlink r:id="rId31" w:history="1">
              <w:r>
                <w:rPr>
                  <w:rStyle w:val="Hyperlink"/>
                  <w:rFonts w:ascii="Arial" w:hAnsi="Arial" w:cs="Arial"/>
                  <w:sz w:val="18"/>
                  <w:szCs w:val="18"/>
                </w:rPr>
                <w:t>FPM 4.G.3.a-d</w:t>
              </w:r>
            </w:hyperlink>
            <w:r>
              <w:rPr>
                <w:rFonts w:ascii="Arial" w:hAnsi="Arial" w:cs="Arial"/>
                <w:sz w:val="18"/>
                <w:szCs w:val="18"/>
              </w:rPr>
              <w:t>.</w:t>
            </w:r>
          </w:p>
        </w:tc>
        <w:tc>
          <w:tcPr>
            <w:tcW w:w="330" w:type="dxa"/>
            <w:vAlign w:val="center"/>
            <w:hideMark/>
          </w:tcPr>
          <w:p w14:paraId="59637677" w14:textId="77777777" w:rsidR="0030160A" w:rsidRDefault="0030160A">
            <w:pPr>
              <w:rPr>
                <w:rFonts w:ascii="Calibri" w:hAnsi="Calibri" w:cs="Calibri"/>
                <w:sz w:val="22"/>
              </w:rPr>
            </w:pPr>
            <w:r>
              <w:t> </w:t>
            </w:r>
          </w:p>
        </w:tc>
      </w:tr>
      <w:tr w:rsidR="0030160A" w14:paraId="46EE0DEB" w14:textId="77777777" w:rsidTr="0030160A">
        <w:trPr>
          <w:trHeight w:val="120"/>
          <w:tblCellSpacing w:w="0" w:type="dxa"/>
        </w:trPr>
        <w:tc>
          <w:tcPr>
            <w:tcW w:w="1725" w:type="dxa"/>
            <w:hideMark/>
          </w:tcPr>
          <w:p w14:paraId="2C5606D7" w14:textId="77777777" w:rsidR="0030160A" w:rsidRDefault="0030160A">
            <w:pPr>
              <w:spacing w:before="100" w:beforeAutospacing="1" w:after="100" w:afterAutospacing="1"/>
              <w:rPr>
                <w:b/>
                <w:bCs/>
                <w:sz w:val="18"/>
                <w:szCs w:val="18"/>
              </w:rPr>
            </w:pPr>
            <w:r>
              <w:rPr>
                <w:rFonts w:ascii="Arial" w:hAnsi="Arial" w:cs="Arial"/>
                <w:b/>
                <w:bCs/>
                <w:sz w:val="18"/>
                <w:szCs w:val="18"/>
              </w:rPr>
              <w:t>4.G.1.k</w:t>
            </w:r>
            <w:bookmarkStart w:id="22" w:name="1k"/>
            <w:r>
              <w:rPr>
                <w:rFonts w:ascii="Arial" w:hAnsi="Arial" w:cs="Arial"/>
                <w:b/>
                <w:bCs/>
                <w:sz w:val="18"/>
                <w:szCs w:val="18"/>
              </w:rPr>
              <w:t>.</w:t>
            </w:r>
            <w:bookmarkEnd w:id="22"/>
            <w:r>
              <w:rPr>
                <w:rFonts w:ascii="Arial" w:hAnsi="Arial" w:cs="Arial"/>
                <w:b/>
                <w:bCs/>
                <w:sz w:val="18"/>
                <w:szCs w:val="18"/>
              </w:rPr>
              <w:t xml:space="preserve">  Bonds Payable to Courts </w:t>
            </w:r>
          </w:p>
        </w:tc>
        <w:tc>
          <w:tcPr>
            <w:tcW w:w="225" w:type="dxa"/>
            <w:gridSpan w:val="2"/>
            <w:vAlign w:val="center"/>
            <w:hideMark/>
          </w:tcPr>
          <w:p w14:paraId="7B512917" w14:textId="77777777" w:rsidR="0030160A" w:rsidRDefault="0030160A">
            <w:pPr>
              <w:rPr>
                <w:b/>
                <w:bCs/>
                <w:sz w:val="18"/>
                <w:szCs w:val="18"/>
              </w:rPr>
            </w:pPr>
          </w:p>
        </w:tc>
        <w:tc>
          <w:tcPr>
            <w:tcW w:w="7740" w:type="dxa"/>
            <w:gridSpan w:val="3"/>
            <w:hideMark/>
          </w:tcPr>
          <w:p w14:paraId="73A24007" w14:textId="77777777" w:rsidR="0030160A" w:rsidRDefault="0030160A">
            <w:pPr>
              <w:rPr>
                <w:rFonts w:ascii="Calibri" w:eastAsiaTheme="minorHAnsi" w:hAnsi="Calibri" w:cs="Calibri"/>
                <w:sz w:val="18"/>
                <w:szCs w:val="18"/>
              </w:rPr>
            </w:pPr>
            <w:r>
              <w:rPr>
                <w:rFonts w:ascii="Arial" w:hAnsi="Arial" w:cs="Arial"/>
                <w:sz w:val="18"/>
                <w:szCs w:val="18"/>
              </w:rPr>
              <w:t>In some instances, the court of jurisdiction requires a VA-appointed fiduciary also serving as court-appointed fiduciary to obtain a surety bond with the court as the obligee.  When VA is considering the appointment of this court-appointed fiduciary also as the VA-appointed fiduciary, the Field Examiner or LIE must ensure the existing surety bond covers the amount of the FUM. </w:t>
            </w:r>
          </w:p>
          <w:p w14:paraId="327F434E" w14:textId="77777777" w:rsidR="0030160A" w:rsidRDefault="0030160A">
            <w:pPr>
              <w:rPr>
                <w:sz w:val="18"/>
                <w:szCs w:val="18"/>
              </w:rPr>
            </w:pPr>
            <w:r>
              <w:rPr>
                <w:rFonts w:ascii="Arial" w:hAnsi="Arial" w:cs="Arial"/>
                <w:sz w:val="18"/>
                <w:szCs w:val="18"/>
              </w:rPr>
              <w:t>If the amount of the existing surety bond is high enough to fully cover FUM, accept the surety bond for VA purposes and upload the documentation to the beneficiary’s eFolder.</w:t>
            </w:r>
          </w:p>
          <w:p w14:paraId="5745DD6D" w14:textId="77777777" w:rsidR="0030160A" w:rsidRDefault="0030160A">
            <w:pPr>
              <w:rPr>
                <w:sz w:val="18"/>
                <w:szCs w:val="18"/>
              </w:rPr>
            </w:pPr>
            <w:r>
              <w:rPr>
                <w:rFonts w:ascii="Arial" w:hAnsi="Arial" w:cs="Arial"/>
                <w:sz w:val="18"/>
                <w:szCs w:val="18"/>
              </w:rPr>
              <w:t>If the existing surety bond does not adequately cover the amount of FUM, follow the procedures listed in </w:t>
            </w:r>
            <w:hyperlink r:id="rId32" w:anchor="1i" w:tgtFrame="_self" w:history="1">
              <w:r>
                <w:rPr>
                  <w:rStyle w:val="Hyperlink"/>
                  <w:rFonts w:ascii="Arial" w:hAnsi="Arial" w:cs="Arial"/>
                  <w:sz w:val="18"/>
                  <w:szCs w:val="18"/>
                </w:rPr>
                <w:t>FPM 4.G.1.i</w:t>
              </w:r>
            </w:hyperlink>
            <w:r>
              <w:rPr>
                <w:rFonts w:ascii="Arial" w:hAnsi="Arial" w:cs="Arial"/>
                <w:sz w:val="18"/>
                <w:szCs w:val="18"/>
              </w:rPr>
              <w:t xml:space="preserve"> to have the bond amended.  Once VA receives documentation of an updated surety bond which covers the FUM, notify the court of jurisdiction of the new amount.  Surety bond expenses related to the amendment of an existing, court-ordered surety bond meet the criteria listed in </w:t>
            </w:r>
            <w:hyperlink r:id="rId33" w:tgtFrame="_blank" w:history="1">
              <w:r>
                <w:rPr>
                  <w:rStyle w:val="Hyperlink"/>
                  <w:rFonts w:ascii="Arial" w:hAnsi="Arial" w:cs="Arial"/>
                  <w:sz w:val="18"/>
                  <w:szCs w:val="18"/>
                </w:rPr>
                <w:t>38 CFR 13.230(g)</w:t>
              </w:r>
            </w:hyperlink>
            <w:r>
              <w:rPr>
                <w:rFonts w:ascii="Arial" w:hAnsi="Arial" w:cs="Arial"/>
                <w:sz w:val="18"/>
                <w:szCs w:val="18"/>
              </w:rPr>
              <w:t xml:space="preserve"> and may be deducted from the beneficiary’s account.</w:t>
            </w:r>
          </w:p>
          <w:p w14:paraId="2E4C937D" w14:textId="77777777" w:rsidR="0030160A" w:rsidRDefault="0030160A">
            <w:pPr>
              <w:rPr>
                <w:sz w:val="18"/>
                <w:szCs w:val="18"/>
              </w:rPr>
            </w:pPr>
            <w:r>
              <w:rPr>
                <w:rFonts w:ascii="Arial" w:hAnsi="Arial" w:cs="Arial"/>
                <w:sz w:val="18"/>
                <w:szCs w:val="18"/>
              </w:rPr>
              <w:t>If the fiduciary refuses or cannot obtain a bond that complies with the minimum criteria outlined in this section, the hub must appoint a successor fiduciary.</w:t>
            </w:r>
          </w:p>
          <w:p w14:paraId="31A51F58" w14:textId="6F8B63C7" w:rsidR="0030160A" w:rsidRDefault="0030160A">
            <w:pPr>
              <w:rPr>
                <w:sz w:val="18"/>
                <w:szCs w:val="18"/>
              </w:rPr>
            </w:pPr>
            <w:r>
              <w:rPr>
                <w:rFonts w:ascii="Arial" w:hAnsi="Arial" w:cs="Arial"/>
                <w:sz w:val="18"/>
                <w:szCs w:val="18"/>
              </w:rPr>
              <w:t> </w:t>
            </w:r>
            <w:r>
              <w:rPr>
                <w:rFonts w:ascii="Arial" w:hAnsi="Arial" w:cs="Arial"/>
                <w:b/>
                <w:bCs/>
                <w:i/>
                <w:iCs/>
                <w:sz w:val="18"/>
                <w:szCs w:val="18"/>
              </w:rPr>
              <w:t>References</w:t>
            </w:r>
            <w:r>
              <w:rPr>
                <w:rFonts w:ascii="Arial" w:hAnsi="Arial" w:cs="Arial"/>
                <w:sz w:val="18"/>
                <w:szCs w:val="18"/>
              </w:rPr>
              <w:t xml:space="preserve">:  For more information on </w:t>
            </w:r>
          </w:p>
          <w:p w14:paraId="26B02EFD" w14:textId="77777777" w:rsidR="0030160A" w:rsidRDefault="0030160A" w:rsidP="0030160A">
            <w:pPr>
              <w:numPr>
                <w:ilvl w:val="0"/>
                <w:numId w:val="35"/>
              </w:numPr>
              <w:spacing w:before="100" w:beforeAutospacing="1" w:after="100" w:afterAutospacing="1" w:line="240" w:lineRule="auto"/>
              <w:rPr>
                <w:rFonts w:eastAsia="Times New Roman"/>
                <w:sz w:val="18"/>
                <w:szCs w:val="18"/>
              </w:rPr>
            </w:pPr>
            <w:r>
              <w:rPr>
                <w:rFonts w:ascii="Arial" w:eastAsia="Times New Roman" w:hAnsi="Arial" w:cs="Arial"/>
                <w:sz w:val="18"/>
                <w:szCs w:val="18"/>
              </w:rPr>
              <w:t xml:space="preserve">previously accepted restricted or blocked accounts or withdrawal agreements, see </w:t>
            </w:r>
            <w:hyperlink r:id="rId34" w:history="1">
              <w:r>
                <w:rPr>
                  <w:rStyle w:val="Hyperlink"/>
                  <w:rFonts w:ascii="Arial" w:eastAsia="Times New Roman" w:hAnsi="Arial" w:cs="Arial"/>
                  <w:sz w:val="18"/>
                  <w:szCs w:val="18"/>
                </w:rPr>
                <w:t>FPM 4.G.3.d</w:t>
              </w:r>
            </w:hyperlink>
            <w:r>
              <w:rPr>
                <w:rFonts w:ascii="Arial" w:eastAsia="Times New Roman" w:hAnsi="Arial" w:cs="Arial"/>
                <w:sz w:val="18"/>
                <w:szCs w:val="18"/>
              </w:rPr>
              <w:t xml:space="preserve">, and </w:t>
            </w:r>
          </w:p>
          <w:p w14:paraId="50076658" w14:textId="77777777" w:rsidR="0030160A" w:rsidRDefault="0030160A" w:rsidP="0030160A">
            <w:pPr>
              <w:numPr>
                <w:ilvl w:val="0"/>
                <w:numId w:val="35"/>
              </w:numPr>
              <w:spacing w:before="100" w:beforeAutospacing="1" w:after="100" w:afterAutospacing="1" w:line="240" w:lineRule="auto"/>
              <w:rPr>
                <w:rFonts w:eastAsia="Times New Roman"/>
                <w:sz w:val="18"/>
                <w:szCs w:val="18"/>
              </w:rPr>
            </w:pPr>
            <w:r>
              <w:rPr>
                <w:rFonts w:ascii="Arial" w:eastAsia="Times New Roman" w:hAnsi="Arial" w:cs="Arial"/>
                <w:sz w:val="18"/>
                <w:szCs w:val="18"/>
              </w:rPr>
              <w:t xml:space="preserve">calculating the value of a beneficiary's VA benefit FUM, see </w:t>
            </w:r>
            <w:hyperlink r:id="rId35" w:history="1">
              <w:r>
                <w:rPr>
                  <w:rStyle w:val="Hyperlink"/>
                  <w:rFonts w:ascii="Arial" w:eastAsia="Times New Roman" w:hAnsi="Arial" w:cs="Arial"/>
                  <w:i/>
                  <w:iCs/>
                  <w:sz w:val="18"/>
                  <w:szCs w:val="18"/>
                </w:rPr>
                <w:t>FPG, Funds Under Management</w:t>
              </w:r>
            </w:hyperlink>
            <w:r>
              <w:rPr>
                <w:rFonts w:ascii="Arial" w:eastAsia="Times New Roman" w:hAnsi="Arial" w:cs="Arial"/>
                <w:sz w:val="18"/>
                <w:szCs w:val="18"/>
              </w:rPr>
              <w:t>.</w:t>
            </w:r>
          </w:p>
        </w:tc>
      </w:tr>
    </w:tbl>
    <w:p w14:paraId="14DBB26D" w14:textId="77777777" w:rsidR="0030160A" w:rsidRPr="00FA52C6" w:rsidRDefault="0030160A" w:rsidP="0030160A">
      <w:pPr>
        <w:spacing w:after="0" w:line="240" w:lineRule="auto"/>
        <w:rPr>
          <w:rFonts w:ascii="Arial" w:hAnsi="Arial" w:cs="Arial"/>
        </w:rPr>
      </w:pPr>
    </w:p>
    <w:p w14:paraId="166B053F" w14:textId="3C530212" w:rsidR="0030160A" w:rsidRPr="0030160A" w:rsidRDefault="003049DF" w:rsidP="0030160A">
      <w:pPr>
        <w:spacing w:after="0" w:line="240" w:lineRule="auto"/>
        <w:rPr>
          <w:rFonts w:ascii="Arial" w:hAnsi="Arial" w:cs="Arial"/>
          <w:szCs w:val="24"/>
        </w:rPr>
      </w:pPr>
      <w:r w:rsidRPr="00FA52C6">
        <w:rPr>
          <w:rFonts w:ascii="Arial" w:hAnsi="Arial" w:cs="Arial"/>
          <w:b/>
        </w:rPr>
        <w:t>Response</w:t>
      </w:r>
      <w:r w:rsidRPr="00FA52C6">
        <w:rPr>
          <w:rFonts w:ascii="Arial" w:hAnsi="Arial" w:cs="Arial"/>
        </w:rPr>
        <w:t xml:space="preserve">:  </w:t>
      </w:r>
      <w:r w:rsidR="0030160A" w:rsidRPr="0030160A">
        <w:rPr>
          <w:rFonts w:ascii="Arial" w:hAnsi="Arial" w:cs="Arial"/>
          <w:szCs w:val="24"/>
        </w:rPr>
        <w:t>Pension and Fiduciary Service has conducted research and consulted with the Office of General Counsel regarding whether a blanket insurance policy managed by a State for a State agency is acceptable in lieu of a corporate surety bond, when the amount of the policy far exceeds the amount of the required surety bond.</w:t>
      </w:r>
    </w:p>
    <w:p w14:paraId="22B50E77" w14:textId="77777777" w:rsidR="0030160A" w:rsidRPr="0030160A" w:rsidRDefault="0030160A" w:rsidP="0030160A">
      <w:pPr>
        <w:spacing w:after="0" w:line="240" w:lineRule="auto"/>
        <w:rPr>
          <w:rFonts w:ascii="Arial" w:hAnsi="Arial" w:cs="Arial"/>
          <w:szCs w:val="24"/>
        </w:rPr>
      </w:pPr>
    </w:p>
    <w:p w14:paraId="16F8B723" w14:textId="77777777" w:rsidR="0030160A" w:rsidRPr="0030160A" w:rsidRDefault="0030160A" w:rsidP="0030160A">
      <w:pPr>
        <w:spacing w:after="0" w:line="240" w:lineRule="auto"/>
        <w:rPr>
          <w:rFonts w:ascii="Arial" w:hAnsi="Arial" w:cs="Arial"/>
          <w:szCs w:val="24"/>
        </w:rPr>
      </w:pPr>
      <w:r w:rsidRPr="0030160A">
        <w:rPr>
          <w:rFonts w:ascii="Arial" w:hAnsi="Arial" w:cs="Arial"/>
          <w:szCs w:val="24"/>
        </w:rPr>
        <w:lastRenderedPageBreak/>
        <w:t xml:space="preserve">In response to your inquiry, yes, VA may accept liability insurance, or a State blanket bond in lieu of a corporate surety bond from State agencies that are serving as a VA fiduciary.  </w:t>
      </w:r>
    </w:p>
    <w:p w14:paraId="5E966D44" w14:textId="77777777" w:rsidR="0030160A" w:rsidRPr="0030160A" w:rsidRDefault="0030160A" w:rsidP="0030160A">
      <w:pPr>
        <w:spacing w:after="0" w:line="240" w:lineRule="auto"/>
        <w:rPr>
          <w:rFonts w:ascii="Arial" w:hAnsi="Arial" w:cs="Arial"/>
          <w:szCs w:val="24"/>
        </w:rPr>
      </w:pPr>
    </w:p>
    <w:p w14:paraId="29526E13" w14:textId="4BEAA258" w:rsidR="0030160A" w:rsidRDefault="0030160A" w:rsidP="0030160A">
      <w:pPr>
        <w:spacing w:after="0" w:line="240" w:lineRule="auto"/>
        <w:rPr>
          <w:rFonts w:ascii="Arial" w:hAnsi="Arial" w:cs="Arial"/>
          <w:szCs w:val="24"/>
        </w:rPr>
      </w:pPr>
      <w:r w:rsidRPr="0030160A">
        <w:rPr>
          <w:rFonts w:ascii="Arial" w:hAnsi="Arial" w:cs="Arial"/>
          <w:szCs w:val="24"/>
        </w:rPr>
        <w:t>It is important to be aware that there may be instances in the future where State laws are misaligned to Federal policies. When this occurs, the Federal regulations supersede those of States. However, P&amp;F Service will always work as best we can to ensure that we are supporting your needs while ensuring the protection of our beneficiaries.</w:t>
      </w:r>
    </w:p>
    <w:p w14:paraId="1E212D48" w14:textId="77777777" w:rsidR="0030160A" w:rsidRDefault="0030160A" w:rsidP="0030160A">
      <w:pPr>
        <w:spacing w:after="0" w:line="240" w:lineRule="auto"/>
        <w:rPr>
          <w:rFonts w:ascii="Arial" w:hAnsi="Arial" w:cs="Arial"/>
          <w:szCs w:val="24"/>
        </w:rPr>
      </w:pPr>
    </w:p>
    <w:p w14:paraId="2814B3C5" w14:textId="1B08EC4D" w:rsidR="00AB6F09" w:rsidRPr="00B06081" w:rsidRDefault="00AB6F09" w:rsidP="003049DF">
      <w:pPr>
        <w:spacing w:after="0" w:line="240" w:lineRule="auto"/>
        <w:rPr>
          <w:rFonts w:ascii="Arial" w:hAnsi="Arial" w:cs="Arial"/>
          <w:szCs w:val="24"/>
        </w:rPr>
      </w:pPr>
      <w:r w:rsidRPr="003C7AC3">
        <w:rPr>
          <w:rFonts w:ascii="Arial" w:hAnsi="Arial" w:cs="Arial"/>
          <w:b/>
          <w:szCs w:val="24"/>
        </w:rPr>
        <w:t>Result:</w:t>
      </w:r>
      <w:r w:rsidRPr="003C7AC3">
        <w:rPr>
          <w:rFonts w:ascii="Arial" w:hAnsi="Arial" w:cs="Arial"/>
          <w:szCs w:val="24"/>
        </w:rPr>
        <w:t xml:space="preserve"> </w:t>
      </w:r>
      <w:r>
        <w:rPr>
          <w:rFonts w:ascii="Arial" w:hAnsi="Arial" w:cs="Arial"/>
          <w:szCs w:val="24"/>
        </w:rPr>
        <w:t xml:space="preserve"> </w:t>
      </w:r>
      <w:r w:rsidR="00FA52C6">
        <w:rPr>
          <w:rFonts w:ascii="Arial" w:hAnsi="Arial" w:cs="Arial"/>
          <w:szCs w:val="24"/>
        </w:rPr>
        <w:t>Clarification provided</w:t>
      </w:r>
      <w:r>
        <w:rPr>
          <w:rFonts w:ascii="Arial" w:hAnsi="Arial" w:cs="Arial"/>
          <w:szCs w:val="24"/>
        </w:rPr>
        <w:t>.</w:t>
      </w:r>
    </w:p>
    <w:p w14:paraId="3D415E17" w14:textId="77777777" w:rsidR="00EF2D51" w:rsidRPr="00900D56" w:rsidRDefault="00EF2D51" w:rsidP="00EF2D51">
      <w:pPr>
        <w:pStyle w:val="Heading1"/>
        <w:rPr>
          <w:rFonts w:ascii="Arial" w:hAnsi="Arial" w:cs="Arial"/>
          <w:b/>
          <w:color w:val="auto"/>
          <w:sz w:val="36"/>
        </w:rPr>
      </w:pPr>
      <w:bookmarkStart w:id="23" w:name="_Toc42492301"/>
      <w:r>
        <w:rPr>
          <w:rFonts w:ascii="Arial" w:hAnsi="Arial" w:cs="Arial"/>
          <w:b/>
          <w:color w:val="auto"/>
          <w:sz w:val="36"/>
        </w:rPr>
        <w:t>P&amp;F Service Information</w:t>
      </w:r>
      <w:bookmarkEnd w:id="23"/>
    </w:p>
    <w:p w14:paraId="0FC363D0" w14:textId="77777777" w:rsidR="00F37B29" w:rsidRPr="003C7AC3" w:rsidRDefault="00F37B29" w:rsidP="00F37B29">
      <w:pPr>
        <w:pStyle w:val="Heading1"/>
        <w:rPr>
          <w:rFonts w:ascii="Arial" w:hAnsi="Arial" w:cs="Arial"/>
        </w:rPr>
      </w:pPr>
      <w:bookmarkStart w:id="24" w:name="_Toc42492302"/>
      <w:r>
        <w:rPr>
          <w:rFonts w:ascii="Arial" w:hAnsi="Arial" w:cs="Arial"/>
        </w:rPr>
        <w:t xml:space="preserve">P&amp;F Service </w:t>
      </w:r>
      <w:r w:rsidR="00517C4F">
        <w:rPr>
          <w:rFonts w:ascii="Arial" w:hAnsi="Arial" w:cs="Arial"/>
        </w:rPr>
        <w:t>C</w:t>
      </w:r>
      <w:r>
        <w:rPr>
          <w:rFonts w:ascii="Arial" w:hAnsi="Arial" w:cs="Arial"/>
        </w:rPr>
        <w:t xml:space="preserve">ontact </w:t>
      </w:r>
      <w:r w:rsidR="00517C4F">
        <w:rPr>
          <w:rFonts w:ascii="Arial" w:hAnsi="Arial" w:cs="Arial"/>
        </w:rPr>
        <w:t>I</w:t>
      </w:r>
      <w:r>
        <w:rPr>
          <w:rFonts w:ascii="Arial" w:hAnsi="Arial" w:cs="Arial"/>
        </w:rPr>
        <w:t>nformation</w:t>
      </w:r>
      <w:bookmarkEnd w:id="24"/>
    </w:p>
    <w:p w14:paraId="55D8D2AA" w14:textId="77777777" w:rsidR="006F3DA0" w:rsidRDefault="006F3DA0" w:rsidP="003C7AC3">
      <w:pPr>
        <w:spacing w:after="0" w:line="240" w:lineRule="auto"/>
        <w:rPr>
          <w:rFonts w:ascii="Arial" w:hAnsi="Arial" w:cs="Arial"/>
          <w:szCs w:val="24"/>
        </w:rPr>
      </w:pPr>
    </w:p>
    <w:p w14:paraId="7A16B51F" w14:textId="49C88B64" w:rsidR="003E2828" w:rsidRDefault="003E2828" w:rsidP="003E2828">
      <w:pPr>
        <w:spacing w:after="0" w:line="240" w:lineRule="auto"/>
        <w:rPr>
          <w:rFonts w:ascii="Arial" w:hAnsi="Arial" w:cs="Arial"/>
          <w:szCs w:val="24"/>
        </w:rPr>
      </w:pPr>
      <w:r>
        <w:rPr>
          <w:rFonts w:ascii="Arial" w:hAnsi="Arial" w:cs="Arial"/>
          <w:szCs w:val="24"/>
        </w:rPr>
        <w:t xml:space="preserve">Policy and Procedure questions from the PMCs or Fiduciary Hubs should be submitted to P&amp;F Service at </w:t>
      </w:r>
      <w:hyperlink r:id="rId36" w:history="1">
        <w:r w:rsidRPr="006F3DA0">
          <w:rPr>
            <w:rStyle w:val="Hyperlink"/>
            <w:rFonts w:ascii="Arial" w:hAnsi="Arial" w:cs="Arial"/>
            <w:szCs w:val="24"/>
          </w:rPr>
          <w:t>VAVBAWAS/CO/P&amp;F POL &amp; PROC</w:t>
        </w:r>
      </w:hyperlink>
      <w:r>
        <w:rPr>
          <w:rFonts w:ascii="Arial" w:hAnsi="Arial" w:cs="Arial"/>
          <w:szCs w:val="24"/>
        </w:rPr>
        <w:t xml:space="preserve"> by the Quality Review coach or PMC/Fiduciary H</w:t>
      </w:r>
      <w:r w:rsidR="002807BE">
        <w:rPr>
          <w:rFonts w:ascii="Arial" w:hAnsi="Arial" w:cs="Arial"/>
          <w:szCs w:val="24"/>
        </w:rPr>
        <w:t>ub</w:t>
      </w:r>
      <w:r>
        <w:rPr>
          <w:rFonts w:ascii="Arial" w:hAnsi="Arial" w:cs="Arial"/>
          <w:szCs w:val="24"/>
        </w:rPr>
        <w:t xml:space="preserve"> </w:t>
      </w:r>
      <w:r w:rsidR="00B02287">
        <w:rPr>
          <w:rFonts w:ascii="Arial" w:hAnsi="Arial" w:cs="Arial"/>
          <w:szCs w:val="24"/>
        </w:rPr>
        <w:t xml:space="preserve">Division </w:t>
      </w:r>
      <w:r>
        <w:rPr>
          <w:rFonts w:ascii="Arial" w:hAnsi="Arial" w:cs="Arial"/>
          <w:szCs w:val="24"/>
        </w:rPr>
        <w:t xml:space="preserve">Management. </w:t>
      </w:r>
    </w:p>
    <w:p w14:paraId="542F5FA5" w14:textId="77777777" w:rsidR="003E2828" w:rsidRDefault="003E2828" w:rsidP="003E2828">
      <w:pPr>
        <w:spacing w:after="0" w:line="240" w:lineRule="auto"/>
        <w:rPr>
          <w:rFonts w:ascii="Arial" w:hAnsi="Arial" w:cs="Arial"/>
          <w:szCs w:val="24"/>
        </w:rPr>
      </w:pPr>
    </w:p>
    <w:p w14:paraId="387520AC" w14:textId="77777777" w:rsidR="003E2828" w:rsidRDefault="003E2828" w:rsidP="003E2828">
      <w:pPr>
        <w:spacing w:after="0" w:line="240" w:lineRule="auto"/>
        <w:rPr>
          <w:rFonts w:ascii="Arial" w:hAnsi="Arial" w:cs="Arial"/>
          <w:szCs w:val="24"/>
        </w:rPr>
      </w:pPr>
      <w:r w:rsidRPr="00F65168">
        <w:rPr>
          <w:rFonts w:ascii="Arial" w:hAnsi="Arial" w:cs="Arial"/>
          <w:szCs w:val="24"/>
        </w:rPr>
        <w:t xml:space="preserve">P&amp;F Service would like to remind you that all inquiries sent to the Policy and Procedures Mailbox must include the references previously researched, key words or phrases used to search in CPKM.  P&amp;F Service is available to assist when there is confusion about a certain policy or procedure, however, PMCs </w:t>
      </w:r>
      <w:r>
        <w:rPr>
          <w:rFonts w:ascii="Arial" w:hAnsi="Arial" w:cs="Arial"/>
          <w:szCs w:val="24"/>
        </w:rPr>
        <w:t xml:space="preserve">and Fiduciary Hubs </w:t>
      </w:r>
      <w:r w:rsidRPr="00F65168">
        <w:rPr>
          <w:rFonts w:ascii="Arial" w:hAnsi="Arial" w:cs="Arial"/>
          <w:szCs w:val="24"/>
        </w:rPr>
        <w:t xml:space="preserve">are required to research and attempt to resolve the issue before sending the question to the </w:t>
      </w:r>
      <w:r>
        <w:rPr>
          <w:rFonts w:ascii="Arial" w:hAnsi="Arial" w:cs="Arial"/>
          <w:szCs w:val="24"/>
        </w:rPr>
        <w:t>P&amp;F Service</w:t>
      </w:r>
      <w:r w:rsidRPr="00F65168">
        <w:rPr>
          <w:rFonts w:ascii="Arial" w:hAnsi="Arial" w:cs="Arial"/>
          <w:szCs w:val="24"/>
        </w:rPr>
        <w:t xml:space="preserve"> Policy and Procedures Mailbox.  Additionally, including all words used to search topics in CPKM will allow P&amp;F Service to add those search words into CPKM if they were not already in the metadata for a certain manual reference.</w:t>
      </w:r>
    </w:p>
    <w:p w14:paraId="00733743" w14:textId="77777777" w:rsidR="003E2828" w:rsidRDefault="003E2828" w:rsidP="003E2828">
      <w:pPr>
        <w:spacing w:after="0" w:line="240" w:lineRule="auto"/>
        <w:rPr>
          <w:rFonts w:ascii="Arial" w:hAnsi="Arial" w:cs="Arial"/>
          <w:szCs w:val="24"/>
        </w:rPr>
      </w:pPr>
    </w:p>
    <w:p w14:paraId="5F1BB179" w14:textId="77777777" w:rsidR="003E2828" w:rsidRDefault="003E2828" w:rsidP="003E2828">
      <w:pPr>
        <w:spacing w:after="0" w:line="240" w:lineRule="auto"/>
        <w:rPr>
          <w:rFonts w:ascii="Arial" w:hAnsi="Arial" w:cs="Arial"/>
          <w:szCs w:val="24"/>
        </w:rPr>
      </w:pPr>
      <w:r>
        <w:rPr>
          <w:rFonts w:ascii="Arial" w:hAnsi="Arial" w:cs="Arial"/>
          <w:szCs w:val="24"/>
        </w:rPr>
        <w:t xml:space="preserve">Training and Quality questions can be directed to: </w:t>
      </w:r>
      <w:hyperlink r:id="rId37" w:history="1">
        <w:r w:rsidRPr="006F3DA0">
          <w:rPr>
            <w:rStyle w:val="Hyperlink"/>
            <w:rFonts w:ascii="Arial" w:hAnsi="Arial" w:cs="Arial"/>
            <w:szCs w:val="24"/>
          </w:rPr>
          <w:t>VAVBAWAS/CO/P&amp;F TNG QUAL OVRST</w:t>
        </w:r>
      </w:hyperlink>
      <w:r>
        <w:rPr>
          <w:rFonts w:ascii="Arial" w:hAnsi="Arial" w:cs="Arial"/>
          <w:szCs w:val="24"/>
        </w:rPr>
        <w:t>.</w:t>
      </w:r>
    </w:p>
    <w:p w14:paraId="44744846" w14:textId="77777777" w:rsidR="003E2828" w:rsidRDefault="003E2828" w:rsidP="003E2828">
      <w:pPr>
        <w:spacing w:after="0" w:line="240" w:lineRule="auto"/>
        <w:rPr>
          <w:rFonts w:ascii="Arial" w:hAnsi="Arial" w:cs="Arial"/>
          <w:szCs w:val="24"/>
        </w:rPr>
      </w:pPr>
    </w:p>
    <w:p w14:paraId="3C057827" w14:textId="77777777" w:rsidR="003E2828" w:rsidRDefault="003E2828" w:rsidP="003E2828">
      <w:pPr>
        <w:spacing w:after="0" w:line="240" w:lineRule="auto"/>
        <w:rPr>
          <w:rFonts w:ascii="Arial" w:hAnsi="Arial" w:cs="Arial"/>
          <w:szCs w:val="24"/>
        </w:rPr>
      </w:pPr>
      <w:r>
        <w:rPr>
          <w:rFonts w:ascii="Arial" w:hAnsi="Arial" w:cs="Arial"/>
          <w:szCs w:val="24"/>
        </w:rPr>
        <w:t xml:space="preserve">Systems-related questions can be directed to: </w:t>
      </w:r>
      <w:hyperlink r:id="rId38" w:history="1">
        <w:r w:rsidRPr="00A8246F">
          <w:rPr>
            <w:rStyle w:val="Hyperlink"/>
            <w:rFonts w:ascii="Arial" w:hAnsi="Arial" w:cs="Arial"/>
            <w:szCs w:val="24"/>
          </w:rPr>
          <w:t>VAVBAWAS/CO/P&amp;F BUS MGMT</w:t>
        </w:r>
      </w:hyperlink>
      <w:r>
        <w:rPr>
          <w:rFonts w:ascii="Arial" w:hAnsi="Arial" w:cs="Arial"/>
          <w:szCs w:val="24"/>
        </w:rPr>
        <w:t>.</w:t>
      </w:r>
    </w:p>
    <w:p w14:paraId="38DF3806" w14:textId="77777777" w:rsidR="00241F0B" w:rsidRPr="003C7AC3" w:rsidRDefault="00517C4F" w:rsidP="00241F0B">
      <w:pPr>
        <w:pStyle w:val="Heading1"/>
        <w:rPr>
          <w:rFonts w:ascii="Arial" w:hAnsi="Arial" w:cs="Arial"/>
        </w:rPr>
      </w:pPr>
      <w:bookmarkStart w:id="25" w:name="_Toc42492303"/>
      <w:r>
        <w:rPr>
          <w:rFonts w:ascii="Arial" w:hAnsi="Arial" w:cs="Arial"/>
        </w:rPr>
        <w:t>D</w:t>
      </w:r>
      <w:r w:rsidR="00241F0B">
        <w:rPr>
          <w:rFonts w:ascii="Arial" w:hAnsi="Arial" w:cs="Arial"/>
        </w:rPr>
        <w:t>isclaimer</w:t>
      </w:r>
      <w:bookmarkEnd w:id="25"/>
    </w:p>
    <w:p w14:paraId="66751F6F" w14:textId="77777777" w:rsidR="00241F0B" w:rsidRDefault="00241F0B" w:rsidP="00241F0B">
      <w:pPr>
        <w:spacing w:after="0" w:line="240" w:lineRule="auto"/>
        <w:rPr>
          <w:rFonts w:ascii="Arial" w:hAnsi="Arial" w:cs="Arial"/>
          <w:szCs w:val="24"/>
        </w:rPr>
      </w:pPr>
    </w:p>
    <w:p w14:paraId="2912A66D" w14:textId="77777777" w:rsidR="00905FDB" w:rsidRDefault="00905FDB" w:rsidP="00905FDB">
      <w:pPr>
        <w:spacing w:after="0" w:line="240" w:lineRule="auto"/>
        <w:rPr>
          <w:rFonts w:ascii="Arial" w:hAnsi="Arial" w:cs="Arial"/>
          <w:szCs w:val="24"/>
        </w:rPr>
      </w:pPr>
      <w:r>
        <w:rPr>
          <w:rFonts w:ascii="Arial" w:hAnsi="Arial" w:cs="Arial"/>
          <w:szCs w:val="24"/>
        </w:rPr>
        <w:t>Please note that all responses provided are for informational purposes only.  If changes to the M21-1 Adjudication Procedures Manual or Fiduciary Program Manual (FPM) are needed, they are made in conjunction with the response.  The M21-1 and FPM supersede any inquiry response.</w:t>
      </w:r>
    </w:p>
    <w:p w14:paraId="3643DCB0" w14:textId="60B8B55D" w:rsidR="00241F0B" w:rsidRDefault="00241F0B" w:rsidP="00905FDB">
      <w:pPr>
        <w:spacing w:after="0" w:line="240" w:lineRule="auto"/>
        <w:rPr>
          <w:rFonts w:ascii="Arial" w:hAnsi="Arial" w:cs="Arial"/>
          <w:szCs w:val="24"/>
        </w:rPr>
      </w:pPr>
    </w:p>
    <w:sectPr w:rsidR="00241F0B" w:rsidSect="0033182E">
      <w:type w:val="continuous"/>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14C28" w14:textId="77777777" w:rsidR="00C75470" w:rsidRDefault="00C75470" w:rsidP="004619BB">
      <w:pPr>
        <w:spacing w:after="0" w:line="240" w:lineRule="auto"/>
      </w:pPr>
      <w:r>
        <w:separator/>
      </w:r>
    </w:p>
    <w:p w14:paraId="40737352" w14:textId="77777777" w:rsidR="00C75470" w:rsidRDefault="00C75470"/>
    <w:p w14:paraId="281BF3FF" w14:textId="77777777" w:rsidR="00C75470" w:rsidRDefault="00C75470"/>
  </w:endnote>
  <w:endnote w:type="continuationSeparator" w:id="0">
    <w:p w14:paraId="7B79569D" w14:textId="77777777" w:rsidR="00C75470" w:rsidRDefault="00C75470" w:rsidP="004619BB">
      <w:pPr>
        <w:spacing w:after="0" w:line="240" w:lineRule="auto"/>
      </w:pPr>
      <w:r>
        <w:continuationSeparator/>
      </w:r>
    </w:p>
    <w:p w14:paraId="78FCC216" w14:textId="77777777" w:rsidR="00C75470" w:rsidRDefault="00C75470"/>
    <w:p w14:paraId="13AECC57" w14:textId="77777777" w:rsidR="00C75470" w:rsidRDefault="00C75470"/>
  </w:endnote>
  <w:endnote w:type="continuationNotice" w:id="1">
    <w:p w14:paraId="7E3FDF09" w14:textId="77777777" w:rsidR="00C75470" w:rsidRDefault="00C75470">
      <w:pPr>
        <w:spacing w:after="0" w:line="240" w:lineRule="auto"/>
      </w:pPr>
    </w:p>
    <w:p w14:paraId="735C4517" w14:textId="77777777" w:rsidR="00C75470" w:rsidRDefault="00C75470"/>
    <w:p w14:paraId="35D3880E" w14:textId="77777777" w:rsidR="00C75470" w:rsidRDefault="00C75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C303E" w14:textId="0670E739" w:rsidR="00ED5825" w:rsidRPr="00FD42FA" w:rsidRDefault="00856559" w:rsidP="009C31D3">
    <w:pPr>
      <w:pStyle w:val="Footer"/>
      <w:pBdr>
        <w:top w:val="thinThickSmallGap" w:sz="24" w:space="1" w:color="622423" w:themeColor="accent2" w:themeShade="7F"/>
      </w:pBdr>
      <w:rPr>
        <w:rFonts w:ascii="Arial" w:hAnsi="Arial" w:cs="Arial"/>
      </w:rPr>
    </w:pPr>
    <w:r>
      <w:rPr>
        <w:rFonts w:ascii="Arial" w:hAnsi="Arial" w:cs="Arial"/>
      </w:rPr>
      <w:t>May</w:t>
    </w:r>
    <w:r w:rsidR="00ED5825">
      <w:rPr>
        <w:rFonts w:ascii="Arial" w:hAnsi="Arial" w:cs="Arial"/>
      </w:rPr>
      <w:t xml:space="preserve"> 2020</w:t>
    </w:r>
    <w:r w:rsidR="00ED5825" w:rsidRPr="00FD42FA">
      <w:rPr>
        <w:rFonts w:ascii="Arial" w:hAnsi="Arial" w:cs="Arial"/>
      </w:rPr>
      <w:ptab w:relativeTo="margin" w:alignment="right" w:leader="none"/>
    </w:r>
    <w:r w:rsidR="00ED5825" w:rsidRPr="00FD42FA">
      <w:rPr>
        <w:rFonts w:ascii="Arial" w:hAnsi="Arial" w:cs="Arial"/>
      </w:rPr>
      <w:t xml:space="preserve">Page </w:t>
    </w:r>
    <w:r w:rsidR="00ED5825" w:rsidRPr="00FD42FA">
      <w:rPr>
        <w:rFonts w:ascii="Arial" w:eastAsiaTheme="minorEastAsia" w:hAnsi="Arial" w:cs="Arial"/>
      </w:rPr>
      <w:fldChar w:fldCharType="begin"/>
    </w:r>
    <w:r w:rsidR="00ED5825" w:rsidRPr="00FD42FA">
      <w:rPr>
        <w:rFonts w:ascii="Arial" w:hAnsi="Arial" w:cs="Arial"/>
      </w:rPr>
      <w:instrText xml:space="preserve"> PAGE   \* MERGEFORMAT </w:instrText>
    </w:r>
    <w:r w:rsidR="00ED5825" w:rsidRPr="00FD42FA">
      <w:rPr>
        <w:rFonts w:ascii="Arial" w:eastAsiaTheme="minorEastAsia" w:hAnsi="Arial" w:cs="Arial"/>
      </w:rPr>
      <w:fldChar w:fldCharType="separate"/>
    </w:r>
    <w:r w:rsidR="00ED5825">
      <w:rPr>
        <w:rFonts w:ascii="Arial" w:hAnsi="Arial" w:cs="Arial"/>
        <w:noProof/>
      </w:rPr>
      <w:t>1</w:t>
    </w:r>
    <w:r w:rsidR="00ED5825" w:rsidRPr="00FD42FA">
      <w:rPr>
        <w:rFonts w:ascii="Arial" w:hAnsi="Arial" w:cs="Arial"/>
        <w:noProof/>
      </w:rPr>
      <w:fldChar w:fldCharType="end"/>
    </w:r>
  </w:p>
  <w:p w14:paraId="6D03A7B1" w14:textId="77777777" w:rsidR="00ED5825" w:rsidRPr="009C31D3" w:rsidRDefault="00ED5825" w:rsidP="009C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F3AAE" w14:textId="77777777" w:rsidR="00C75470" w:rsidRDefault="00C75470" w:rsidP="004619BB">
      <w:pPr>
        <w:spacing w:after="0" w:line="240" w:lineRule="auto"/>
      </w:pPr>
      <w:r>
        <w:separator/>
      </w:r>
    </w:p>
    <w:p w14:paraId="019ADDA3" w14:textId="77777777" w:rsidR="00C75470" w:rsidRDefault="00C75470"/>
    <w:p w14:paraId="2D356113" w14:textId="77777777" w:rsidR="00C75470" w:rsidRDefault="00C75470"/>
  </w:footnote>
  <w:footnote w:type="continuationSeparator" w:id="0">
    <w:p w14:paraId="0A39AFED" w14:textId="77777777" w:rsidR="00C75470" w:rsidRDefault="00C75470" w:rsidP="004619BB">
      <w:pPr>
        <w:spacing w:after="0" w:line="240" w:lineRule="auto"/>
      </w:pPr>
      <w:r>
        <w:continuationSeparator/>
      </w:r>
    </w:p>
    <w:p w14:paraId="621EC8EC" w14:textId="77777777" w:rsidR="00C75470" w:rsidRDefault="00C75470"/>
    <w:p w14:paraId="520EFDEB" w14:textId="77777777" w:rsidR="00C75470" w:rsidRDefault="00C75470"/>
  </w:footnote>
  <w:footnote w:type="continuationNotice" w:id="1">
    <w:p w14:paraId="61A42402" w14:textId="77777777" w:rsidR="00C75470" w:rsidRDefault="00C75470">
      <w:pPr>
        <w:spacing w:after="0" w:line="240" w:lineRule="auto"/>
      </w:pPr>
    </w:p>
    <w:p w14:paraId="71065397" w14:textId="77777777" w:rsidR="00C75470" w:rsidRDefault="00C75470"/>
    <w:p w14:paraId="1AC1B328" w14:textId="77777777" w:rsidR="00C75470" w:rsidRDefault="00C754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31B0"/>
    <w:multiLevelType w:val="hybridMultilevel"/>
    <w:tmpl w:val="DD6C241E"/>
    <w:lvl w:ilvl="0" w:tplc="C062E0CA">
      <w:start w:val="1"/>
      <w:numFmt w:val="bullet"/>
      <w:pStyle w:val="BulletText2"/>
      <w:lvlText w:val="-"/>
      <w:lvlJc w:val="left"/>
      <w:pPr>
        <w:tabs>
          <w:tab w:val="num" w:pos="360"/>
        </w:tabs>
        <w:ind w:left="360" w:hanging="18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06325"/>
    <w:multiLevelType w:val="hybridMultilevel"/>
    <w:tmpl w:val="7C6848C0"/>
    <w:lvl w:ilvl="0" w:tplc="B824D8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067F22"/>
    <w:multiLevelType w:val="multilevel"/>
    <w:tmpl w:val="4364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273D6"/>
    <w:multiLevelType w:val="multilevel"/>
    <w:tmpl w:val="2F6E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A372E"/>
    <w:multiLevelType w:val="hybridMultilevel"/>
    <w:tmpl w:val="39667734"/>
    <w:lvl w:ilvl="0" w:tplc="94BEDD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5610EB"/>
    <w:multiLevelType w:val="multilevel"/>
    <w:tmpl w:val="512C5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9C3A46"/>
    <w:multiLevelType w:val="multilevel"/>
    <w:tmpl w:val="8196F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C41C4"/>
    <w:multiLevelType w:val="hybridMultilevel"/>
    <w:tmpl w:val="5D60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650B6"/>
    <w:multiLevelType w:val="multilevel"/>
    <w:tmpl w:val="3AE6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43517B"/>
    <w:multiLevelType w:val="hybridMultilevel"/>
    <w:tmpl w:val="517A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A05E9"/>
    <w:multiLevelType w:val="hybridMultilevel"/>
    <w:tmpl w:val="B9E6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10F5E"/>
    <w:multiLevelType w:val="multilevel"/>
    <w:tmpl w:val="96466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FF10CF"/>
    <w:multiLevelType w:val="hybridMultilevel"/>
    <w:tmpl w:val="85EE8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75612BF"/>
    <w:multiLevelType w:val="hybridMultilevel"/>
    <w:tmpl w:val="2132E6AC"/>
    <w:lvl w:ilvl="0" w:tplc="E13A2B2C">
      <w:start w:val="1"/>
      <w:numFmt w:val="decimal"/>
      <w:lvlText w:val="%1."/>
      <w:lvlJc w:val="left"/>
      <w:pPr>
        <w:ind w:left="720" w:hanging="360"/>
      </w:pPr>
      <w:rPr>
        <w:rFonts w:ascii="Arial" w:hAnsi="Arial" w:cs="Aria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F3E6CA5"/>
    <w:multiLevelType w:val="hybridMultilevel"/>
    <w:tmpl w:val="83C215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72E7F2D"/>
    <w:multiLevelType w:val="hybridMultilevel"/>
    <w:tmpl w:val="3392E1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96D2BC6"/>
    <w:multiLevelType w:val="hybridMultilevel"/>
    <w:tmpl w:val="32A8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011AD"/>
    <w:multiLevelType w:val="hybridMultilevel"/>
    <w:tmpl w:val="A5204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3DC74E6"/>
    <w:multiLevelType w:val="multilevel"/>
    <w:tmpl w:val="DB0CF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CD2409"/>
    <w:multiLevelType w:val="multilevel"/>
    <w:tmpl w:val="6F18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20038F"/>
    <w:multiLevelType w:val="multilevel"/>
    <w:tmpl w:val="539E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D65AF2"/>
    <w:multiLevelType w:val="multilevel"/>
    <w:tmpl w:val="7F00B2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02E1561"/>
    <w:multiLevelType w:val="hybridMultilevel"/>
    <w:tmpl w:val="AA44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DB3D68"/>
    <w:multiLevelType w:val="hybridMultilevel"/>
    <w:tmpl w:val="BC929DC4"/>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261A88"/>
    <w:multiLevelType w:val="multilevel"/>
    <w:tmpl w:val="2028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4A1402"/>
    <w:multiLevelType w:val="hybridMultilevel"/>
    <w:tmpl w:val="9B42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ED05C2"/>
    <w:multiLevelType w:val="multilevel"/>
    <w:tmpl w:val="00E6B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4239B5"/>
    <w:multiLevelType w:val="hybridMultilevel"/>
    <w:tmpl w:val="47AA9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E586EB9"/>
    <w:multiLevelType w:val="hybridMultilevel"/>
    <w:tmpl w:val="E5A20E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17B42A3"/>
    <w:multiLevelType w:val="hybridMultilevel"/>
    <w:tmpl w:val="45869A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72CA6F5A"/>
    <w:multiLevelType w:val="hybridMultilevel"/>
    <w:tmpl w:val="1AF81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92D7DB4"/>
    <w:multiLevelType w:val="multilevel"/>
    <w:tmpl w:val="75B4F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893FAC"/>
    <w:multiLevelType w:val="multilevel"/>
    <w:tmpl w:val="D4A0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0"/>
  </w:num>
  <w:num w:numId="3">
    <w:abstractNumId w:val="10"/>
  </w:num>
  <w:num w:numId="4">
    <w:abstractNumId w:val="16"/>
  </w:num>
  <w:num w:numId="5">
    <w:abstractNumId w:val="7"/>
  </w:num>
  <w:num w:numId="6">
    <w:abstractNumId w:val="3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5"/>
  </w:num>
  <w:num w:numId="11">
    <w:abstractNumId w:val="22"/>
  </w:num>
  <w:num w:numId="12">
    <w:abstractNumId w:val="25"/>
  </w:num>
  <w:num w:numId="13">
    <w:abstractNumId w:val="2"/>
  </w:num>
  <w:num w:numId="14">
    <w:abstractNumId w:val="32"/>
  </w:num>
  <w:num w:numId="15">
    <w:abstractNumId w:val="3"/>
  </w:num>
  <w:num w:numId="16">
    <w:abstractNumId w:val="20"/>
  </w:num>
  <w:num w:numId="17">
    <w:abstractNumId w:val="26"/>
  </w:num>
  <w:num w:numId="18">
    <w:abstractNumId w:val="19"/>
  </w:num>
  <w:num w:numId="19">
    <w:abstractNumId w:val="21"/>
  </w:num>
  <w:num w:numId="20">
    <w:abstractNumId w:val="8"/>
  </w:num>
  <w:num w:numId="21">
    <w:abstractNumId w:val="24"/>
  </w:num>
  <w:num w:numId="22">
    <w:abstractNumId w:val="27"/>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4"/>
  </w:num>
  <w:num w:numId="26">
    <w:abstractNumId w:val="1"/>
  </w:num>
  <w:num w:numId="27">
    <w:abstractNumId w:val="11"/>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4"/>
  </w:num>
  <w:num w:numId="31">
    <w:abstractNumId w:val="18"/>
  </w:num>
  <w:num w:numId="32">
    <w:abstractNumId w:val="17"/>
  </w:num>
  <w:num w:numId="33">
    <w:abstractNumId w:val="9"/>
  </w:num>
  <w:num w:numId="34">
    <w:abstractNumId w:val="31"/>
  </w:num>
  <w:num w:numId="3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D57"/>
    <w:rsid w:val="000015D6"/>
    <w:rsid w:val="00001A82"/>
    <w:rsid w:val="000027BC"/>
    <w:rsid w:val="0000457B"/>
    <w:rsid w:val="000056E3"/>
    <w:rsid w:val="00007221"/>
    <w:rsid w:val="00013D80"/>
    <w:rsid w:val="0001733C"/>
    <w:rsid w:val="0002032B"/>
    <w:rsid w:val="00020735"/>
    <w:rsid w:val="00020C49"/>
    <w:rsid w:val="00021FB3"/>
    <w:rsid w:val="0002601D"/>
    <w:rsid w:val="0003002C"/>
    <w:rsid w:val="00031185"/>
    <w:rsid w:val="000327A2"/>
    <w:rsid w:val="000332CA"/>
    <w:rsid w:val="00033C2C"/>
    <w:rsid w:val="00034669"/>
    <w:rsid w:val="00034AA6"/>
    <w:rsid w:val="00036E84"/>
    <w:rsid w:val="00040093"/>
    <w:rsid w:val="000402FE"/>
    <w:rsid w:val="000408DA"/>
    <w:rsid w:val="000413F6"/>
    <w:rsid w:val="00042EEC"/>
    <w:rsid w:val="00051513"/>
    <w:rsid w:val="000523AC"/>
    <w:rsid w:val="00054CD3"/>
    <w:rsid w:val="00060812"/>
    <w:rsid w:val="000615FB"/>
    <w:rsid w:val="00065051"/>
    <w:rsid w:val="00065555"/>
    <w:rsid w:val="00067CCC"/>
    <w:rsid w:val="00070FD0"/>
    <w:rsid w:val="00072357"/>
    <w:rsid w:val="00073699"/>
    <w:rsid w:val="00074FD4"/>
    <w:rsid w:val="00075459"/>
    <w:rsid w:val="0007553A"/>
    <w:rsid w:val="000758A1"/>
    <w:rsid w:val="00076BED"/>
    <w:rsid w:val="00077102"/>
    <w:rsid w:val="0008010F"/>
    <w:rsid w:val="00084E8E"/>
    <w:rsid w:val="00085BCF"/>
    <w:rsid w:val="0008633D"/>
    <w:rsid w:val="000879AC"/>
    <w:rsid w:val="000904E8"/>
    <w:rsid w:val="00091BD8"/>
    <w:rsid w:val="00092356"/>
    <w:rsid w:val="00092CC9"/>
    <w:rsid w:val="00097356"/>
    <w:rsid w:val="000A1AB7"/>
    <w:rsid w:val="000A32BE"/>
    <w:rsid w:val="000A495E"/>
    <w:rsid w:val="000A4CBE"/>
    <w:rsid w:val="000A7C8F"/>
    <w:rsid w:val="000B0231"/>
    <w:rsid w:val="000B1417"/>
    <w:rsid w:val="000B1CA6"/>
    <w:rsid w:val="000B2200"/>
    <w:rsid w:val="000B276D"/>
    <w:rsid w:val="000B4A46"/>
    <w:rsid w:val="000B5BC8"/>
    <w:rsid w:val="000B5D13"/>
    <w:rsid w:val="000B7C4F"/>
    <w:rsid w:val="000B7F6F"/>
    <w:rsid w:val="000C25D0"/>
    <w:rsid w:val="000C31C0"/>
    <w:rsid w:val="000C345A"/>
    <w:rsid w:val="000C7176"/>
    <w:rsid w:val="000C766F"/>
    <w:rsid w:val="000D124D"/>
    <w:rsid w:val="000D31E2"/>
    <w:rsid w:val="000D736D"/>
    <w:rsid w:val="000E0F6E"/>
    <w:rsid w:val="000E2F07"/>
    <w:rsid w:val="000E58C4"/>
    <w:rsid w:val="000E5929"/>
    <w:rsid w:val="000E77D8"/>
    <w:rsid w:val="000F010C"/>
    <w:rsid w:val="000F11AD"/>
    <w:rsid w:val="000F538B"/>
    <w:rsid w:val="000F7DBA"/>
    <w:rsid w:val="00101428"/>
    <w:rsid w:val="001025F1"/>
    <w:rsid w:val="00102B15"/>
    <w:rsid w:val="001035A1"/>
    <w:rsid w:val="001060CD"/>
    <w:rsid w:val="001062A8"/>
    <w:rsid w:val="00112820"/>
    <w:rsid w:val="00112C9B"/>
    <w:rsid w:val="00113106"/>
    <w:rsid w:val="00113A17"/>
    <w:rsid w:val="001159BF"/>
    <w:rsid w:val="001168CF"/>
    <w:rsid w:val="0011757A"/>
    <w:rsid w:val="00120852"/>
    <w:rsid w:val="00120FB0"/>
    <w:rsid w:val="00122B84"/>
    <w:rsid w:val="001231FC"/>
    <w:rsid w:val="001240E6"/>
    <w:rsid w:val="001242A8"/>
    <w:rsid w:val="00125690"/>
    <w:rsid w:val="00125B17"/>
    <w:rsid w:val="00126139"/>
    <w:rsid w:val="0013027B"/>
    <w:rsid w:val="00131A7E"/>
    <w:rsid w:val="0013214E"/>
    <w:rsid w:val="0013216F"/>
    <w:rsid w:val="001331A8"/>
    <w:rsid w:val="0013351B"/>
    <w:rsid w:val="00137DEB"/>
    <w:rsid w:val="00142203"/>
    <w:rsid w:val="00142D36"/>
    <w:rsid w:val="001522CE"/>
    <w:rsid w:val="00154FC2"/>
    <w:rsid w:val="00156511"/>
    <w:rsid w:val="0015685B"/>
    <w:rsid w:val="0015737A"/>
    <w:rsid w:val="00157672"/>
    <w:rsid w:val="0015783C"/>
    <w:rsid w:val="001607DC"/>
    <w:rsid w:val="001611A0"/>
    <w:rsid w:val="00161EB9"/>
    <w:rsid w:val="00163855"/>
    <w:rsid w:val="00165958"/>
    <w:rsid w:val="001671A0"/>
    <w:rsid w:val="00171D09"/>
    <w:rsid w:val="0017291E"/>
    <w:rsid w:val="00172F9A"/>
    <w:rsid w:val="00183DCA"/>
    <w:rsid w:val="00185062"/>
    <w:rsid w:val="001907CD"/>
    <w:rsid w:val="00192F69"/>
    <w:rsid w:val="00195F0A"/>
    <w:rsid w:val="00196221"/>
    <w:rsid w:val="00196B2A"/>
    <w:rsid w:val="001A0802"/>
    <w:rsid w:val="001A57BC"/>
    <w:rsid w:val="001A70A2"/>
    <w:rsid w:val="001B0C9F"/>
    <w:rsid w:val="001B1286"/>
    <w:rsid w:val="001B1A37"/>
    <w:rsid w:val="001B431B"/>
    <w:rsid w:val="001B4684"/>
    <w:rsid w:val="001B4CA9"/>
    <w:rsid w:val="001B51A3"/>
    <w:rsid w:val="001B5E92"/>
    <w:rsid w:val="001B77B2"/>
    <w:rsid w:val="001B7C93"/>
    <w:rsid w:val="001B7E78"/>
    <w:rsid w:val="001B7F38"/>
    <w:rsid w:val="001C063F"/>
    <w:rsid w:val="001C08F3"/>
    <w:rsid w:val="001C0E19"/>
    <w:rsid w:val="001C3277"/>
    <w:rsid w:val="001C71D4"/>
    <w:rsid w:val="001D27F2"/>
    <w:rsid w:val="001D2F98"/>
    <w:rsid w:val="001D3AC1"/>
    <w:rsid w:val="001D6150"/>
    <w:rsid w:val="001E076A"/>
    <w:rsid w:val="001E08F5"/>
    <w:rsid w:val="001E18EC"/>
    <w:rsid w:val="001E2473"/>
    <w:rsid w:val="001E3215"/>
    <w:rsid w:val="001E5258"/>
    <w:rsid w:val="001E5BC9"/>
    <w:rsid w:val="001E5D92"/>
    <w:rsid w:val="001E5DAB"/>
    <w:rsid w:val="001E5DCC"/>
    <w:rsid w:val="001E7CA6"/>
    <w:rsid w:val="001F065E"/>
    <w:rsid w:val="001F0994"/>
    <w:rsid w:val="0020095D"/>
    <w:rsid w:val="00200BA0"/>
    <w:rsid w:val="00201204"/>
    <w:rsid w:val="002015B7"/>
    <w:rsid w:val="00204000"/>
    <w:rsid w:val="00204AD2"/>
    <w:rsid w:val="00205246"/>
    <w:rsid w:val="00206BC3"/>
    <w:rsid w:val="00207578"/>
    <w:rsid w:val="00211AC5"/>
    <w:rsid w:val="00216F4E"/>
    <w:rsid w:val="00222327"/>
    <w:rsid w:val="002243F3"/>
    <w:rsid w:val="00225A21"/>
    <w:rsid w:val="00225B44"/>
    <w:rsid w:val="00227320"/>
    <w:rsid w:val="002274F0"/>
    <w:rsid w:val="00227CD2"/>
    <w:rsid w:val="00227EF9"/>
    <w:rsid w:val="00230858"/>
    <w:rsid w:val="00230C76"/>
    <w:rsid w:val="0023283A"/>
    <w:rsid w:val="00235BC3"/>
    <w:rsid w:val="00240AE1"/>
    <w:rsid w:val="00241BA2"/>
    <w:rsid w:val="00241F0B"/>
    <w:rsid w:val="00245CC5"/>
    <w:rsid w:val="00246495"/>
    <w:rsid w:val="002512FC"/>
    <w:rsid w:val="00251BF7"/>
    <w:rsid w:val="00251C7C"/>
    <w:rsid w:val="00252AA4"/>
    <w:rsid w:val="00253C2F"/>
    <w:rsid w:val="00263693"/>
    <w:rsid w:val="00263A0E"/>
    <w:rsid w:val="00264B9A"/>
    <w:rsid w:val="002650A5"/>
    <w:rsid w:val="0027058B"/>
    <w:rsid w:val="0027311A"/>
    <w:rsid w:val="00273B7E"/>
    <w:rsid w:val="00277192"/>
    <w:rsid w:val="00280040"/>
    <w:rsid w:val="00280641"/>
    <w:rsid w:val="002807BE"/>
    <w:rsid w:val="00280BC9"/>
    <w:rsid w:val="00285F7A"/>
    <w:rsid w:val="00286118"/>
    <w:rsid w:val="00286426"/>
    <w:rsid w:val="00286448"/>
    <w:rsid w:val="00287705"/>
    <w:rsid w:val="00290428"/>
    <w:rsid w:val="00293B89"/>
    <w:rsid w:val="0029437C"/>
    <w:rsid w:val="00294925"/>
    <w:rsid w:val="002A0D3E"/>
    <w:rsid w:val="002A2EEC"/>
    <w:rsid w:val="002A6645"/>
    <w:rsid w:val="002A75F1"/>
    <w:rsid w:val="002B099C"/>
    <w:rsid w:val="002B1305"/>
    <w:rsid w:val="002B3D46"/>
    <w:rsid w:val="002B6731"/>
    <w:rsid w:val="002B7668"/>
    <w:rsid w:val="002B7C22"/>
    <w:rsid w:val="002C00D4"/>
    <w:rsid w:val="002C0237"/>
    <w:rsid w:val="002C1D57"/>
    <w:rsid w:val="002C26AD"/>
    <w:rsid w:val="002C2DDE"/>
    <w:rsid w:val="002C41E0"/>
    <w:rsid w:val="002C4549"/>
    <w:rsid w:val="002C573B"/>
    <w:rsid w:val="002C59B2"/>
    <w:rsid w:val="002C74BD"/>
    <w:rsid w:val="002C7859"/>
    <w:rsid w:val="002D0C54"/>
    <w:rsid w:val="002D1B10"/>
    <w:rsid w:val="002D459A"/>
    <w:rsid w:val="002D46A5"/>
    <w:rsid w:val="002D5601"/>
    <w:rsid w:val="002D7B2A"/>
    <w:rsid w:val="002E009B"/>
    <w:rsid w:val="002E0839"/>
    <w:rsid w:val="002E1341"/>
    <w:rsid w:val="002E42E6"/>
    <w:rsid w:val="002E5C6C"/>
    <w:rsid w:val="002E64EF"/>
    <w:rsid w:val="002E7727"/>
    <w:rsid w:val="002F0CC3"/>
    <w:rsid w:val="002F2555"/>
    <w:rsid w:val="002F2E6F"/>
    <w:rsid w:val="002F3AEB"/>
    <w:rsid w:val="002F517A"/>
    <w:rsid w:val="002F5B9C"/>
    <w:rsid w:val="002F7FCB"/>
    <w:rsid w:val="00300326"/>
    <w:rsid w:val="0030160A"/>
    <w:rsid w:val="00301E0C"/>
    <w:rsid w:val="00302376"/>
    <w:rsid w:val="0030485E"/>
    <w:rsid w:val="003049DF"/>
    <w:rsid w:val="00305894"/>
    <w:rsid w:val="0031195D"/>
    <w:rsid w:val="00312124"/>
    <w:rsid w:val="00312D09"/>
    <w:rsid w:val="00312D9D"/>
    <w:rsid w:val="00314372"/>
    <w:rsid w:val="0031473B"/>
    <w:rsid w:val="00314A68"/>
    <w:rsid w:val="00314B98"/>
    <w:rsid w:val="00315014"/>
    <w:rsid w:val="003207A2"/>
    <w:rsid w:val="003217D3"/>
    <w:rsid w:val="00321AC7"/>
    <w:rsid w:val="003244D2"/>
    <w:rsid w:val="00325F42"/>
    <w:rsid w:val="003262B7"/>
    <w:rsid w:val="0032715A"/>
    <w:rsid w:val="003304A0"/>
    <w:rsid w:val="00330E51"/>
    <w:rsid w:val="0033182E"/>
    <w:rsid w:val="00331A65"/>
    <w:rsid w:val="00332B86"/>
    <w:rsid w:val="003330EA"/>
    <w:rsid w:val="003334F9"/>
    <w:rsid w:val="00334075"/>
    <w:rsid w:val="00334C58"/>
    <w:rsid w:val="00336CA4"/>
    <w:rsid w:val="00337ACD"/>
    <w:rsid w:val="00340153"/>
    <w:rsid w:val="00340396"/>
    <w:rsid w:val="00340C00"/>
    <w:rsid w:val="0034299F"/>
    <w:rsid w:val="00343038"/>
    <w:rsid w:val="003457C0"/>
    <w:rsid w:val="00347749"/>
    <w:rsid w:val="0035156A"/>
    <w:rsid w:val="0035406A"/>
    <w:rsid w:val="003540A8"/>
    <w:rsid w:val="00355973"/>
    <w:rsid w:val="00357F29"/>
    <w:rsid w:val="00360AA2"/>
    <w:rsid w:val="0036104B"/>
    <w:rsid w:val="003620E0"/>
    <w:rsid w:val="003626F6"/>
    <w:rsid w:val="00362CCB"/>
    <w:rsid w:val="00362D57"/>
    <w:rsid w:val="00366DC1"/>
    <w:rsid w:val="00366F5E"/>
    <w:rsid w:val="00366FF1"/>
    <w:rsid w:val="00370712"/>
    <w:rsid w:val="00370771"/>
    <w:rsid w:val="003707E8"/>
    <w:rsid w:val="00371CA2"/>
    <w:rsid w:val="00372A2E"/>
    <w:rsid w:val="00372BD9"/>
    <w:rsid w:val="00374287"/>
    <w:rsid w:val="0037585D"/>
    <w:rsid w:val="00377F9F"/>
    <w:rsid w:val="00381816"/>
    <w:rsid w:val="0038583E"/>
    <w:rsid w:val="00385B70"/>
    <w:rsid w:val="003875BF"/>
    <w:rsid w:val="00390181"/>
    <w:rsid w:val="00391412"/>
    <w:rsid w:val="00392CF6"/>
    <w:rsid w:val="00392E60"/>
    <w:rsid w:val="00393158"/>
    <w:rsid w:val="003945F6"/>
    <w:rsid w:val="00395097"/>
    <w:rsid w:val="00395147"/>
    <w:rsid w:val="0039606C"/>
    <w:rsid w:val="00396441"/>
    <w:rsid w:val="0039784E"/>
    <w:rsid w:val="003A1378"/>
    <w:rsid w:val="003A1509"/>
    <w:rsid w:val="003A1F09"/>
    <w:rsid w:val="003A2D26"/>
    <w:rsid w:val="003A3728"/>
    <w:rsid w:val="003A42F7"/>
    <w:rsid w:val="003A4342"/>
    <w:rsid w:val="003A6817"/>
    <w:rsid w:val="003A751D"/>
    <w:rsid w:val="003A78BB"/>
    <w:rsid w:val="003B0505"/>
    <w:rsid w:val="003B1105"/>
    <w:rsid w:val="003B135A"/>
    <w:rsid w:val="003B2CD9"/>
    <w:rsid w:val="003B2FE2"/>
    <w:rsid w:val="003B3E25"/>
    <w:rsid w:val="003B501D"/>
    <w:rsid w:val="003B6275"/>
    <w:rsid w:val="003B6380"/>
    <w:rsid w:val="003C18EF"/>
    <w:rsid w:val="003C2371"/>
    <w:rsid w:val="003C2622"/>
    <w:rsid w:val="003C3370"/>
    <w:rsid w:val="003C56B8"/>
    <w:rsid w:val="003C5CC0"/>
    <w:rsid w:val="003C7549"/>
    <w:rsid w:val="003C7AC3"/>
    <w:rsid w:val="003C7B45"/>
    <w:rsid w:val="003D23E9"/>
    <w:rsid w:val="003D260E"/>
    <w:rsid w:val="003D4CD5"/>
    <w:rsid w:val="003D4F94"/>
    <w:rsid w:val="003D5D83"/>
    <w:rsid w:val="003E2828"/>
    <w:rsid w:val="003E7E06"/>
    <w:rsid w:val="003F002E"/>
    <w:rsid w:val="003F1096"/>
    <w:rsid w:val="003F1886"/>
    <w:rsid w:val="003F197B"/>
    <w:rsid w:val="003F4E27"/>
    <w:rsid w:val="003F5C8C"/>
    <w:rsid w:val="00401EE7"/>
    <w:rsid w:val="00401F77"/>
    <w:rsid w:val="00402465"/>
    <w:rsid w:val="0040310A"/>
    <w:rsid w:val="004049C8"/>
    <w:rsid w:val="004061B9"/>
    <w:rsid w:val="00406984"/>
    <w:rsid w:val="004106ED"/>
    <w:rsid w:val="00410C44"/>
    <w:rsid w:val="00410F72"/>
    <w:rsid w:val="00413340"/>
    <w:rsid w:val="00413D82"/>
    <w:rsid w:val="00413E8A"/>
    <w:rsid w:val="00414ABF"/>
    <w:rsid w:val="0042012A"/>
    <w:rsid w:val="004218BC"/>
    <w:rsid w:val="004222A7"/>
    <w:rsid w:val="00423966"/>
    <w:rsid w:val="004240B8"/>
    <w:rsid w:val="00424784"/>
    <w:rsid w:val="00424B20"/>
    <w:rsid w:val="00424F70"/>
    <w:rsid w:val="004257DF"/>
    <w:rsid w:val="004266F5"/>
    <w:rsid w:val="00427B2D"/>
    <w:rsid w:val="00427F2C"/>
    <w:rsid w:val="00427FFD"/>
    <w:rsid w:val="00430A18"/>
    <w:rsid w:val="00432EE4"/>
    <w:rsid w:val="0043688E"/>
    <w:rsid w:val="0044016C"/>
    <w:rsid w:val="00441D33"/>
    <w:rsid w:val="00443183"/>
    <w:rsid w:val="004440EA"/>
    <w:rsid w:val="0044424E"/>
    <w:rsid w:val="004447E9"/>
    <w:rsid w:val="0044589F"/>
    <w:rsid w:val="00445BED"/>
    <w:rsid w:val="00446238"/>
    <w:rsid w:val="0044744C"/>
    <w:rsid w:val="00450744"/>
    <w:rsid w:val="0045207E"/>
    <w:rsid w:val="00454001"/>
    <w:rsid w:val="00454070"/>
    <w:rsid w:val="004619BB"/>
    <w:rsid w:val="00461D60"/>
    <w:rsid w:val="00461EB0"/>
    <w:rsid w:val="0046331C"/>
    <w:rsid w:val="00466CF2"/>
    <w:rsid w:val="00470CB1"/>
    <w:rsid w:val="004711E0"/>
    <w:rsid w:val="00471B3A"/>
    <w:rsid w:val="004729E9"/>
    <w:rsid w:val="00472F1E"/>
    <w:rsid w:val="00473E53"/>
    <w:rsid w:val="0047691E"/>
    <w:rsid w:val="00485470"/>
    <w:rsid w:val="0048750E"/>
    <w:rsid w:val="00487AC9"/>
    <w:rsid w:val="00491BCE"/>
    <w:rsid w:val="00494EA8"/>
    <w:rsid w:val="00495D2C"/>
    <w:rsid w:val="00496331"/>
    <w:rsid w:val="004967CB"/>
    <w:rsid w:val="004968E4"/>
    <w:rsid w:val="00497809"/>
    <w:rsid w:val="004A1084"/>
    <w:rsid w:val="004A10B2"/>
    <w:rsid w:val="004A13BF"/>
    <w:rsid w:val="004B0616"/>
    <w:rsid w:val="004B0D20"/>
    <w:rsid w:val="004B13F9"/>
    <w:rsid w:val="004B364A"/>
    <w:rsid w:val="004B4179"/>
    <w:rsid w:val="004B6075"/>
    <w:rsid w:val="004B6A65"/>
    <w:rsid w:val="004B6A70"/>
    <w:rsid w:val="004C078C"/>
    <w:rsid w:val="004C18BD"/>
    <w:rsid w:val="004C4D6C"/>
    <w:rsid w:val="004C62E4"/>
    <w:rsid w:val="004D0441"/>
    <w:rsid w:val="004D14F4"/>
    <w:rsid w:val="004D1F0A"/>
    <w:rsid w:val="004D397E"/>
    <w:rsid w:val="004D4F0A"/>
    <w:rsid w:val="004D580B"/>
    <w:rsid w:val="004D7F38"/>
    <w:rsid w:val="004E19CC"/>
    <w:rsid w:val="004E1DA6"/>
    <w:rsid w:val="004E6735"/>
    <w:rsid w:val="004E78AC"/>
    <w:rsid w:val="004F1996"/>
    <w:rsid w:val="004F3300"/>
    <w:rsid w:val="004F3DA0"/>
    <w:rsid w:val="004F699C"/>
    <w:rsid w:val="005018B0"/>
    <w:rsid w:val="005023A1"/>
    <w:rsid w:val="00502679"/>
    <w:rsid w:val="005027A5"/>
    <w:rsid w:val="005044C4"/>
    <w:rsid w:val="00504A50"/>
    <w:rsid w:val="00504AC2"/>
    <w:rsid w:val="005050CC"/>
    <w:rsid w:val="00505F69"/>
    <w:rsid w:val="00510196"/>
    <w:rsid w:val="00511870"/>
    <w:rsid w:val="00513B94"/>
    <w:rsid w:val="0051416A"/>
    <w:rsid w:val="00515EA6"/>
    <w:rsid w:val="005162F8"/>
    <w:rsid w:val="00517123"/>
    <w:rsid w:val="00517158"/>
    <w:rsid w:val="00517C4F"/>
    <w:rsid w:val="005200E2"/>
    <w:rsid w:val="0052108C"/>
    <w:rsid w:val="005217A3"/>
    <w:rsid w:val="00524882"/>
    <w:rsid w:val="00524B92"/>
    <w:rsid w:val="00525380"/>
    <w:rsid w:val="005256F6"/>
    <w:rsid w:val="00525B07"/>
    <w:rsid w:val="00525FAD"/>
    <w:rsid w:val="00527065"/>
    <w:rsid w:val="0052720A"/>
    <w:rsid w:val="00530337"/>
    <w:rsid w:val="0053079F"/>
    <w:rsid w:val="0053129B"/>
    <w:rsid w:val="0053205A"/>
    <w:rsid w:val="005328D8"/>
    <w:rsid w:val="00532B5F"/>
    <w:rsid w:val="00534AAC"/>
    <w:rsid w:val="005356B5"/>
    <w:rsid w:val="00536161"/>
    <w:rsid w:val="00536E58"/>
    <w:rsid w:val="0053707D"/>
    <w:rsid w:val="00537A9A"/>
    <w:rsid w:val="00540476"/>
    <w:rsid w:val="00540F2E"/>
    <w:rsid w:val="005419CB"/>
    <w:rsid w:val="00541F79"/>
    <w:rsid w:val="00545CC8"/>
    <w:rsid w:val="00546291"/>
    <w:rsid w:val="005462DB"/>
    <w:rsid w:val="00546F4B"/>
    <w:rsid w:val="00547C94"/>
    <w:rsid w:val="00550D58"/>
    <w:rsid w:val="005521E3"/>
    <w:rsid w:val="0055239A"/>
    <w:rsid w:val="0055371C"/>
    <w:rsid w:val="00553A79"/>
    <w:rsid w:val="00554306"/>
    <w:rsid w:val="00554CE3"/>
    <w:rsid w:val="00555F5B"/>
    <w:rsid w:val="005569EB"/>
    <w:rsid w:val="00556C6A"/>
    <w:rsid w:val="0056380C"/>
    <w:rsid w:val="0056385A"/>
    <w:rsid w:val="005641A8"/>
    <w:rsid w:val="005645DD"/>
    <w:rsid w:val="005660BC"/>
    <w:rsid w:val="00567E8F"/>
    <w:rsid w:val="0057049A"/>
    <w:rsid w:val="005706DF"/>
    <w:rsid w:val="0057122C"/>
    <w:rsid w:val="00571FBE"/>
    <w:rsid w:val="00572CE5"/>
    <w:rsid w:val="00572E48"/>
    <w:rsid w:val="00575F37"/>
    <w:rsid w:val="00576017"/>
    <w:rsid w:val="00581972"/>
    <w:rsid w:val="00584A70"/>
    <w:rsid w:val="00585CA2"/>
    <w:rsid w:val="00586C7D"/>
    <w:rsid w:val="005915C0"/>
    <w:rsid w:val="00591D35"/>
    <w:rsid w:val="00591D78"/>
    <w:rsid w:val="0059222E"/>
    <w:rsid w:val="00593D0A"/>
    <w:rsid w:val="005944C1"/>
    <w:rsid w:val="00594698"/>
    <w:rsid w:val="00597AC9"/>
    <w:rsid w:val="005A0C63"/>
    <w:rsid w:val="005A1CF6"/>
    <w:rsid w:val="005A226E"/>
    <w:rsid w:val="005A3DC6"/>
    <w:rsid w:val="005A640F"/>
    <w:rsid w:val="005A67DA"/>
    <w:rsid w:val="005B1AA8"/>
    <w:rsid w:val="005B4C00"/>
    <w:rsid w:val="005B5AA4"/>
    <w:rsid w:val="005B673A"/>
    <w:rsid w:val="005B6741"/>
    <w:rsid w:val="005C31B3"/>
    <w:rsid w:val="005C5DD2"/>
    <w:rsid w:val="005C6FA6"/>
    <w:rsid w:val="005C78E1"/>
    <w:rsid w:val="005D045D"/>
    <w:rsid w:val="005D07BC"/>
    <w:rsid w:val="005D3CC2"/>
    <w:rsid w:val="005D4BAF"/>
    <w:rsid w:val="005D7133"/>
    <w:rsid w:val="005E3BAF"/>
    <w:rsid w:val="005E41B3"/>
    <w:rsid w:val="005E67FA"/>
    <w:rsid w:val="005F1A7B"/>
    <w:rsid w:val="005F1E89"/>
    <w:rsid w:val="005F2F3A"/>
    <w:rsid w:val="005F42F8"/>
    <w:rsid w:val="005F5C99"/>
    <w:rsid w:val="005F6F48"/>
    <w:rsid w:val="00602931"/>
    <w:rsid w:val="00602B8C"/>
    <w:rsid w:val="006036CB"/>
    <w:rsid w:val="006044BB"/>
    <w:rsid w:val="00606B26"/>
    <w:rsid w:val="00606DD3"/>
    <w:rsid w:val="00607C5E"/>
    <w:rsid w:val="006110AA"/>
    <w:rsid w:val="006111FB"/>
    <w:rsid w:val="00615779"/>
    <w:rsid w:val="006165D5"/>
    <w:rsid w:val="00621080"/>
    <w:rsid w:val="00623BB4"/>
    <w:rsid w:val="00623E1C"/>
    <w:rsid w:val="00625ADE"/>
    <w:rsid w:val="00626F2B"/>
    <w:rsid w:val="00630E21"/>
    <w:rsid w:val="0063105E"/>
    <w:rsid w:val="00636706"/>
    <w:rsid w:val="00637BCC"/>
    <w:rsid w:val="006427F9"/>
    <w:rsid w:val="00643F33"/>
    <w:rsid w:val="006458B1"/>
    <w:rsid w:val="0064594F"/>
    <w:rsid w:val="006459D9"/>
    <w:rsid w:val="00645CF1"/>
    <w:rsid w:val="006479A2"/>
    <w:rsid w:val="006511A6"/>
    <w:rsid w:val="006516F9"/>
    <w:rsid w:val="00653FE3"/>
    <w:rsid w:val="006545D5"/>
    <w:rsid w:val="00654BA1"/>
    <w:rsid w:val="00657B36"/>
    <w:rsid w:val="00660B66"/>
    <w:rsid w:val="00661096"/>
    <w:rsid w:val="006610A1"/>
    <w:rsid w:val="00661F24"/>
    <w:rsid w:val="006649B5"/>
    <w:rsid w:val="00664A3A"/>
    <w:rsid w:val="006668D0"/>
    <w:rsid w:val="0067033A"/>
    <w:rsid w:val="00671485"/>
    <w:rsid w:val="00671FE4"/>
    <w:rsid w:val="00675D9E"/>
    <w:rsid w:val="006761E8"/>
    <w:rsid w:val="00676BDC"/>
    <w:rsid w:val="006829EA"/>
    <w:rsid w:val="006838FD"/>
    <w:rsid w:val="006848C7"/>
    <w:rsid w:val="00684B33"/>
    <w:rsid w:val="00686035"/>
    <w:rsid w:val="006904DD"/>
    <w:rsid w:val="00690964"/>
    <w:rsid w:val="0069180E"/>
    <w:rsid w:val="00691FC0"/>
    <w:rsid w:val="00695486"/>
    <w:rsid w:val="00696A95"/>
    <w:rsid w:val="006A02A0"/>
    <w:rsid w:val="006A0456"/>
    <w:rsid w:val="006A1D5E"/>
    <w:rsid w:val="006A3C58"/>
    <w:rsid w:val="006A426A"/>
    <w:rsid w:val="006A4C5D"/>
    <w:rsid w:val="006A6ED7"/>
    <w:rsid w:val="006A7487"/>
    <w:rsid w:val="006A7F43"/>
    <w:rsid w:val="006B0030"/>
    <w:rsid w:val="006B1E17"/>
    <w:rsid w:val="006B3092"/>
    <w:rsid w:val="006B3992"/>
    <w:rsid w:val="006B43B7"/>
    <w:rsid w:val="006B43B8"/>
    <w:rsid w:val="006B51F5"/>
    <w:rsid w:val="006C0FDF"/>
    <w:rsid w:val="006C197C"/>
    <w:rsid w:val="006C4464"/>
    <w:rsid w:val="006C475A"/>
    <w:rsid w:val="006C4971"/>
    <w:rsid w:val="006C6EE7"/>
    <w:rsid w:val="006D04FC"/>
    <w:rsid w:val="006D1028"/>
    <w:rsid w:val="006D20E3"/>
    <w:rsid w:val="006D21C1"/>
    <w:rsid w:val="006E0547"/>
    <w:rsid w:val="006E2B83"/>
    <w:rsid w:val="006E4C10"/>
    <w:rsid w:val="006E55DF"/>
    <w:rsid w:val="006E6CD9"/>
    <w:rsid w:val="006E7457"/>
    <w:rsid w:val="006E7875"/>
    <w:rsid w:val="006F0C40"/>
    <w:rsid w:val="006F0C98"/>
    <w:rsid w:val="006F3840"/>
    <w:rsid w:val="006F3DA0"/>
    <w:rsid w:val="006F4ADB"/>
    <w:rsid w:val="006F5BCE"/>
    <w:rsid w:val="006F6AAB"/>
    <w:rsid w:val="006F6BE0"/>
    <w:rsid w:val="006F74AA"/>
    <w:rsid w:val="006F77CD"/>
    <w:rsid w:val="007011B4"/>
    <w:rsid w:val="00701605"/>
    <w:rsid w:val="007036DF"/>
    <w:rsid w:val="007049F0"/>
    <w:rsid w:val="00705177"/>
    <w:rsid w:val="007065BB"/>
    <w:rsid w:val="00706EBC"/>
    <w:rsid w:val="00707540"/>
    <w:rsid w:val="00707725"/>
    <w:rsid w:val="00707BA8"/>
    <w:rsid w:val="00707EDC"/>
    <w:rsid w:val="00713AFE"/>
    <w:rsid w:val="00713B9F"/>
    <w:rsid w:val="00714C66"/>
    <w:rsid w:val="0071520E"/>
    <w:rsid w:val="00721EA5"/>
    <w:rsid w:val="00725A18"/>
    <w:rsid w:val="00730421"/>
    <w:rsid w:val="00730C74"/>
    <w:rsid w:val="00732344"/>
    <w:rsid w:val="00733DC5"/>
    <w:rsid w:val="00734984"/>
    <w:rsid w:val="00737FCE"/>
    <w:rsid w:val="00741A1F"/>
    <w:rsid w:val="0074308F"/>
    <w:rsid w:val="00744857"/>
    <w:rsid w:val="0074542E"/>
    <w:rsid w:val="00745BDA"/>
    <w:rsid w:val="007508FF"/>
    <w:rsid w:val="00751BE4"/>
    <w:rsid w:val="00751D1E"/>
    <w:rsid w:val="007529F5"/>
    <w:rsid w:val="00752FE5"/>
    <w:rsid w:val="00755F5F"/>
    <w:rsid w:val="0075632D"/>
    <w:rsid w:val="00762F3C"/>
    <w:rsid w:val="007653EB"/>
    <w:rsid w:val="0076668D"/>
    <w:rsid w:val="00770D15"/>
    <w:rsid w:val="00772375"/>
    <w:rsid w:val="007725A7"/>
    <w:rsid w:val="007728FA"/>
    <w:rsid w:val="007858BA"/>
    <w:rsid w:val="007873A4"/>
    <w:rsid w:val="00790A31"/>
    <w:rsid w:val="007914E5"/>
    <w:rsid w:val="00791992"/>
    <w:rsid w:val="007926EB"/>
    <w:rsid w:val="00794EC7"/>
    <w:rsid w:val="00796079"/>
    <w:rsid w:val="00796AE2"/>
    <w:rsid w:val="00796D98"/>
    <w:rsid w:val="007971C1"/>
    <w:rsid w:val="00797C54"/>
    <w:rsid w:val="00797FED"/>
    <w:rsid w:val="007A0723"/>
    <w:rsid w:val="007A16FA"/>
    <w:rsid w:val="007A2C3D"/>
    <w:rsid w:val="007A4F5E"/>
    <w:rsid w:val="007B1400"/>
    <w:rsid w:val="007B23BE"/>
    <w:rsid w:val="007B333C"/>
    <w:rsid w:val="007B56C0"/>
    <w:rsid w:val="007B6494"/>
    <w:rsid w:val="007B69E4"/>
    <w:rsid w:val="007B7795"/>
    <w:rsid w:val="007C0D05"/>
    <w:rsid w:val="007C1269"/>
    <w:rsid w:val="007C2EC6"/>
    <w:rsid w:val="007C2F2E"/>
    <w:rsid w:val="007C4864"/>
    <w:rsid w:val="007C637E"/>
    <w:rsid w:val="007C7D59"/>
    <w:rsid w:val="007D1468"/>
    <w:rsid w:val="007D1C80"/>
    <w:rsid w:val="007D2B16"/>
    <w:rsid w:val="007D2F8A"/>
    <w:rsid w:val="007D3428"/>
    <w:rsid w:val="007D46BB"/>
    <w:rsid w:val="007D7842"/>
    <w:rsid w:val="007D7D31"/>
    <w:rsid w:val="007E1231"/>
    <w:rsid w:val="007E168B"/>
    <w:rsid w:val="007E5C5E"/>
    <w:rsid w:val="007E7F9D"/>
    <w:rsid w:val="007F1730"/>
    <w:rsid w:val="007F2577"/>
    <w:rsid w:val="007F3719"/>
    <w:rsid w:val="007F3A1E"/>
    <w:rsid w:val="007F3E94"/>
    <w:rsid w:val="007F485F"/>
    <w:rsid w:val="007F4869"/>
    <w:rsid w:val="007F5644"/>
    <w:rsid w:val="007F603B"/>
    <w:rsid w:val="007F6937"/>
    <w:rsid w:val="007F6C31"/>
    <w:rsid w:val="007F70C0"/>
    <w:rsid w:val="007F7CF9"/>
    <w:rsid w:val="00801A8B"/>
    <w:rsid w:val="00802BE8"/>
    <w:rsid w:val="008036C5"/>
    <w:rsid w:val="00803B5C"/>
    <w:rsid w:val="0080423F"/>
    <w:rsid w:val="00805292"/>
    <w:rsid w:val="008075FE"/>
    <w:rsid w:val="00810948"/>
    <w:rsid w:val="0081348E"/>
    <w:rsid w:val="008144F0"/>
    <w:rsid w:val="008145DF"/>
    <w:rsid w:val="00815E5F"/>
    <w:rsid w:val="00817730"/>
    <w:rsid w:val="0082017C"/>
    <w:rsid w:val="008216C0"/>
    <w:rsid w:val="00821F11"/>
    <w:rsid w:val="00822000"/>
    <w:rsid w:val="00822708"/>
    <w:rsid w:val="00822CED"/>
    <w:rsid w:val="008241F9"/>
    <w:rsid w:val="00824543"/>
    <w:rsid w:val="008260FD"/>
    <w:rsid w:val="00826508"/>
    <w:rsid w:val="00826516"/>
    <w:rsid w:val="00827082"/>
    <w:rsid w:val="008274FC"/>
    <w:rsid w:val="00830568"/>
    <w:rsid w:val="008310F8"/>
    <w:rsid w:val="00831801"/>
    <w:rsid w:val="008322C1"/>
    <w:rsid w:val="0083234B"/>
    <w:rsid w:val="008339C4"/>
    <w:rsid w:val="008342B0"/>
    <w:rsid w:val="00835C52"/>
    <w:rsid w:val="00836C6F"/>
    <w:rsid w:val="00836F47"/>
    <w:rsid w:val="008401B6"/>
    <w:rsid w:val="008409BC"/>
    <w:rsid w:val="00840B47"/>
    <w:rsid w:val="00841521"/>
    <w:rsid w:val="0084266E"/>
    <w:rsid w:val="00851798"/>
    <w:rsid w:val="00853488"/>
    <w:rsid w:val="0085440E"/>
    <w:rsid w:val="00855AEB"/>
    <w:rsid w:val="00856559"/>
    <w:rsid w:val="008565E4"/>
    <w:rsid w:val="00862278"/>
    <w:rsid w:val="00863438"/>
    <w:rsid w:val="00865503"/>
    <w:rsid w:val="00867F0B"/>
    <w:rsid w:val="008705BD"/>
    <w:rsid w:val="00871389"/>
    <w:rsid w:val="00873BB0"/>
    <w:rsid w:val="00875025"/>
    <w:rsid w:val="008760EC"/>
    <w:rsid w:val="00876A38"/>
    <w:rsid w:val="008830F3"/>
    <w:rsid w:val="008838BB"/>
    <w:rsid w:val="00883FCF"/>
    <w:rsid w:val="0088474C"/>
    <w:rsid w:val="0088479A"/>
    <w:rsid w:val="00884DEF"/>
    <w:rsid w:val="00886CF4"/>
    <w:rsid w:val="00893649"/>
    <w:rsid w:val="0089403A"/>
    <w:rsid w:val="00894483"/>
    <w:rsid w:val="00896674"/>
    <w:rsid w:val="00896D4A"/>
    <w:rsid w:val="00897A48"/>
    <w:rsid w:val="00897DF6"/>
    <w:rsid w:val="008A05D6"/>
    <w:rsid w:val="008A23F9"/>
    <w:rsid w:val="008A3883"/>
    <w:rsid w:val="008A4425"/>
    <w:rsid w:val="008A452D"/>
    <w:rsid w:val="008A465E"/>
    <w:rsid w:val="008A46EC"/>
    <w:rsid w:val="008A5662"/>
    <w:rsid w:val="008A6950"/>
    <w:rsid w:val="008A74F0"/>
    <w:rsid w:val="008A760B"/>
    <w:rsid w:val="008B592F"/>
    <w:rsid w:val="008B5B27"/>
    <w:rsid w:val="008B5BBF"/>
    <w:rsid w:val="008B6C05"/>
    <w:rsid w:val="008B6CC9"/>
    <w:rsid w:val="008B6ECE"/>
    <w:rsid w:val="008B7A07"/>
    <w:rsid w:val="008C28CC"/>
    <w:rsid w:val="008C2D64"/>
    <w:rsid w:val="008C4A9B"/>
    <w:rsid w:val="008C4AD3"/>
    <w:rsid w:val="008C5FDF"/>
    <w:rsid w:val="008C6F2E"/>
    <w:rsid w:val="008C7272"/>
    <w:rsid w:val="008C7947"/>
    <w:rsid w:val="008D1696"/>
    <w:rsid w:val="008D1E68"/>
    <w:rsid w:val="008D21F1"/>
    <w:rsid w:val="008D2D68"/>
    <w:rsid w:val="008D35CD"/>
    <w:rsid w:val="008D45A6"/>
    <w:rsid w:val="008D545A"/>
    <w:rsid w:val="008D5814"/>
    <w:rsid w:val="008D5844"/>
    <w:rsid w:val="008D5F17"/>
    <w:rsid w:val="008D7F0E"/>
    <w:rsid w:val="008E09EB"/>
    <w:rsid w:val="008E0C68"/>
    <w:rsid w:val="008E19EA"/>
    <w:rsid w:val="008E407D"/>
    <w:rsid w:val="008E4387"/>
    <w:rsid w:val="008E478E"/>
    <w:rsid w:val="008E7082"/>
    <w:rsid w:val="008F0431"/>
    <w:rsid w:val="008F189A"/>
    <w:rsid w:val="008F2F73"/>
    <w:rsid w:val="008F3D95"/>
    <w:rsid w:val="008F60AF"/>
    <w:rsid w:val="008F735D"/>
    <w:rsid w:val="008F7FB7"/>
    <w:rsid w:val="00901B7C"/>
    <w:rsid w:val="0090451C"/>
    <w:rsid w:val="009058C3"/>
    <w:rsid w:val="00905FDB"/>
    <w:rsid w:val="009064BF"/>
    <w:rsid w:val="00907C97"/>
    <w:rsid w:val="009100E8"/>
    <w:rsid w:val="00910262"/>
    <w:rsid w:val="00910797"/>
    <w:rsid w:val="00912501"/>
    <w:rsid w:val="00913350"/>
    <w:rsid w:val="00914A7A"/>
    <w:rsid w:val="00914C2C"/>
    <w:rsid w:val="009150A4"/>
    <w:rsid w:val="00916135"/>
    <w:rsid w:val="00916314"/>
    <w:rsid w:val="00917DA4"/>
    <w:rsid w:val="0092097F"/>
    <w:rsid w:val="009213B3"/>
    <w:rsid w:val="00922153"/>
    <w:rsid w:val="00922366"/>
    <w:rsid w:val="0092622B"/>
    <w:rsid w:val="0093116E"/>
    <w:rsid w:val="009314E4"/>
    <w:rsid w:val="009316E1"/>
    <w:rsid w:val="0093205E"/>
    <w:rsid w:val="00932431"/>
    <w:rsid w:val="0093387E"/>
    <w:rsid w:val="00933CD4"/>
    <w:rsid w:val="00936003"/>
    <w:rsid w:val="0093634D"/>
    <w:rsid w:val="00936386"/>
    <w:rsid w:val="00937807"/>
    <w:rsid w:val="009440B4"/>
    <w:rsid w:val="0094426C"/>
    <w:rsid w:val="009468E4"/>
    <w:rsid w:val="00946C52"/>
    <w:rsid w:val="009505A6"/>
    <w:rsid w:val="009510D6"/>
    <w:rsid w:val="009562F9"/>
    <w:rsid w:val="009600BE"/>
    <w:rsid w:val="00961809"/>
    <w:rsid w:val="009626F2"/>
    <w:rsid w:val="00962741"/>
    <w:rsid w:val="00962D1E"/>
    <w:rsid w:val="00962E29"/>
    <w:rsid w:val="00963441"/>
    <w:rsid w:val="00964BE7"/>
    <w:rsid w:val="00965B77"/>
    <w:rsid w:val="00965D70"/>
    <w:rsid w:val="00966853"/>
    <w:rsid w:val="00967654"/>
    <w:rsid w:val="00967B63"/>
    <w:rsid w:val="00970CD6"/>
    <w:rsid w:val="00971322"/>
    <w:rsid w:val="00972679"/>
    <w:rsid w:val="00974992"/>
    <w:rsid w:val="009753C3"/>
    <w:rsid w:val="00975DE1"/>
    <w:rsid w:val="00976946"/>
    <w:rsid w:val="00976FFA"/>
    <w:rsid w:val="00980EF2"/>
    <w:rsid w:val="00981739"/>
    <w:rsid w:val="00981C37"/>
    <w:rsid w:val="00983A32"/>
    <w:rsid w:val="00983D94"/>
    <w:rsid w:val="0098448F"/>
    <w:rsid w:val="00985213"/>
    <w:rsid w:val="0098733F"/>
    <w:rsid w:val="00987982"/>
    <w:rsid w:val="00990696"/>
    <w:rsid w:val="00991683"/>
    <w:rsid w:val="0099216D"/>
    <w:rsid w:val="00992FC2"/>
    <w:rsid w:val="00995719"/>
    <w:rsid w:val="009969C5"/>
    <w:rsid w:val="009977C5"/>
    <w:rsid w:val="00997E75"/>
    <w:rsid w:val="009A017C"/>
    <w:rsid w:val="009A0901"/>
    <w:rsid w:val="009A1727"/>
    <w:rsid w:val="009A1A35"/>
    <w:rsid w:val="009A26C4"/>
    <w:rsid w:val="009A2F8F"/>
    <w:rsid w:val="009A33F0"/>
    <w:rsid w:val="009A5557"/>
    <w:rsid w:val="009A59FF"/>
    <w:rsid w:val="009A659E"/>
    <w:rsid w:val="009A6949"/>
    <w:rsid w:val="009A6C90"/>
    <w:rsid w:val="009B04C9"/>
    <w:rsid w:val="009B1685"/>
    <w:rsid w:val="009B3C2C"/>
    <w:rsid w:val="009B49B7"/>
    <w:rsid w:val="009B4B1A"/>
    <w:rsid w:val="009B4CD0"/>
    <w:rsid w:val="009B7246"/>
    <w:rsid w:val="009C05A0"/>
    <w:rsid w:val="009C1240"/>
    <w:rsid w:val="009C1AE5"/>
    <w:rsid w:val="009C31D3"/>
    <w:rsid w:val="009C3980"/>
    <w:rsid w:val="009C6147"/>
    <w:rsid w:val="009C620A"/>
    <w:rsid w:val="009C6A57"/>
    <w:rsid w:val="009D0593"/>
    <w:rsid w:val="009D060A"/>
    <w:rsid w:val="009D168B"/>
    <w:rsid w:val="009D1EEA"/>
    <w:rsid w:val="009D3354"/>
    <w:rsid w:val="009D4CE3"/>
    <w:rsid w:val="009D71D0"/>
    <w:rsid w:val="009E2E84"/>
    <w:rsid w:val="009E3DE3"/>
    <w:rsid w:val="009E5AF7"/>
    <w:rsid w:val="009E7CA5"/>
    <w:rsid w:val="009E7D96"/>
    <w:rsid w:val="009F2C78"/>
    <w:rsid w:val="009F455B"/>
    <w:rsid w:val="009F46C8"/>
    <w:rsid w:val="009F5991"/>
    <w:rsid w:val="009F7D34"/>
    <w:rsid w:val="00A00090"/>
    <w:rsid w:val="00A00349"/>
    <w:rsid w:val="00A00748"/>
    <w:rsid w:val="00A00A6D"/>
    <w:rsid w:val="00A00A9A"/>
    <w:rsid w:val="00A00D54"/>
    <w:rsid w:val="00A01D97"/>
    <w:rsid w:val="00A06513"/>
    <w:rsid w:val="00A06716"/>
    <w:rsid w:val="00A06BFC"/>
    <w:rsid w:val="00A11924"/>
    <w:rsid w:val="00A12DE6"/>
    <w:rsid w:val="00A13A76"/>
    <w:rsid w:val="00A143FE"/>
    <w:rsid w:val="00A15186"/>
    <w:rsid w:val="00A17E02"/>
    <w:rsid w:val="00A2408A"/>
    <w:rsid w:val="00A2589F"/>
    <w:rsid w:val="00A25C9F"/>
    <w:rsid w:val="00A25EC6"/>
    <w:rsid w:val="00A26559"/>
    <w:rsid w:val="00A27599"/>
    <w:rsid w:val="00A30BE4"/>
    <w:rsid w:val="00A35412"/>
    <w:rsid w:val="00A36B76"/>
    <w:rsid w:val="00A36F12"/>
    <w:rsid w:val="00A40D3E"/>
    <w:rsid w:val="00A43C31"/>
    <w:rsid w:val="00A458B5"/>
    <w:rsid w:val="00A47A55"/>
    <w:rsid w:val="00A47D94"/>
    <w:rsid w:val="00A500B4"/>
    <w:rsid w:val="00A51E3F"/>
    <w:rsid w:val="00A5717C"/>
    <w:rsid w:val="00A57314"/>
    <w:rsid w:val="00A63CDD"/>
    <w:rsid w:val="00A6441A"/>
    <w:rsid w:val="00A71EDC"/>
    <w:rsid w:val="00A740F0"/>
    <w:rsid w:val="00A80C9D"/>
    <w:rsid w:val="00A8246F"/>
    <w:rsid w:val="00A83732"/>
    <w:rsid w:val="00A85556"/>
    <w:rsid w:val="00A87C81"/>
    <w:rsid w:val="00A87D31"/>
    <w:rsid w:val="00A90064"/>
    <w:rsid w:val="00A911BF"/>
    <w:rsid w:val="00A9148A"/>
    <w:rsid w:val="00A927B9"/>
    <w:rsid w:val="00A94D0D"/>
    <w:rsid w:val="00A95F9E"/>
    <w:rsid w:val="00A977EA"/>
    <w:rsid w:val="00AA125F"/>
    <w:rsid w:val="00AA2DB6"/>
    <w:rsid w:val="00AA3DC4"/>
    <w:rsid w:val="00AA6344"/>
    <w:rsid w:val="00AA6C4A"/>
    <w:rsid w:val="00AA74F6"/>
    <w:rsid w:val="00AA7E76"/>
    <w:rsid w:val="00AB0A38"/>
    <w:rsid w:val="00AB0F7F"/>
    <w:rsid w:val="00AB2C8D"/>
    <w:rsid w:val="00AB2D06"/>
    <w:rsid w:val="00AB4598"/>
    <w:rsid w:val="00AB5270"/>
    <w:rsid w:val="00AB6C8F"/>
    <w:rsid w:val="00AB6F09"/>
    <w:rsid w:val="00AB7B2E"/>
    <w:rsid w:val="00AC0628"/>
    <w:rsid w:val="00AC1608"/>
    <w:rsid w:val="00AC361B"/>
    <w:rsid w:val="00AC4D81"/>
    <w:rsid w:val="00AC7B3F"/>
    <w:rsid w:val="00AD1970"/>
    <w:rsid w:val="00AD1A55"/>
    <w:rsid w:val="00AD1D59"/>
    <w:rsid w:val="00AD493B"/>
    <w:rsid w:val="00AD6801"/>
    <w:rsid w:val="00AE07B7"/>
    <w:rsid w:val="00AE0DA2"/>
    <w:rsid w:val="00AE4047"/>
    <w:rsid w:val="00AE4A14"/>
    <w:rsid w:val="00AE6341"/>
    <w:rsid w:val="00AF368D"/>
    <w:rsid w:val="00AF54C8"/>
    <w:rsid w:val="00B003A0"/>
    <w:rsid w:val="00B01D0A"/>
    <w:rsid w:val="00B01F9B"/>
    <w:rsid w:val="00B02287"/>
    <w:rsid w:val="00B02B2C"/>
    <w:rsid w:val="00B05941"/>
    <w:rsid w:val="00B06081"/>
    <w:rsid w:val="00B1152A"/>
    <w:rsid w:val="00B12A2A"/>
    <w:rsid w:val="00B13DEC"/>
    <w:rsid w:val="00B15CDB"/>
    <w:rsid w:val="00B175B0"/>
    <w:rsid w:val="00B2118C"/>
    <w:rsid w:val="00B22381"/>
    <w:rsid w:val="00B230A1"/>
    <w:rsid w:val="00B23991"/>
    <w:rsid w:val="00B24342"/>
    <w:rsid w:val="00B27BC6"/>
    <w:rsid w:val="00B315EC"/>
    <w:rsid w:val="00B328A3"/>
    <w:rsid w:val="00B356D7"/>
    <w:rsid w:val="00B3627F"/>
    <w:rsid w:val="00B362C5"/>
    <w:rsid w:val="00B3641D"/>
    <w:rsid w:val="00B3727B"/>
    <w:rsid w:val="00B3799D"/>
    <w:rsid w:val="00B420C9"/>
    <w:rsid w:val="00B42E7C"/>
    <w:rsid w:val="00B45E6B"/>
    <w:rsid w:val="00B479C1"/>
    <w:rsid w:val="00B50947"/>
    <w:rsid w:val="00B51D15"/>
    <w:rsid w:val="00B52CE0"/>
    <w:rsid w:val="00B57E8D"/>
    <w:rsid w:val="00B6111D"/>
    <w:rsid w:val="00B62672"/>
    <w:rsid w:val="00B633F0"/>
    <w:rsid w:val="00B64803"/>
    <w:rsid w:val="00B650A1"/>
    <w:rsid w:val="00B6622F"/>
    <w:rsid w:val="00B6659F"/>
    <w:rsid w:val="00B701FD"/>
    <w:rsid w:val="00B70D53"/>
    <w:rsid w:val="00B7357E"/>
    <w:rsid w:val="00B7373E"/>
    <w:rsid w:val="00B73840"/>
    <w:rsid w:val="00B73DF0"/>
    <w:rsid w:val="00B7409C"/>
    <w:rsid w:val="00B744C7"/>
    <w:rsid w:val="00B76B9E"/>
    <w:rsid w:val="00B778F6"/>
    <w:rsid w:val="00B77F71"/>
    <w:rsid w:val="00B818F9"/>
    <w:rsid w:val="00B83ED1"/>
    <w:rsid w:val="00B8408E"/>
    <w:rsid w:val="00B85A4A"/>
    <w:rsid w:val="00B85BFF"/>
    <w:rsid w:val="00B90F21"/>
    <w:rsid w:val="00B9200C"/>
    <w:rsid w:val="00B94736"/>
    <w:rsid w:val="00B9566B"/>
    <w:rsid w:val="00BA0233"/>
    <w:rsid w:val="00BA16E9"/>
    <w:rsid w:val="00BA50FE"/>
    <w:rsid w:val="00BA53D7"/>
    <w:rsid w:val="00BA58E1"/>
    <w:rsid w:val="00BA7C0B"/>
    <w:rsid w:val="00BA7E31"/>
    <w:rsid w:val="00BB0F72"/>
    <w:rsid w:val="00BB0FB7"/>
    <w:rsid w:val="00BB1A1E"/>
    <w:rsid w:val="00BB3EBA"/>
    <w:rsid w:val="00BB4D90"/>
    <w:rsid w:val="00BB539C"/>
    <w:rsid w:val="00BB6347"/>
    <w:rsid w:val="00BB7764"/>
    <w:rsid w:val="00BC0666"/>
    <w:rsid w:val="00BC0C5C"/>
    <w:rsid w:val="00BC1320"/>
    <w:rsid w:val="00BC471A"/>
    <w:rsid w:val="00BC5231"/>
    <w:rsid w:val="00BC53A6"/>
    <w:rsid w:val="00BD01C4"/>
    <w:rsid w:val="00BD1008"/>
    <w:rsid w:val="00BD2335"/>
    <w:rsid w:val="00BD2DB9"/>
    <w:rsid w:val="00BD4D1A"/>
    <w:rsid w:val="00BD5432"/>
    <w:rsid w:val="00BD58FE"/>
    <w:rsid w:val="00BD6BD7"/>
    <w:rsid w:val="00BD74F4"/>
    <w:rsid w:val="00BE12DC"/>
    <w:rsid w:val="00BE182D"/>
    <w:rsid w:val="00BE1D9C"/>
    <w:rsid w:val="00BE22DB"/>
    <w:rsid w:val="00BE2B2E"/>
    <w:rsid w:val="00BE47AA"/>
    <w:rsid w:val="00BE4BBB"/>
    <w:rsid w:val="00BE6FCB"/>
    <w:rsid w:val="00BE7810"/>
    <w:rsid w:val="00BE7D27"/>
    <w:rsid w:val="00BF0091"/>
    <w:rsid w:val="00BF4172"/>
    <w:rsid w:val="00BF4860"/>
    <w:rsid w:val="00BF68D9"/>
    <w:rsid w:val="00BF7186"/>
    <w:rsid w:val="00BF7BAE"/>
    <w:rsid w:val="00C00438"/>
    <w:rsid w:val="00C0059F"/>
    <w:rsid w:val="00C01611"/>
    <w:rsid w:val="00C024CD"/>
    <w:rsid w:val="00C030C4"/>
    <w:rsid w:val="00C0456F"/>
    <w:rsid w:val="00C0578F"/>
    <w:rsid w:val="00C07638"/>
    <w:rsid w:val="00C07733"/>
    <w:rsid w:val="00C1163F"/>
    <w:rsid w:val="00C12235"/>
    <w:rsid w:val="00C1514D"/>
    <w:rsid w:val="00C16AEC"/>
    <w:rsid w:val="00C16E1F"/>
    <w:rsid w:val="00C21D13"/>
    <w:rsid w:val="00C22012"/>
    <w:rsid w:val="00C26CCA"/>
    <w:rsid w:val="00C314AC"/>
    <w:rsid w:val="00C32614"/>
    <w:rsid w:val="00C32749"/>
    <w:rsid w:val="00C32D30"/>
    <w:rsid w:val="00C34144"/>
    <w:rsid w:val="00C34B89"/>
    <w:rsid w:val="00C360B1"/>
    <w:rsid w:val="00C409C3"/>
    <w:rsid w:val="00C421CF"/>
    <w:rsid w:val="00C443C3"/>
    <w:rsid w:val="00C47FD4"/>
    <w:rsid w:val="00C51249"/>
    <w:rsid w:val="00C54E38"/>
    <w:rsid w:val="00C55A0C"/>
    <w:rsid w:val="00C60231"/>
    <w:rsid w:val="00C6096B"/>
    <w:rsid w:val="00C61A7A"/>
    <w:rsid w:val="00C61D7B"/>
    <w:rsid w:val="00C61E64"/>
    <w:rsid w:val="00C63277"/>
    <w:rsid w:val="00C6376C"/>
    <w:rsid w:val="00C64603"/>
    <w:rsid w:val="00C64EFC"/>
    <w:rsid w:val="00C656B6"/>
    <w:rsid w:val="00C65971"/>
    <w:rsid w:val="00C65B92"/>
    <w:rsid w:val="00C65C2C"/>
    <w:rsid w:val="00C71363"/>
    <w:rsid w:val="00C7239C"/>
    <w:rsid w:val="00C72A8C"/>
    <w:rsid w:val="00C75470"/>
    <w:rsid w:val="00C805CD"/>
    <w:rsid w:val="00C82543"/>
    <w:rsid w:val="00C83F8F"/>
    <w:rsid w:val="00C8430A"/>
    <w:rsid w:val="00C8533D"/>
    <w:rsid w:val="00C86F78"/>
    <w:rsid w:val="00C91622"/>
    <w:rsid w:val="00C918D5"/>
    <w:rsid w:val="00C921A9"/>
    <w:rsid w:val="00C946AE"/>
    <w:rsid w:val="00C97049"/>
    <w:rsid w:val="00CA1522"/>
    <w:rsid w:val="00CA2FD2"/>
    <w:rsid w:val="00CA331F"/>
    <w:rsid w:val="00CA3627"/>
    <w:rsid w:val="00CA3D6B"/>
    <w:rsid w:val="00CA507E"/>
    <w:rsid w:val="00CA5E3D"/>
    <w:rsid w:val="00CA7AFC"/>
    <w:rsid w:val="00CB2A2E"/>
    <w:rsid w:val="00CB52AE"/>
    <w:rsid w:val="00CC141A"/>
    <w:rsid w:val="00CC53C8"/>
    <w:rsid w:val="00CC7A7C"/>
    <w:rsid w:val="00CD01D5"/>
    <w:rsid w:val="00CD0CCB"/>
    <w:rsid w:val="00CD1A3D"/>
    <w:rsid w:val="00CD1EAE"/>
    <w:rsid w:val="00CD1EDE"/>
    <w:rsid w:val="00CD204C"/>
    <w:rsid w:val="00CD5A9A"/>
    <w:rsid w:val="00CD5DD3"/>
    <w:rsid w:val="00CD66A5"/>
    <w:rsid w:val="00CE32B3"/>
    <w:rsid w:val="00CE53C8"/>
    <w:rsid w:val="00CE7EA4"/>
    <w:rsid w:val="00CF0D93"/>
    <w:rsid w:val="00D0004A"/>
    <w:rsid w:val="00D019B3"/>
    <w:rsid w:val="00D02A2C"/>
    <w:rsid w:val="00D03F28"/>
    <w:rsid w:val="00D06462"/>
    <w:rsid w:val="00D07CE0"/>
    <w:rsid w:val="00D07ED2"/>
    <w:rsid w:val="00D100A8"/>
    <w:rsid w:val="00D10FC5"/>
    <w:rsid w:val="00D148E6"/>
    <w:rsid w:val="00D2029D"/>
    <w:rsid w:val="00D21997"/>
    <w:rsid w:val="00D21EA2"/>
    <w:rsid w:val="00D2385E"/>
    <w:rsid w:val="00D23925"/>
    <w:rsid w:val="00D2423B"/>
    <w:rsid w:val="00D24D81"/>
    <w:rsid w:val="00D24ED7"/>
    <w:rsid w:val="00D31BC1"/>
    <w:rsid w:val="00D32469"/>
    <w:rsid w:val="00D33457"/>
    <w:rsid w:val="00D342B9"/>
    <w:rsid w:val="00D3669D"/>
    <w:rsid w:val="00D36F4D"/>
    <w:rsid w:val="00D3777A"/>
    <w:rsid w:val="00D414D2"/>
    <w:rsid w:val="00D4359C"/>
    <w:rsid w:val="00D44FB0"/>
    <w:rsid w:val="00D47D99"/>
    <w:rsid w:val="00D50C4A"/>
    <w:rsid w:val="00D5170B"/>
    <w:rsid w:val="00D536A7"/>
    <w:rsid w:val="00D54BD4"/>
    <w:rsid w:val="00D55355"/>
    <w:rsid w:val="00D55520"/>
    <w:rsid w:val="00D5561F"/>
    <w:rsid w:val="00D57784"/>
    <w:rsid w:val="00D606B7"/>
    <w:rsid w:val="00D607B5"/>
    <w:rsid w:val="00D642E0"/>
    <w:rsid w:val="00D655FB"/>
    <w:rsid w:val="00D668B0"/>
    <w:rsid w:val="00D67E74"/>
    <w:rsid w:val="00D71C45"/>
    <w:rsid w:val="00D72421"/>
    <w:rsid w:val="00D72EF5"/>
    <w:rsid w:val="00D72FEA"/>
    <w:rsid w:val="00D80B51"/>
    <w:rsid w:val="00D80F87"/>
    <w:rsid w:val="00D82445"/>
    <w:rsid w:val="00D85839"/>
    <w:rsid w:val="00D86266"/>
    <w:rsid w:val="00D86897"/>
    <w:rsid w:val="00D87877"/>
    <w:rsid w:val="00D904BE"/>
    <w:rsid w:val="00D909C2"/>
    <w:rsid w:val="00D911D2"/>
    <w:rsid w:val="00D91A2D"/>
    <w:rsid w:val="00D91D88"/>
    <w:rsid w:val="00D91E0D"/>
    <w:rsid w:val="00D92E21"/>
    <w:rsid w:val="00D93FF9"/>
    <w:rsid w:val="00D94150"/>
    <w:rsid w:val="00D94355"/>
    <w:rsid w:val="00D946B1"/>
    <w:rsid w:val="00D97805"/>
    <w:rsid w:val="00DA13E1"/>
    <w:rsid w:val="00DA253E"/>
    <w:rsid w:val="00DA3CDE"/>
    <w:rsid w:val="00DA3F16"/>
    <w:rsid w:val="00DA4673"/>
    <w:rsid w:val="00DA4C9A"/>
    <w:rsid w:val="00DA5B43"/>
    <w:rsid w:val="00DA5B74"/>
    <w:rsid w:val="00DB31DF"/>
    <w:rsid w:val="00DB46B6"/>
    <w:rsid w:val="00DB477A"/>
    <w:rsid w:val="00DB47C7"/>
    <w:rsid w:val="00DB5B62"/>
    <w:rsid w:val="00DB7D42"/>
    <w:rsid w:val="00DC1CD9"/>
    <w:rsid w:val="00DC2E5F"/>
    <w:rsid w:val="00DC5F79"/>
    <w:rsid w:val="00DC5FB0"/>
    <w:rsid w:val="00DC7B43"/>
    <w:rsid w:val="00DD20D4"/>
    <w:rsid w:val="00DD2445"/>
    <w:rsid w:val="00DD2909"/>
    <w:rsid w:val="00DD4888"/>
    <w:rsid w:val="00DD4ADF"/>
    <w:rsid w:val="00DE075E"/>
    <w:rsid w:val="00DE14E5"/>
    <w:rsid w:val="00DE20E9"/>
    <w:rsid w:val="00DE2ADA"/>
    <w:rsid w:val="00DE2CC2"/>
    <w:rsid w:val="00DE39F2"/>
    <w:rsid w:val="00DE5A6C"/>
    <w:rsid w:val="00DE5B71"/>
    <w:rsid w:val="00DE6A1E"/>
    <w:rsid w:val="00DE74C7"/>
    <w:rsid w:val="00DE76F4"/>
    <w:rsid w:val="00DF206D"/>
    <w:rsid w:val="00DF21F9"/>
    <w:rsid w:val="00DF2D04"/>
    <w:rsid w:val="00DF3235"/>
    <w:rsid w:val="00DF5215"/>
    <w:rsid w:val="00DF62C7"/>
    <w:rsid w:val="00DF6E2F"/>
    <w:rsid w:val="00E0196B"/>
    <w:rsid w:val="00E025EF"/>
    <w:rsid w:val="00E02D5D"/>
    <w:rsid w:val="00E04870"/>
    <w:rsid w:val="00E0544A"/>
    <w:rsid w:val="00E1126B"/>
    <w:rsid w:val="00E12EDB"/>
    <w:rsid w:val="00E13BA5"/>
    <w:rsid w:val="00E15582"/>
    <w:rsid w:val="00E155CB"/>
    <w:rsid w:val="00E21219"/>
    <w:rsid w:val="00E21A99"/>
    <w:rsid w:val="00E22314"/>
    <w:rsid w:val="00E22590"/>
    <w:rsid w:val="00E2474A"/>
    <w:rsid w:val="00E30362"/>
    <w:rsid w:val="00E31857"/>
    <w:rsid w:val="00E31E52"/>
    <w:rsid w:val="00E3612B"/>
    <w:rsid w:val="00E37AFB"/>
    <w:rsid w:val="00E40230"/>
    <w:rsid w:val="00E41EB7"/>
    <w:rsid w:val="00E42FC0"/>
    <w:rsid w:val="00E435C4"/>
    <w:rsid w:val="00E473AB"/>
    <w:rsid w:val="00E47F83"/>
    <w:rsid w:val="00E50229"/>
    <w:rsid w:val="00E50F6D"/>
    <w:rsid w:val="00E52A01"/>
    <w:rsid w:val="00E53675"/>
    <w:rsid w:val="00E542C5"/>
    <w:rsid w:val="00E562DD"/>
    <w:rsid w:val="00E61D3C"/>
    <w:rsid w:val="00E62C35"/>
    <w:rsid w:val="00E62EEE"/>
    <w:rsid w:val="00E63C77"/>
    <w:rsid w:val="00E63DE2"/>
    <w:rsid w:val="00E67CA4"/>
    <w:rsid w:val="00E70CCD"/>
    <w:rsid w:val="00E72680"/>
    <w:rsid w:val="00E744B5"/>
    <w:rsid w:val="00E7451B"/>
    <w:rsid w:val="00E75027"/>
    <w:rsid w:val="00E75ED7"/>
    <w:rsid w:val="00E76441"/>
    <w:rsid w:val="00E772E0"/>
    <w:rsid w:val="00E81EEB"/>
    <w:rsid w:val="00E82797"/>
    <w:rsid w:val="00E839B2"/>
    <w:rsid w:val="00E872FC"/>
    <w:rsid w:val="00E90068"/>
    <w:rsid w:val="00E905FD"/>
    <w:rsid w:val="00E907DE"/>
    <w:rsid w:val="00E9094F"/>
    <w:rsid w:val="00E91B08"/>
    <w:rsid w:val="00E92662"/>
    <w:rsid w:val="00E930AE"/>
    <w:rsid w:val="00E932B0"/>
    <w:rsid w:val="00E95970"/>
    <w:rsid w:val="00EA0762"/>
    <w:rsid w:val="00EA274C"/>
    <w:rsid w:val="00EA2BE2"/>
    <w:rsid w:val="00EA2FD8"/>
    <w:rsid w:val="00EA3EDD"/>
    <w:rsid w:val="00EA557A"/>
    <w:rsid w:val="00EA78A8"/>
    <w:rsid w:val="00EB2D7C"/>
    <w:rsid w:val="00EB4963"/>
    <w:rsid w:val="00EB4BF2"/>
    <w:rsid w:val="00EB5D18"/>
    <w:rsid w:val="00EB784A"/>
    <w:rsid w:val="00EC1DB2"/>
    <w:rsid w:val="00EC1F34"/>
    <w:rsid w:val="00EC28C2"/>
    <w:rsid w:val="00EC3339"/>
    <w:rsid w:val="00EC3CD3"/>
    <w:rsid w:val="00EC5514"/>
    <w:rsid w:val="00EC737A"/>
    <w:rsid w:val="00EC7522"/>
    <w:rsid w:val="00EC7AE9"/>
    <w:rsid w:val="00ED0076"/>
    <w:rsid w:val="00ED2364"/>
    <w:rsid w:val="00ED2903"/>
    <w:rsid w:val="00ED3386"/>
    <w:rsid w:val="00ED5825"/>
    <w:rsid w:val="00ED74CE"/>
    <w:rsid w:val="00EE00C1"/>
    <w:rsid w:val="00EE1B87"/>
    <w:rsid w:val="00EE36ED"/>
    <w:rsid w:val="00EE6729"/>
    <w:rsid w:val="00EE704A"/>
    <w:rsid w:val="00EE7E8F"/>
    <w:rsid w:val="00EF0834"/>
    <w:rsid w:val="00EF090A"/>
    <w:rsid w:val="00EF2D51"/>
    <w:rsid w:val="00EF3923"/>
    <w:rsid w:val="00EF5002"/>
    <w:rsid w:val="00EF5AA3"/>
    <w:rsid w:val="00EF5AE1"/>
    <w:rsid w:val="00EF641C"/>
    <w:rsid w:val="00EF673F"/>
    <w:rsid w:val="00F03205"/>
    <w:rsid w:val="00F05BA7"/>
    <w:rsid w:val="00F0614B"/>
    <w:rsid w:val="00F07F7D"/>
    <w:rsid w:val="00F1047F"/>
    <w:rsid w:val="00F10791"/>
    <w:rsid w:val="00F10A4D"/>
    <w:rsid w:val="00F11D25"/>
    <w:rsid w:val="00F1208C"/>
    <w:rsid w:val="00F1382D"/>
    <w:rsid w:val="00F13A24"/>
    <w:rsid w:val="00F14338"/>
    <w:rsid w:val="00F15789"/>
    <w:rsid w:val="00F15BB3"/>
    <w:rsid w:val="00F15E32"/>
    <w:rsid w:val="00F16AB1"/>
    <w:rsid w:val="00F1748A"/>
    <w:rsid w:val="00F174D7"/>
    <w:rsid w:val="00F2173F"/>
    <w:rsid w:val="00F23094"/>
    <w:rsid w:val="00F23355"/>
    <w:rsid w:val="00F26CFD"/>
    <w:rsid w:val="00F26DEF"/>
    <w:rsid w:val="00F33873"/>
    <w:rsid w:val="00F345DE"/>
    <w:rsid w:val="00F37A53"/>
    <w:rsid w:val="00F37B29"/>
    <w:rsid w:val="00F40EA0"/>
    <w:rsid w:val="00F454E4"/>
    <w:rsid w:val="00F466A9"/>
    <w:rsid w:val="00F46BF2"/>
    <w:rsid w:val="00F503BC"/>
    <w:rsid w:val="00F509C9"/>
    <w:rsid w:val="00F51C35"/>
    <w:rsid w:val="00F53709"/>
    <w:rsid w:val="00F53B5F"/>
    <w:rsid w:val="00F55033"/>
    <w:rsid w:val="00F56EF6"/>
    <w:rsid w:val="00F622F2"/>
    <w:rsid w:val="00F63319"/>
    <w:rsid w:val="00F6429C"/>
    <w:rsid w:val="00F64447"/>
    <w:rsid w:val="00F64A5E"/>
    <w:rsid w:val="00F66662"/>
    <w:rsid w:val="00F66BE7"/>
    <w:rsid w:val="00F7043F"/>
    <w:rsid w:val="00F72535"/>
    <w:rsid w:val="00F729E6"/>
    <w:rsid w:val="00F734F5"/>
    <w:rsid w:val="00F73803"/>
    <w:rsid w:val="00F75F9D"/>
    <w:rsid w:val="00F76ADD"/>
    <w:rsid w:val="00F7721F"/>
    <w:rsid w:val="00F776C8"/>
    <w:rsid w:val="00F82362"/>
    <w:rsid w:val="00F82C43"/>
    <w:rsid w:val="00F82CAF"/>
    <w:rsid w:val="00F837FE"/>
    <w:rsid w:val="00F84FCB"/>
    <w:rsid w:val="00F860B2"/>
    <w:rsid w:val="00F8709A"/>
    <w:rsid w:val="00F87D9F"/>
    <w:rsid w:val="00F9015A"/>
    <w:rsid w:val="00F90271"/>
    <w:rsid w:val="00F917D4"/>
    <w:rsid w:val="00F942B1"/>
    <w:rsid w:val="00F9438D"/>
    <w:rsid w:val="00F948BB"/>
    <w:rsid w:val="00F96B67"/>
    <w:rsid w:val="00F96E68"/>
    <w:rsid w:val="00F971DB"/>
    <w:rsid w:val="00F97FC8"/>
    <w:rsid w:val="00FA47E8"/>
    <w:rsid w:val="00FA52C6"/>
    <w:rsid w:val="00FB053D"/>
    <w:rsid w:val="00FB136E"/>
    <w:rsid w:val="00FB4CCE"/>
    <w:rsid w:val="00FB5F20"/>
    <w:rsid w:val="00FB72A0"/>
    <w:rsid w:val="00FC07D4"/>
    <w:rsid w:val="00FC1967"/>
    <w:rsid w:val="00FC2F0D"/>
    <w:rsid w:val="00FC5B7E"/>
    <w:rsid w:val="00FC7A14"/>
    <w:rsid w:val="00FC7C4B"/>
    <w:rsid w:val="00FD3411"/>
    <w:rsid w:val="00FD3997"/>
    <w:rsid w:val="00FD4EFA"/>
    <w:rsid w:val="00FD5517"/>
    <w:rsid w:val="00FD56A4"/>
    <w:rsid w:val="00FE059C"/>
    <w:rsid w:val="00FE2905"/>
    <w:rsid w:val="00FE4126"/>
    <w:rsid w:val="00FE6B3A"/>
    <w:rsid w:val="00FF11EF"/>
    <w:rsid w:val="00FF1B5D"/>
    <w:rsid w:val="00FF2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B700E"/>
  <w15:docId w15:val="{10AFEA46-7C98-4CB2-941A-3580E0E2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0064"/>
    <w:rPr>
      <w:rFonts w:ascii="Times New Roman" w:hAnsi="Times New Roman"/>
      <w:sz w:val="24"/>
    </w:rPr>
  </w:style>
  <w:style w:type="paragraph" w:styleId="Heading1">
    <w:name w:val="heading 1"/>
    <w:basedOn w:val="Normal"/>
    <w:next w:val="Normal"/>
    <w:link w:val="Heading1Char"/>
    <w:uiPriority w:val="9"/>
    <w:qFormat/>
    <w:rsid w:val="00D71C4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D71C45"/>
    <w:pPr>
      <w:pBdr>
        <w:bottom w:val="single" w:sz="4" w:space="1" w:color="622423" w:themeColor="accent2" w:themeShade="7F"/>
      </w:pBdr>
      <w:spacing w:before="400"/>
      <w:jc w:val="center"/>
      <w:outlineLvl w:val="1"/>
    </w:pPr>
    <w:rPr>
      <w:caps/>
      <w:color w:val="632423" w:themeColor="accent2" w:themeShade="80"/>
      <w:spacing w:val="15"/>
      <w:szCs w:val="24"/>
    </w:rPr>
  </w:style>
  <w:style w:type="paragraph" w:styleId="Heading3">
    <w:name w:val="heading 3"/>
    <w:basedOn w:val="Normal"/>
    <w:next w:val="Normal"/>
    <w:link w:val="Heading3Char"/>
    <w:uiPriority w:val="9"/>
    <w:semiHidden/>
    <w:unhideWhenUsed/>
    <w:qFormat/>
    <w:rsid w:val="00D71C4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D71C45"/>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D71C45"/>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D71C45"/>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D71C45"/>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D71C4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71C4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D57"/>
    <w:rPr>
      <w:rFonts w:ascii="Tahoma" w:hAnsi="Tahoma" w:cs="Tahoma"/>
      <w:sz w:val="16"/>
      <w:szCs w:val="16"/>
    </w:rPr>
  </w:style>
  <w:style w:type="character" w:customStyle="1" w:styleId="Heading1Char">
    <w:name w:val="Heading 1 Char"/>
    <w:basedOn w:val="DefaultParagraphFont"/>
    <w:link w:val="Heading1"/>
    <w:uiPriority w:val="9"/>
    <w:rsid w:val="00D71C45"/>
    <w:rPr>
      <w:caps/>
      <w:color w:val="632423" w:themeColor="accent2" w:themeShade="80"/>
      <w:spacing w:val="20"/>
      <w:sz w:val="28"/>
      <w:szCs w:val="28"/>
    </w:rPr>
  </w:style>
  <w:style w:type="character" w:styleId="Hyperlink">
    <w:name w:val="Hyperlink"/>
    <w:uiPriority w:val="99"/>
    <w:rsid w:val="004619BB"/>
    <w:rPr>
      <w:color w:val="0000FF"/>
      <w:u w:val="single"/>
    </w:rPr>
  </w:style>
  <w:style w:type="paragraph" w:styleId="TOCHeading">
    <w:name w:val="TOC Heading"/>
    <w:basedOn w:val="Heading1"/>
    <w:next w:val="Normal"/>
    <w:uiPriority w:val="39"/>
    <w:semiHidden/>
    <w:unhideWhenUsed/>
    <w:qFormat/>
    <w:rsid w:val="00D71C45"/>
    <w:pPr>
      <w:outlineLvl w:val="9"/>
    </w:pPr>
    <w:rPr>
      <w:lang w:bidi="en-US"/>
    </w:rPr>
  </w:style>
  <w:style w:type="paragraph" w:styleId="TOC1">
    <w:name w:val="toc 1"/>
    <w:basedOn w:val="Normal"/>
    <w:next w:val="Normal"/>
    <w:autoRedefine/>
    <w:uiPriority w:val="39"/>
    <w:unhideWhenUsed/>
    <w:rsid w:val="00165958"/>
    <w:pPr>
      <w:tabs>
        <w:tab w:val="right" w:leader="dot" w:pos="9350"/>
      </w:tabs>
      <w:spacing w:after="100" w:line="240" w:lineRule="auto"/>
    </w:pPr>
    <w:rPr>
      <w:rFonts w:ascii="Arial" w:hAnsi="Arial" w:cs="Arial"/>
      <w:noProof/>
    </w:rPr>
  </w:style>
  <w:style w:type="paragraph" w:styleId="ListParagraph">
    <w:name w:val="List Paragraph"/>
    <w:basedOn w:val="Normal"/>
    <w:link w:val="ListParagraphChar"/>
    <w:uiPriority w:val="34"/>
    <w:qFormat/>
    <w:rsid w:val="00D71C45"/>
    <w:pPr>
      <w:ind w:left="720"/>
      <w:contextualSpacing/>
    </w:pPr>
  </w:style>
  <w:style w:type="paragraph" w:styleId="NoSpacing">
    <w:name w:val="No Spacing"/>
    <w:basedOn w:val="Normal"/>
    <w:link w:val="NoSpacingChar"/>
    <w:uiPriority w:val="1"/>
    <w:qFormat/>
    <w:rsid w:val="00113106"/>
    <w:pPr>
      <w:spacing w:after="0" w:line="240" w:lineRule="auto"/>
    </w:pPr>
  </w:style>
  <w:style w:type="paragraph" w:styleId="Header">
    <w:name w:val="header"/>
    <w:basedOn w:val="Normal"/>
    <w:link w:val="HeaderChar"/>
    <w:uiPriority w:val="99"/>
    <w:unhideWhenUsed/>
    <w:rsid w:val="00461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9BB"/>
    <w:rPr>
      <w:rFonts w:ascii="Calibri" w:hAnsi="Calibri" w:cs="Times New Roman"/>
      <w:sz w:val="20"/>
      <w:szCs w:val="20"/>
    </w:rPr>
  </w:style>
  <w:style w:type="paragraph" w:styleId="Footer">
    <w:name w:val="footer"/>
    <w:basedOn w:val="Normal"/>
    <w:link w:val="FooterChar"/>
    <w:uiPriority w:val="99"/>
    <w:unhideWhenUsed/>
    <w:rsid w:val="00461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9BB"/>
    <w:rPr>
      <w:rFonts w:ascii="Calibri" w:hAnsi="Calibri" w:cs="Times New Roman"/>
      <w:sz w:val="20"/>
      <w:szCs w:val="20"/>
    </w:rPr>
  </w:style>
  <w:style w:type="character" w:styleId="PageNumber">
    <w:name w:val="page number"/>
    <w:basedOn w:val="DefaultParagraphFont"/>
    <w:rsid w:val="004619BB"/>
  </w:style>
  <w:style w:type="paragraph" w:customStyle="1" w:styleId="Footer-Professional">
    <w:name w:val="Footer - Professional"/>
    <w:basedOn w:val="Footer"/>
    <w:rsid w:val="004619BB"/>
    <w:pPr>
      <w:pBdr>
        <w:top w:val="single" w:sz="36" w:space="1" w:color="000080"/>
      </w:pBdr>
      <w:tabs>
        <w:tab w:val="clear" w:pos="4680"/>
        <w:tab w:val="clear" w:pos="9360"/>
        <w:tab w:val="center" w:pos="4320"/>
        <w:tab w:val="right" w:pos="8640"/>
      </w:tabs>
      <w:jc w:val="center"/>
    </w:pPr>
    <w:rPr>
      <w:rFonts w:ascii="Arial Black" w:eastAsia="Times New Roman" w:hAnsi="Arial Black"/>
      <w:color w:val="000080"/>
      <w:sz w:val="16"/>
    </w:rPr>
  </w:style>
  <w:style w:type="character" w:styleId="CommentReference">
    <w:name w:val="annotation reference"/>
    <w:basedOn w:val="DefaultParagraphFont"/>
    <w:unhideWhenUsed/>
    <w:rsid w:val="004619BB"/>
    <w:rPr>
      <w:sz w:val="16"/>
      <w:szCs w:val="16"/>
    </w:rPr>
  </w:style>
  <w:style w:type="paragraph" w:styleId="CommentText">
    <w:name w:val="annotation text"/>
    <w:basedOn w:val="Normal"/>
    <w:link w:val="CommentTextChar"/>
    <w:unhideWhenUsed/>
    <w:rsid w:val="004619BB"/>
    <w:pPr>
      <w:spacing w:line="240" w:lineRule="auto"/>
    </w:pPr>
  </w:style>
  <w:style w:type="character" w:customStyle="1" w:styleId="CommentTextChar">
    <w:name w:val="Comment Text Char"/>
    <w:basedOn w:val="DefaultParagraphFont"/>
    <w:link w:val="CommentText"/>
    <w:rsid w:val="004619B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619BB"/>
    <w:rPr>
      <w:b/>
      <w:bCs/>
    </w:rPr>
  </w:style>
  <w:style w:type="character" w:customStyle="1" w:styleId="CommentSubjectChar">
    <w:name w:val="Comment Subject Char"/>
    <w:basedOn w:val="CommentTextChar"/>
    <w:link w:val="CommentSubject"/>
    <w:uiPriority w:val="99"/>
    <w:semiHidden/>
    <w:rsid w:val="004619BB"/>
    <w:rPr>
      <w:rFonts w:ascii="Calibri" w:hAnsi="Calibri" w:cs="Times New Roman"/>
      <w:b/>
      <w:bCs/>
      <w:sz w:val="20"/>
      <w:szCs w:val="20"/>
    </w:rPr>
  </w:style>
  <w:style w:type="character" w:styleId="FollowedHyperlink">
    <w:name w:val="FollowedHyperlink"/>
    <w:basedOn w:val="DefaultParagraphFont"/>
    <w:uiPriority w:val="99"/>
    <w:semiHidden/>
    <w:unhideWhenUsed/>
    <w:rsid w:val="009510D6"/>
    <w:rPr>
      <w:color w:val="800080" w:themeColor="followedHyperlink"/>
      <w:u w:val="single"/>
    </w:rPr>
  </w:style>
  <w:style w:type="table" w:styleId="TableGrid">
    <w:name w:val="Table Grid"/>
    <w:basedOn w:val="TableNormal"/>
    <w:uiPriority w:val="59"/>
    <w:rsid w:val="00A8555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unhideWhenUsed/>
    <w:qFormat/>
    <w:rsid w:val="00CB2A2E"/>
    <w:pPr>
      <w:spacing w:after="0" w:line="240" w:lineRule="auto"/>
    </w:pPr>
    <w:rPr>
      <w:rFonts w:eastAsiaTheme="minorHAnsi"/>
      <w:color w:val="000000"/>
      <w:szCs w:val="24"/>
    </w:rPr>
  </w:style>
  <w:style w:type="paragraph" w:customStyle="1" w:styleId="BulletText1">
    <w:name w:val="Bullet Text 1"/>
    <w:basedOn w:val="Normal"/>
    <w:qFormat/>
    <w:rsid w:val="00CB2A2E"/>
    <w:pPr>
      <w:numPr>
        <w:numId w:val="1"/>
      </w:numPr>
      <w:spacing w:after="0" w:line="240" w:lineRule="auto"/>
    </w:pPr>
    <w:rPr>
      <w:rFonts w:eastAsiaTheme="minorHAnsi"/>
      <w:color w:val="000000"/>
      <w:szCs w:val="24"/>
    </w:rPr>
  </w:style>
  <w:style w:type="paragraph" w:customStyle="1" w:styleId="BulletText2">
    <w:name w:val="Bullet Text 2"/>
    <w:basedOn w:val="Normal"/>
    <w:uiPriority w:val="99"/>
    <w:rsid w:val="00CB2A2E"/>
    <w:pPr>
      <w:numPr>
        <w:numId w:val="2"/>
      </w:numPr>
      <w:spacing w:after="0" w:line="240" w:lineRule="auto"/>
    </w:pPr>
    <w:rPr>
      <w:rFonts w:eastAsiaTheme="minorHAnsi"/>
      <w:color w:val="000000"/>
      <w:szCs w:val="24"/>
    </w:rPr>
  </w:style>
  <w:style w:type="paragraph" w:customStyle="1" w:styleId="TableText">
    <w:name w:val="Table Text"/>
    <w:basedOn w:val="Normal"/>
    <w:uiPriority w:val="99"/>
    <w:rsid w:val="00CB2A2E"/>
    <w:pPr>
      <w:spacing w:after="0" w:line="240" w:lineRule="auto"/>
    </w:pPr>
    <w:rPr>
      <w:rFonts w:eastAsiaTheme="minorHAnsi"/>
      <w:color w:val="000000"/>
      <w:szCs w:val="24"/>
    </w:rPr>
  </w:style>
  <w:style w:type="paragraph" w:styleId="Revision">
    <w:name w:val="Revision"/>
    <w:hidden/>
    <w:uiPriority w:val="99"/>
    <w:semiHidden/>
    <w:rsid w:val="008B7A07"/>
    <w:pPr>
      <w:spacing w:after="0" w:line="240" w:lineRule="auto"/>
    </w:pPr>
    <w:rPr>
      <w:rFonts w:ascii="Calibri" w:hAnsi="Calibri" w:cs="Times New Roman"/>
      <w:sz w:val="20"/>
      <w:szCs w:val="20"/>
    </w:rPr>
  </w:style>
  <w:style w:type="paragraph" w:styleId="NormalWeb">
    <w:name w:val="Normal (Web)"/>
    <w:basedOn w:val="Normal"/>
    <w:uiPriority w:val="99"/>
    <w:unhideWhenUsed/>
    <w:rsid w:val="008E4387"/>
    <w:pPr>
      <w:spacing w:before="100" w:beforeAutospacing="1" w:after="100" w:afterAutospacing="1" w:line="240" w:lineRule="auto"/>
    </w:pPr>
    <w:rPr>
      <w:rFonts w:eastAsiaTheme="minorHAnsi"/>
      <w:szCs w:val="24"/>
    </w:rPr>
  </w:style>
  <w:style w:type="character" w:customStyle="1" w:styleId="id-mask">
    <w:name w:val="id-mask"/>
    <w:basedOn w:val="DefaultParagraphFont"/>
    <w:rsid w:val="001E5258"/>
  </w:style>
  <w:style w:type="paragraph" w:styleId="BodyText">
    <w:name w:val="Body Text"/>
    <w:basedOn w:val="Normal"/>
    <w:link w:val="BodyTextChar"/>
    <w:semiHidden/>
    <w:unhideWhenUsed/>
    <w:rsid w:val="001E5258"/>
    <w:pPr>
      <w:spacing w:after="120" w:line="240" w:lineRule="auto"/>
    </w:pPr>
    <w:rPr>
      <w:rFonts w:eastAsia="Times New Roman"/>
    </w:rPr>
  </w:style>
  <w:style w:type="character" w:customStyle="1" w:styleId="BodyTextChar">
    <w:name w:val="Body Text Char"/>
    <w:basedOn w:val="DefaultParagraphFont"/>
    <w:link w:val="BodyText"/>
    <w:semiHidden/>
    <w:rsid w:val="001E5258"/>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D71C45"/>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D71C45"/>
    <w:rPr>
      <w:caps/>
      <w:color w:val="622423" w:themeColor="accent2" w:themeShade="7F"/>
      <w:sz w:val="24"/>
      <w:szCs w:val="24"/>
    </w:rPr>
  </w:style>
  <w:style w:type="character" w:customStyle="1" w:styleId="Heading4Char">
    <w:name w:val="Heading 4 Char"/>
    <w:basedOn w:val="DefaultParagraphFont"/>
    <w:link w:val="Heading4"/>
    <w:uiPriority w:val="9"/>
    <w:semiHidden/>
    <w:rsid w:val="00D71C45"/>
    <w:rPr>
      <w:caps/>
      <w:color w:val="622423" w:themeColor="accent2" w:themeShade="7F"/>
      <w:spacing w:val="10"/>
    </w:rPr>
  </w:style>
  <w:style w:type="character" w:customStyle="1" w:styleId="Heading5Char">
    <w:name w:val="Heading 5 Char"/>
    <w:basedOn w:val="DefaultParagraphFont"/>
    <w:link w:val="Heading5"/>
    <w:uiPriority w:val="9"/>
    <w:semiHidden/>
    <w:rsid w:val="00D71C45"/>
    <w:rPr>
      <w:caps/>
      <w:color w:val="622423" w:themeColor="accent2" w:themeShade="7F"/>
      <w:spacing w:val="10"/>
    </w:rPr>
  </w:style>
  <w:style w:type="character" w:customStyle="1" w:styleId="Heading6Char">
    <w:name w:val="Heading 6 Char"/>
    <w:basedOn w:val="DefaultParagraphFont"/>
    <w:link w:val="Heading6"/>
    <w:uiPriority w:val="9"/>
    <w:semiHidden/>
    <w:rsid w:val="00D71C45"/>
    <w:rPr>
      <w:caps/>
      <w:color w:val="943634" w:themeColor="accent2" w:themeShade="BF"/>
      <w:spacing w:val="10"/>
    </w:rPr>
  </w:style>
  <w:style w:type="character" w:customStyle="1" w:styleId="Heading7Char">
    <w:name w:val="Heading 7 Char"/>
    <w:basedOn w:val="DefaultParagraphFont"/>
    <w:link w:val="Heading7"/>
    <w:uiPriority w:val="9"/>
    <w:semiHidden/>
    <w:rsid w:val="00D71C45"/>
    <w:rPr>
      <w:i/>
      <w:iCs/>
      <w:caps/>
      <w:color w:val="943634" w:themeColor="accent2" w:themeShade="BF"/>
      <w:spacing w:val="10"/>
    </w:rPr>
  </w:style>
  <w:style w:type="character" w:customStyle="1" w:styleId="Heading8Char">
    <w:name w:val="Heading 8 Char"/>
    <w:basedOn w:val="DefaultParagraphFont"/>
    <w:link w:val="Heading8"/>
    <w:uiPriority w:val="9"/>
    <w:semiHidden/>
    <w:rsid w:val="00D71C45"/>
    <w:rPr>
      <w:caps/>
      <w:spacing w:val="10"/>
      <w:sz w:val="20"/>
      <w:szCs w:val="20"/>
    </w:rPr>
  </w:style>
  <w:style w:type="character" w:customStyle="1" w:styleId="Heading9Char">
    <w:name w:val="Heading 9 Char"/>
    <w:basedOn w:val="DefaultParagraphFont"/>
    <w:link w:val="Heading9"/>
    <w:uiPriority w:val="9"/>
    <w:semiHidden/>
    <w:rsid w:val="00D71C45"/>
    <w:rPr>
      <w:i/>
      <w:iCs/>
      <w:caps/>
      <w:spacing w:val="10"/>
      <w:sz w:val="20"/>
      <w:szCs w:val="20"/>
    </w:rPr>
  </w:style>
  <w:style w:type="paragraph" w:styleId="Caption">
    <w:name w:val="caption"/>
    <w:basedOn w:val="Normal"/>
    <w:next w:val="Normal"/>
    <w:uiPriority w:val="35"/>
    <w:semiHidden/>
    <w:unhideWhenUsed/>
    <w:qFormat/>
    <w:rsid w:val="00D71C45"/>
    <w:rPr>
      <w:caps/>
      <w:spacing w:val="10"/>
      <w:sz w:val="18"/>
      <w:szCs w:val="18"/>
    </w:rPr>
  </w:style>
  <w:style w:type="paragraph" w:styleId="Title">
    <w:name w:val="Title"/>
    <w:basedOn w:val="Normal"/>
    <w:next w:val="Normal"/>
    <w:link w:val="TitleChar"/>
    <w:uiPriority w:val="10"/>
    <w:qFormat/>
    <w:rsid w:val="00D71C4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D71C45"/>
    <w:rPr>
      <w:caps/>
      <w:color w:val="632423" w:themeColor="accent2" w:themeShade="80"/>
      <w:spacing w:val="50"/>
      <w:sz w:val="44"/>
      <w:szCs w:val="44"/>
    </w:rPr>
  </w:style>
  <w:style w:type="paragraph" w:styleId="Subtitle">
    <w:name w:val="Subtitle"/>
    <w:basedOn w:val="Normal"/>
    <w:next w:val="Normal"/>
    <w:link w:val="SubtitleChar"/>
    <w:uiPriority w:val="11"/>
    <w:qFormat/>
    <w:rsid w:val="00D71C45"/>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D71C45"/>
    <w:rPr>
      <w:caps/>
      <w:spacing w:val="20"/>
      <w:sz w:val="18"/>
      <w:szCs w:val="18"/>
    </w:rPr>
  </w:style>
  <w:style w:type="character" w:styleId="Strong">
    <w:name w:val="Strong"/>
    <w:uiPriority w:val="22"/>
    <w:qFormat/>
    <w:rsid w:val="00D71C45"/>
    <w:rPr>
      <w:b/>
      <w:bCs/>
      <w:color w:val="943634" w:themeColor="accent2" w:themeShade="BF"/>
      <w:spacing w:val="5"/>
    </w:rPr>
  </w:style>
  <w:style w:type="character" w:styleId="Emphasis">
    <w:name w:val="Emphasis"/>
    <w:uiPriority w:val="20"/>
    <w:qFormat/>
    <w:rsid w:val="00D71C45"/>
    <w:rPr>
      <w:caps/>
      <w:spacing w:val="5"/>
      <w:sz w:val="20"/>
      <w:szCs w:val="20"/>
    </w:rPr>
  </w:style>
  <w:style w:type="character" w:customStyle="1" w:styleId="NoSpacingChar">
    <w:name w:val="No Spacing Char"/>
    <w:basedOn w:val="DefaultParagraphFont"/>
    <w:link w:val="NoSpacing"/>
    <w:uiPriority w:val="1"/>
    <w:rsid w:val="00113106"/>
    <w:rPr>
      <w:rFonts w:ascii="Times New Roman" w:hAnsi="Times New Roman"/>
      <w:sz w:val="24"/>
    </w:rPr>
  </w:style>
  <w:style w:type="paragraph" w:styleId="Quote">
    <w:name w:val="Quote"/>
    <w:basedOn w:val="Normal"/>
    <w:next w:val="Normal"/>
    <w:link w:val="QuoteChar"/>
    <w:uiPriority w:val="29"/>
    <w:qFormat/>
    <w:rsid w:val="00D71C45"/>
    <w:rPr>
      <w:i/>
      <w:iCs/>
    </w:rPr>
  </w:style>
  <w:style w:type="character" w:customStyle="1" w:styleId="QuoteChar">
    <w:name w:val="Quote Char"/>
    <w:basedOn w:val="DefaultParagraphFont"/>
    <w:link w:val="Quote"/>
    <w:uiPriority w:val="29"/>
    <w:rsid w:val="00D71C45"/>
    <w:rPr>
      <w:i/>
      <w:iCs/>
    </w:rPr>
  </w:style>
  <w:style w:type="paragraph" w:styleId="IntenseQuote">
    <w:name w:val="Intense Quote"/>
    <w:basedOn w:val="Normal"/>
    <w:next w:val="Normal"/>
    <w:link w:val="IntenseQuoteChar"/>
    <w:uiPriority w:val="30"/>
    <w:qFormat/>
    <w:rsid w:val="00D71C4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D71C45"/>
    <w:rPr>
      <w:caps/>
      <w:color w:val="622423" w:themeColor="accent2" w:themeShade="7F"/>
      <w:spacing w:val="5"/>
      <w:sz w:val="20"/>
      <w:szCs w:val="20"/>
    </w:rPr>
  </w:style>
  <w:style w:type="character" w:styleId="SubtleEmphasis">
    <w:name w:val="Subtle Emphasis"/>
    <w:uiPriority w:val="19"/>
    <w:qFormat/>
    <w:rsid w:val="00D71C45"/>
    <w:rPr>
      <w:i/>
      <w:iCs/>
    </w:rPr>
  </w:style>
  <w:style w:type="character" w:styleId="IntenseEmphasis">
    <w:name w:val="Intense Emphasis"/>
    <w:uiPriority w:val="21"/>
    <w:qFormat/>
    <w:rsid w:val="00D71C45"/>
    <w:rPr>
      <w:i/>
      <w:iCs/>
      <w:caps/>
      <w:spacing w:val="10"/>
      <w:sz w:val="20"/>
      <w:szCs w:val="20"/>
    </w:rPr>
  </w:style>
  <w:style w:type="character" w:styleId="SubtleReference">
    <w:name w:val="Subtle Reference"/>
    <w:basedOn w:val="DefaultParagraphFont"/>
    <w:uiPriority w:val="31"/>
    <w:qFormat/>
    <w:rsid w:val="00D71C45"/>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D71C45"/>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D71C45"/>
    <w:rPr>
      <w:caps/>
      <w:color w:val="622423" w:themeColor="accent2" w:themeShade="7F"/>
      <w:spacing w:val="5"/>
      <w:u w:color="622423" w:themeColor="accent2" w:themeShade="7F"/>
    </w:rPr>
  </w:style>
  <w:style w:type="paragraph" w:customStyle="1" w:styleId="Default">
    <w:name w:val="Default"/>
    <w:rsid w:val="003A1509"/>
    <w:pPr>
      <w:autoSpaceDE w:val="0"/>
      <w:autoSpaceDN w:val="0"/>
      <w:adjustRightInd w:val="0"/>
      <w:spacing w:after="0" w:line="240" w:lineRule="auto"/>
    </w:pPr>
    <w:rPr>
      <w:rFonts w:ascii="Century Schoolbook" w:eastAsiaTheme="minorHAnsi" w:hAnsi="Century Schoolbook" w:cs="Century Schoolbook"/>
      <w:color w:val="000000"/>
      <w:sz w:val="24"/>
      <w:szCs w:val="24"/>
    </w:rPr>
  </w:style>
  <w:style w:type="character" w:customStyle="1" w:styleId="bodytext0">
    <w:name w:val="bodytext"/>
    <w:basedOn w:val="DefaultParagraphFont"/>
    <w:rsid w:val="00D91E0D"/>
    <w:rPr>
      <w:sz w:val="17"/>
      <w:szCs w:val="17"/>
    </w:rPr>
  </w:style>
  <w:style w:type="character" w:customStyle="1" w:styleId="divisionheadertext3">
    <w:name w:val="divisionheadertext3"/>
    <w:basedOn w:val="DefaultParagraphFont"/>
    <w:rsid w:val="00D91E0D"/>
    <w:rPr>
      <w:rFonts w:ascii="Arial" w:hAnsi="Arial" w:cs="Arial" w:hint="default"/>
      <w:b w:val="0"/>
      <w:bCs w:val="0"/>
      <w:i w:val="0"/>
      <w:iCs w:val="0"/>
      <w:strike w:val="0"/>
      <w:dstrike w:val="0"/>
      <w:color w:val="000000"/>
      <w:sz w:val="27"/>
      <w:szCs w:val="27"/>
      <w:u w:val="none"/>
      <w:effect w:val="none"/>
    </w:rPr>
  </w:style>
  <w:style w:type="paragraph" w:styleId="PlainText">
    <w:name w:val="Plain Text"/>
    <w:basedOn w:val="Normal"/>
    <w:link w:val="PlainTextChar"/>
    <w:uiPriority w:val="99"/>
    <w:unhideWhenUsed/>
    <w:rsid w:val="006829EA"/>
    <w:pPr>
      <w:spacing w:after="0" w:line="240" w:lineRule="auto"/>
    </w:pPr>
    <w:rPr>
      <w:rFonts w:ascii="Calibri" w:eastAsiaTheme="minorHAnsi" w:hAnsi="Calibri" w:cs="Times New Roman"/>
      <w:sz w:val="22"/>
    </w:rPr>
  </w:style>
  <w:style w:type="character" w:customStyle="1" w:styleId="PlainTextChar">
    <w:name w:val="Plain Text Char"/>
    <w:basedOn w:val="DefaultParagraphFont"/>
    <w:link w:val="PlainText"/>
    <w:uiPriority w:val="99"/>
    <w:rsid w:val="006829EA"/>
    <w:rPr>
      <w:rFonts w:ascii="Calibri" w:eastAsiaTheme="minorHAnsi" w:hAnsi="Calibri" w:cs="Times New Roman"/>
    </w:rPr>
  </w:style>
  <w:style w:type="table" w:customStyle="1" w:styleId="TableGrid1">
    <w:name w:val="Table Grid1"/>
    <w:basedOn w:val="TableNormal"/>
    <w:next w:val="TableGrid"/>
    <w:uiPriority w:val="59"/>
    <w:rsid w:val="00BA7E31"/>
    <w:pPr>
      <w:widowControl w:val="0"/>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F0D93"/>
    <w:pPr>
      <w:spacing w:after="100"/>
      <w:ind w:left="240"/>
    </w:pPr>
  </w:style>
  <w:style w:type="character" w:styleId="UnresolvedMention">
    <w:name w:val="Unresolved Mention"/>
    <w:basedOn w:val="DefaultParagraphFont"/>
    <w:uiPriority w:val="99"/>
    <w:semiHidden/>
    <w:unhideWhenUsed/>
    <w:rsid w:val="00C8533D"/>
    <w:rPr>
      <w:color w:val="808080"/>
      <w:shd w:val="clear" w:color="auto" w:fill="E6E6E6"/>
    </w:rPr>
  </w:style>
  <w:style w:type="paragraph" w:customStyle="1" w:styleId="ng-scope">
    <w:name w:val="ng-scope"/>
    <w:basedOn w:val="Normal"/>
    <w:rsid w:val="00BD2335"/>
    <w:pPr>
      <w:spacing w:before="100" w:beforeAutospacing="1" w:after="100" w:afterAutospacing="1" w:line="240" w:lineRule="auto"/>
    </w:pPr>
    <w:rPr>
      <w:rFonts w:eastAsia="Times New Roman" w:cs="Times New Roman"/>
      <w:szCs w:val="24"/>
    </w:rPr>
  </w:style>
  <w:style w:type="character" w:customStyle="1" w:styleId="ListParagraphChar">
    <w:name w:val="List Paragraph Char"/>
    <w:link w:val="ListParagraph"/>
    <w:uiPriority w:val="34"/>
    <w:locked/>
    <w:rsid w:val="00B06081"/>
    <w:rPr>
      <w:rFonts w:ascii="Times New Roman" w:hAnsi="Times New Roman"/>
      <w:sz w:val="24"/>
    </w:rPr>
  </w:style>
  <w:style w:type="paragraph" w:styleId="TOC3">
    <w:name w:val="toc 3"/>
    <w:basedOn w:val="Normal"/>
    <w:next w:val="Normal"/>
    <w:autoRedefine/>
    <w:uiPriority w:val="39"/>
    <w:unhideWhenUsed/>
    <w:rsid w:val="00A47A5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6600">
      <w:bodyDiv w:val="1"/>
      <w:marLeft w:val="0"/>
      <w:marRight w:val="0"/>
      <w:marTop w:val="0"/>
      <w:marBottom w:val="0"/>
      <w:divBdr>
        <w:top w:val="none" w:sz="0" w:space="0" w:color="auto"/>
        <w:left w:val="none" w:sz="0" w:space="0" w:color="auto"/>
        <w:bottom w:val="none" w:sz="0" w:space="0" w:color="auto"/>
        <w:right w:val="none" w:sz="0" w:space="0" w:color="auto"/>
      </w:divBdr>
    </w:div>
    <w:div w:id="88353017">
      <w:bodyDiv w:val="1"/>
      <w:marLeft w:val="0"/>
      <w:marRight w:val="0"/>
      <w:marTop w:val="0"/>
      <w:marBottom w:val="0"/>
      <w:divBdr>
        <w:top w:val="none" w:sz="0" w:space="0" w:color="auto"/>
        <w:left w:val="none" w:sz="0" w:space="0" w:color="auto"/>
        <w:bottom w:val="none" w:sz="0" w:space="0" w:color="auto"/>
        <w:right w:val="none" w:sz="0" w:space="0" w:color="auto"/>
      </w:divBdr>
    </w:div>
    <w:div w:id="110712323">
      <w:bodyDiv w:val="1"/>
      <w:marLeft w:val="0"/>
      <w:marRight w:val="0"/>
      <w:marTop w:val="0"/>
      <w:marBottom w:val="0"/>
      <w:divBdr>
        <w:top w:val="none" w:sz="0" w:space="0" w:color="auto"/>
        <w:left w:val="none" w:sz="0" w:space="0" w:color="auto"/>
        <w:bottom w:val="none" w:sz="0" w:space="0" w:color="auto"/>
        <w:right w:val="none" w:sz="0" w:space="0" w:color="auto"/>
      </w:divBdr>
    </w:div>
    <w:div w:id="118257932">
      <w:bodyDiv w:val="1"/>
      <w:marLeft w:val="0"/>
      <w:marRight w:val="0"/>
      <w:marTop w:val="0"/>
      <w:marBottom w:val="0"/>
      <w:divBdr>
        <w:top w:val="none" w:sz="0" w:space="0" w:color="auto"/>
        <w:left w:val="none" w:sz="0" w:space="0" w:color="auto"/>
        <w:bottom w:val="none" w:sz="0" w:space="0" w:color="auto"/>
        <w:right w:val="none" w:sz="0" w:space="0" w:color="auto"/>
      </w:divBdr>
    </w:div>
    <w:div w:id="118846020">
      <w:bodyDiv w:val="1"/>
      <w:marLeft w:val="0"/>
      <w:marRight w:val="0"/>
      <w:marTop w:val="0"/>
      <w:marBottom w:val="0"/>
      <w:divBdr>
        <w:top w:val="none" w:sz="0" w:space="0" w:color="auto"/>
        <w:left w:val="none" w:sz="0" w:space="0" w:color="auto"/>
        <w:bottom w:val="none" w:sz="0" w:space="0" w:color="auto"/>
        <w:right w:val="none" w:sz="0" w:space="0" w:color="auto"/>
      </w:divBdr>
    </w:div>
    <w:div w:id="131216396">
      <w:bodyDiv w:val="1"/>
      <w:marLeft w:val="0"/>
      <w:marRight w:val="0"/>
      <w:marTop w:val="0"/>
      <w:marBottom w:val="0"/>
      <w:divBdr>
        <w:top w:val="none" w:sz="0" w:space="0" w:color="auto"/>
        <w:left w:val="none" w:sz="0" w:space="0" w:color="auto"/>
        <w:bottom w:val="none" w:sz="0" w:space="0" w:color="auto"/>
        <w:right w:val="none" w:sz="0" w:space="0" w:color="auto"/>
      </w:divBdr>
    </w:div>
    <w:div w:id="154079540">
      <w:bodyDiv w:val="1"/>
      <w:marLeft w:val="0"/>
      <w:marRight w:val="0"/>
      <w:marTop w:val="0"/>
      <w:marBottom w:val="0"/>
      <w:divBdr>
        <w:top w:val="none" w:sz="0" w:space="0" w:color="auto"/>
        <w:left w:val="none" w:sz="0" w:space="0" w:color="auto"/>
        <w:bottom w:val="none" w:sz="0" w:space="0" w:color="auto"/>
        <w:right w:val="none" w:sz="0" w:space="0" w:color="auto"/>
      </w:divBdr>
    </w:div>
    <w:div w:id="165487553">
      <w:bodyDiv w:val="1"/>
      <w:marLeft w:val="0"/>
      <w:marRight w:val="0"/>
      <w:marTop w:val="0"/>
      <w:marBottom w:val="0"/>
      <w:divBdr>
        <w:top w:val="none" w:sz="0" w:space="0" w:color="auto"/>
        <w:left w:val="none" w:sz="0" w:space="0" w:color="auto"/>
        <w:bottom w:val="none" w:sz="0" w:space="0" w:color="auto"/>
        <w:right w:val="none" w:sz="0" w:space="0" w:color="auto"/>
      </w:divBdr>
      <w:divsChild>
        <w:div w:id="2031907761">
          <w:marLeft w:val="0"/>
          <w:marRight w:val="0"/>
          <w:marTop w:val="0"/>
          <w:marBottom w:val="0"/>
          <w:divBdr>
            <w:top w:val="none" w:sz="0" w:space="0" w:color="auto"/>
            <w:left w:val="none" w:sz="0" w:space="0" w:color="auto"/>
            <w:bottom w:val="none" w:sz="0" w:space="0" w:color="auto"/>
            <w:right w:val="none" w:sz="0" w:space="0" w:color="auto"/>
          </w:divBdr>
          <w:divsChild>
            <w:div w:id="441726596">
              <w:marLeft w:val="0"/>
              <w:marRight w:val="0"/>
              <w:marTop w:val="0"/>
              <w:marBottom w:val="0"/>
              <w:divBdr>
                <w:top w:val="none" w:sz="0" w:space="0" w:color="auto"/>
                <w:left w:val="none" w:sz="0" w:space="0" w:color="auto"/>
                <w:bottom w:val="none" w:sz="0" w:space="0" w:color="auto"/>
                <w:right w:val="none" w:sz="0" w:space="0" w:color="auto"/>
              </w:divBdr>
              <w:divsChild>
                <w:div w:id="956109846">
                  <w:marLeft w:val="0"/>
                  <w:marRight w:val="0"/>
                  <w:marTop w:val="0"/>
                  <w:marBottom w:val="0"/>
                  <w:divBdr>
                    <w:top w:val="none" w:sz="0" w:space="0" w:color="auto"/>
                    <w:left w:val="none" w:sz="0" w:space="0" w:color="auto"/>
                    <w:bottom w:val="none" w:sz="0" w:space="0" w:color="auto"/>
                    <w:right w:val="none" w:sz="0" w:space="0" w:color="auto"/>
                  </w:divBdr>
                  <w:divsChild>
                    <w:div w:id="676615102">
                      <w:marLeft w:val="0"/>
                      <w:marRight w:val="0"/>
                      <w:marTop w:val="0"/>
                      <w:marBottom w:val="0"/>
                      <w:divBdr>
                        <w:top w:val="none" w:sz="0" w:space="0" w:color="auto"/>
                        <w:left w:val="none" w:sz="0" w:space="0" w:color="auto"/>
                        <w:bottom w:val="none" w:sz="0" w:space="0" w:color="auto"/>
                        <w:right w:val="none" w:sz="0" w:space="0" w:color="auto"/>
                      </w:divBdr>
                      <w:divsChild>
                        <w:div w:id="1023165779">
                          <w:marLeft w:val="0"/>
                          <w:marRight w:val="0"/>
                          <w:marTop w:val="0"/>
                          <w:marBottom w:val="0"/>
                          <w:divBdr>
                            <w:top w:val="none" w:sz="0" w:space="0" w:color="auto"/>
                            <w:left w:val="none" w:sz="0" w:space="0" w:color="auto"/>
                            <w:bottom w:val="none" w:sz="0" w:space="0" w:color="auto"/>
                            <w:right w:val="none" w:sz="0" w:space="0" w:color="auto"/>
                          </w:divBdr>
                          <w:divsChild>
                            <w:div w:id="1718822973">
                              <w:marLeft w:val="0"/>
                              <w:marRight w:val="0"/>
                              <w:marTop w:val="0"/>
                              <w:marBottom w:val="0"/>
                              <w:divBdr>
                                <w:top w:val="none" w:sz="0" w:space="0" w:color="auto"/>
                                <w:left w:val="none" w:sz="0" w:space="0" w:color="auto"/>
                                <w:bottom w:val="none" w:sz="0" w:space="0" w:color="auto"/>
                                <w:right w:val="none" w:sz="0" w:space="0" w:color="auto"/>
                              </w:divBdr>
                              <w:divsChild>
                                <w:div w:id="2128617413">
                                  <w:marLeft w:val="0"/>
                                  <w:marRight w:val="0"/>
                                  <w:marTop w:val="0"/>
                                  <w:marBottom w:val="0"/>
                                  <w:divBdr>
                                    <w:top w:val="none" w:sz="0" w:space="0" w:color="auto"/>
                                    <w:left w:val="none" w:sz="0" w:space="0" w:color="auto"/>
                                    <w:bottom w:val="none" w:sz="0" w:space="0" w:color="auto"/>
                                    <w:right w:val="none" w:sz="0" w:space="0" w:color="auto"/>
                                  </w:divBdr>
                                  <w:divsChild>
                                    <w:div w:id="730268912">
                                      <w:marLeft w:val="0"/>
                                      <w:marRight w:val="0"/>
                                      <w:marTop w:val="0"/>
                                      <w:marBottom w:val="0"/>
                                      <w:divBdr>
                                        <w:top w:val="none" w:sz="0" w:space="0" w:color="auto"/>
                                        <w:left w:val="none" w:sz="0" w:space="0" w:color="auto"/>
                                        <w:bottom w:val="none" w:sz="0" w:space="0" w:color="auto"/>
                                        <w:right w:val="none" w:sz="0" w:space="0" w:color="auto"/>
                                      </w:divBdr>
                                      <w:divsChild>
                                        <w:div w:id="700591352">
                                          <w:marLeft w:val="0"/>
                                          <w:marRight w:val="0"/>
                                          <w:marTop w:val="0"/>
                                          <w:marBottom w:val="0"/>
                                          <w:divBdr>
                                            <w:top w:val="none" w:sz="0" w:space="0" w:color="auto"/>
                                            <w:left w:val="none" w:sz="0" w:space="0" w:color="auto"/>
                                            <w:bottom w:val="none" w:sz="0" w:space="0" w:color="auto"/>
                                            <w:right w:val="none" w:sz="0" w:space="0" w:color="auto"/>
                                          </w:divBdr>
                                          <w:divsChild>
                                            <w:div w:id="1355612825">
                                              <w:marLeft w:val="0"/>
                                              <w:marRight w:val="0"/>
                                              <w:marTop w:val="0"/>
                                              <w:marBottom w:val="0"/>
                                              <w:divBdr>
                                                <w:top w:val="none" w:sz="0" w:space="0" w:color="auto"/>
                                                <w:left w:val="none" w:sz="0" w:space="0" w:color="auto"/>
                                                <w:bottom w:val="none" w:sz="0" w:space="0" w:color="auto"/>
                                                <w:right w:val="none" w:sz="0" w:space="0" w:color="auto"/>
                                              </w:divBdr>
                                              <w:divsChild>
                                                <w:div w:id="1563830717">
                                                  <w:marLeft w:val="0"/>
                                                  <w:marRight w:val="0"/>
                                                  <w:marTop w:val="0"/>
                                                  <w:marBottom w:val="0"/>
                                                  <w:divBdr>
                                                    <w:top w:val="none" w:sz="0" w:space="0" w:color="auto"/>
                                                    <w:left w:val="none" w:sz="0" w:space="0" w:color="auto"/>
                                                    <w:bottom w:val="none" w:sz="0" w:space="0" w:color="auto"/>
                                                    <w:right w:val="none" w:sz="0" w:space="0" w:color="auto"/>
                                                  </w:divBdr>
                                                  <w:divsChild>
                                                    <w:div w:id="17317511">
                                                      <w:marLeft w:val="0"/>
                                                      <w:marRight w:val="0"/>
                                                      <w:marTop w:val="0"/>
                                                      <w:marBottom w:val="0"/>
                                                      <w:divBdr>
                                                        <w:top w:val="none" w:sz="0" w:space="0" w:color="auto"/>
                                                        <w:left w:val="none" w:sz="0" w:space="0" w:color="auto"/>
                                                        <w:bottom w:val="none" w:sz="0" w:space="0" w:color="auto"/>
                                                        <w:right w:val="none" w:sz="0" w:space="0" w:color="auto"/>
                                                      </w:divBdr>
                                                      <w:divsChild>
                                                        <w:div w:id="296037419">
                                                          <w:marLeft w:val="0"/>
                                                          <w:marRight w:val="0"/>
                                                          <w:marTop w:val="0"/>
                                                          <w:marBottom w:val="0"/>
                                                          <w:divBdr>
                                                            <w:top w:val="none" w:sz="0" w:space="0" w:color="auto"/>
                                                            <w:left w:val="none" w:sz="0" w:space="0" w:color="auto"/>
                                                            <w:bottom w:val="none" w:sz="0" w:space="0" w:color="auto"/>
                                                            <w:right w:val="none" w:sz="0" w:space="0" w:color="auto"/>
                                                          </w:divBdr>
                                                          <w:divsChild>
                                                            <w:div w:id="1176580587">
                                                              <w:marLeft w:val="0"/>
                                                              <w:marRight w:val="0"/>
                                                              <w:marTop w:val="0"/>
                                                              <w:marBottom w:val="0"/>
                                                              <w:divBdr>
                                                                <w:top w:val="none" w:sz="0" w:space="0" w:color="auto"/>
                                                                <w:left w:val="none" w:sz="0" w:space="0" w:color="auto"/>
                                                                <w:bottom w:val="none" w:sz="0" w:space="0" w:color="auto"/>
                                                                <w:right w:val="none" w:sz="0" w:space="0" w:color="auto"/>
                                                              </w:divBdr>
                                                              <w:divsChild>
                                                                <w:div w:id="1005784527">
                                                                  <w:marLeft w:val="0"/>
                                                                  <w:marRight w:val="0"/>
                                                                  <w:marTop w:val="0"/>
                                                                  <w:marBottom w:val="0"/>
                                                                  <w:divBdr>
                                                                    <w:top w:val="none" w:sz="0" w:space="0" w:color="auto"/>
                                                                    <w:left w:val="none" w:sz="0" w:space="0" w:color="auto"/>
                                                                    <w:bottom w:val="none" w:sz="0" w:space="0" w:color="auto"/>
                                                                    <w:right w:val="none" w:sz="0" w:space="0" w:color="auto"/>
                                                                  </w:divBdr>
                                                                  <w:divsChild>
                                                                    <w:div w:id="1108889862">
                                                                      <w:marLeft w:val="0"/>
                                                                      <w:marRight w:val="0"/>
                                                                      <w:marTop w:val="0"/>
                                                                      <w:marBottom w:val="0"/>
                                                                      <w:divBdr>
                                                                        <w:top w:val="none" w:sz="0" w:space="0" w:color="auto"/>
                                                                        <w:left w:val="none" w:sz="0" w:space="0" w:color="auto"/>
                                                                        <w:bottom w:val="none" w:sz="0" w:space="0" w:color="auto"/>
                                                                        <w:right w:val="none" w:sz="0" w:space="0" w:color="auto"/>
                                                                      </w:divBdr>
                                                                      <w:divsChild>
                                                                        <w:div w:id="1544436760">
                                                                          <w:marLeft w:val="0"/>
                                                                          <w:marRight w:val="0"/>
                                                                          <w:marTop w:val="0"/>
                                                                          <w:marBottom w:val="0"/>
                                                                          <w:divBdr>
                                                                            <w:top w:val="none" w:sz="0" w:space="0" w:color="auto"/>
                                                                            <w:left w:val="none" w:sz="0" w:space="0" w:color="auto"/>
                                                                            <w:bottom w:val="none" w:sz="0" w:space="0" w:color="auto"/>
                                                                            <w:right w:val="none" w:sz="0" w:space="0" w:color="auto"/>
                                                                          </w:divBdr>
                                                                        </w:div>
                                                                        <w:div w:id="1054698452">
                                                                          <w:marLeft w:val="0"/>
                                                                          <w:marRight w:val="0"/>
                                                                          <w:marTop w:val="0"/>
                                                                          <w:marBottom w:val="0"/>
                                                                          <w:divBdr>
                                                                            <w:top w:val="none" w:sz="0" w:space="0" w:color="auto"/>
                                                                            <w:left w:val="none" w:sz="0" w:space="0" w:color="auto"/>
                                                                            <w:bottom w:val="none" w:sz="0" w:space="0" w:color="auto"/>
                                                                            <w:right w:val="none" w:sz="0" w:space="0" w:color="auto"/>
                                                                          </w:divBdr>
                                                                        </w:div>
                                                                        <w:div w:id="1058935052">
                                                                          <w:marLeft w:val="0"/>
                                                                          <w:marRight w:val="0"/>
                                                                          <w:marTop w:val="0"/>
                                                                          <w:marBottom w:val="0"/>
                                                                          <w:divBdr>
                                                                            <w:top w:val="none" w:sz="0" w:space="0" w:color="auto"/>
                                                                            <w:left w:val="none" w:sz="0" w:space="0" w:color="auto"/>
                                                                            <w:bottom w:val="none" w:sz="0" w:space="0" w:color="auto"/>
                                                                            <w:right w:val="none" w:sz="0" w:space="0" w:color="auto"/>
                                                                          </w:divBdr>
                                                                        </w:div>
                                                                        <w:div w:id="275648291">
                                                                          <w:marLeft w:val="0"/>
                                                                          <w:marRight w:val="0"/>
                                                                          <w:marTop w:val="0"/>
                                                                          <w:marBottom w:val="0"/>
                                                                          <w:divBdr>
                                                                            <w:top w:val="none" w:sz="0" w:space="0" w:color="auto"/>
                                                                            <w:left w:val="none" w:sz="0" w:space="0" w:color="auto"/>
                                                                            <w:bottom w:val="none" w:sz="0" w:space="0" w:color="auto"/>
                                                                            <w:right w:val="none" w:sz="0" w:space="0" w:color="auto"/>
                                                                          </w:divBdr>
                                                                        </w:div>
                                                                      </w:divsChild>
                                                                    </w:div>
                                                                    <w:div w:id="1324050029">
                                                                      <w:marLeft w:val="0"/>
                                                                      <w:marRight w:val="0"/>
                                                                      <w:marTop w:val="0"/>
                                                                      <w:marBottom w:val="0"/>
                                                                      <w:divBdr>
                                                                        <w:top w:val="none" w:sz="0" w:space="0" w:color="auto"/>
                                                                        <w:left w:val="none" w:sz="0" w:space="0" w:color="auto"/>
                                                                        <w:bottom w:val="none" w:sz="0" w:space="0" w:color="auto"/>
                                                                        <w:right w:val="none" w:sz="0" w:space="0" w:color="auto"/>
                                                                      </w:divBdr>
                                                                    </w:div>
                                                                    <w:div w:id="235825569">
                                                                      <w:marLeft w:val="0"/>
                                                                      <w:marRight w:val="0"/>
                                                                      <w:marTop w:val="0"/>
                                                                      <w:marBottom w:val="0"/>
                                                                      <w:divBdr>
                                                                        <w:top w:val="none" w:sz="0" w:space="0" w:color="auto"/>
                                                                        <w:left w:val="none" w:sz="0" w:space="0" w:color="auto"/>
                                                                        <w:bottom w:val="none" w:sz="0" w:space="0" w:color="auto"/>
                                                                        <w:right w:val="none" w:sz="0" w:space="0" w:color="auto"/>
                                                                      </w:divBdr>
                                                                    </w:div>
                                                                    <w:div w:id="2018916983">
                                                                      <w:marLeft w:val="0"/>
                                                                      <w:marRight w:val="0"/>
                                                                      <w:marTop w:val="0"/>
                                                                      <w:marBottom w:val="0"/>
                                                                      <w:divBdr>
                                                                        <w:top w:val="none" w:sz="0" w:space="0" w:color="auto"/>
                                                                        <w:left w:val="none" w:sz="0" w:space="0" w:color="auto"/>
                                                                        <w:bottom w:val="none" w:sz="0" w:space="0" w:color="auto"/>
                                                                        <w:right w:val="none" w:sz="0" w:space="0" w:color="auto"/>
                                                                      </w:divBdr>
                                                                    </w:div>
                                                                    <w:div w:id="2006783665">
                                                                      <w:marLeft w:val="0"/>
                                                                      <w:marRight w:val="0"/>
                                                                      <w:marTop w:val="0"/>
                                                                      <w:marBottom w:val="0"/>
                                                                      <w:divBdr>
                                                                        <w:top w:val="none" w:sz="0" w:space="0" w:color="auto"/>
                                                                        <w:left w:val="none" w:sz="0" w:space="0" w:color="auto"/>
                                                                        <w:bottom w:val="none" w:sz="0" w:space="0" w:color="auto"/>
                                                                        <w:right w:val="none" w:sz="0" w:space="0" w:color="auto"/>
                                                                      </w:divBdr>
                                                                    </w:div>
                                                                    <w:div w:id="342168601">
                                                                      <w:marLeft w:val="0"/>
                                                                      <w:marRight w:val="0"/>
                                                                      <w:marTop w:val="0"/>
                                                                      <w:marBottom w:val="0"/>
                                                                      <w:divBdr>
                                                                        <w:top w:val="none" w:sz="0" w:space="0" w:color="auto"/>
                                                                        <w:left w:val="none" w:sz="0" w:space="0" w:color="auto"/>
                                                                        <w:bottom w:val="none" w:sz="0" w:space="0" w:color="auto"/>
                                                                        <w:right w:val="none" w:sz="0" w:space="0" w:color="auto"/>
                                                                      </w:divBdr>
                                                                    </w:div>
                                                                    <w:div w:id="996962616">
                                                                      <w:marLeft w:val="0"/>
                                                                      <w:marRight w:val="0"/>
                                                                      <w:marTop w:val="0"/>
                                                                      <w:marBottom w:val="0"/>
                                                                      <w:divBdr>
                                                                        <w:top w:val="none" w:sz="0" w:space="0" w:color="auto"/>
                                                                        <w:left w:val="none" w:sz="0" w:space="0" w:color="auto"/>
                                                                        <w:bottom w:val="none" w:sz="0" w:space="0" w:color="auto"/>
                                                                        <w:right w:val="none" w:sz="0" w:space="0" w:color="auto"/>
                                                                      </w:divBdr>
                                                                      <w:divsChild>
                                                                        <w:div w:id="314994572">
                                                                          <w:marLeft w:val="0"/>
                                                                          <w:marRight w:val="0"/>
                                                                          <w:marTop w:val="0"/>
                                                                          <w:marBottom w:val="0"/>
                                                                          <w:divBdr>
                                                                            <w:top w:val="none" w:sz="0" w:space="0" w:color="auto"/>
                                                                            <w:left w:val="none" w:sz="0" w:space="0" w:color="auto"/>
                                                                            <w:bottom w:val="none" w:sz="0" w:space="0" w:color="auto"/>
                                                                            <w:right w:val="none" w:sz="0" w:space="0" w:color="auto"/>
                                                                          </w:divBdr>
                                                                        </w:div>
                                                                        <w:div w:id="1768234571">
                                                                          <w:marLeft w:val="0"/>
                                                                          <w:marRight w:val="0"/>
                                                                          <w:marTop w:val="0"/>
                                                                          <w:marBottom w:val="0"/>
                                                                          <w:divBdr>
                                                                            <w:top w:val="none" w:sz="0" w:space="0" w:color="auto"/>
                                                                            <w:left w:val="none" w:sz="0" w:space="0" w:color="auto"/>
                                                                            <w:bottom w:val="none" w:sz="0" w:space="0" w:color="auto"/>
                                                                            <w:right w:val="none" w:sz="0" w:space="0" w:color="auto"/>
                                                                          </w:divBdr>
                                                                        </w:div>
                                                                        <w:div w:id="1138260316">
                                                                          <w:marLeft w:val="0"/>
                                                                          <w:marRight w:val="0"/>
                                                                          <w:marTop w:val="0"/>
                                                                          <w:marBottom w:val="0"/>
                                                                          <w:divBdr>
                                                                            <w:top w:val="none" w:sz="0" w:space="0" w:color="auto"/>
                                                                            <w:left w:val="none" w:sz="0" w:space="0" w:color="auto"/>
                                                                            <w:bottom w:val="none" w:sz="0" w:space="0" w:color="auto"/>
                                                                            <w:right w:val="none" w:sz="0" w:space="0" w:color="auto"/>
                                                                          </w:divBdr>
                                                                        </w:div>
                                                                        <w:div w:id="1492721932">
                                                                          <w:marLeft w:val="0"/>
                                                                          <w:marRight w:val="0"/>
                                                                          <w:marTop w:val="0"/>
                                                                          <w:marBottom w:val="0"/>
                                                                          <w:divBdr>
                                                                            <w:top w:val="none" w:sz="0" w:space="0" w:color="auto"/>
                                                                            <w:left w:val="none" w:sz="0" w:space="0" w:color="auto"/>
                                                                            <w:bottom w:val="none" w:sz="0" w:space="0" w:color="auto"/>
                                                                            <w:right w:val="none" w:sz="0" w:space="0" w:color="auto"/>
                                                                          </w:divBdr>
                                                                        </w:div>
                                                                        <w:div w:id="1457137277">
                                                                          <w:marLeft w:val="0"/>
                                                                          <w:marRight w:val="0"/>
                                                                          <w:marTop w:val="0"/>
                                                                          <w:marBottom w:val="0"/>
                                                                          <w:divBdr>
                                                                            <w:top w:val="none" w:sz="0" w:space="0" w:color="auto"/>
                                                                            <w:left w:val="none" w:sz="0" w:space="0" w:color="auto"/>
                                                                            <w:bottom w:val="none" w:sz="0" w:space="0" w:color="auto"/>
                                                                            <w:right w:val="none" w:sz="0" w:space="0" w:color="auto"/>
                                                                          </w:divBdr>
                                                                        </w:div>
                                                                        <w:div w:id="371660021">
                                                                          <w:marLeft w:val="0"/>
                                                                          <w:marRight w:val="0"/>
                                                                          <w:marTop w:val="0"/>
                                                                          <w:marBottom w:val="0"/>
                                                                          <w:divBdr>
                                                                            <w:top w:val="none" w:sz="0" w:space="0" w:color="auto"/>
                                                                            <w:left w:val="none" w:sz="0" w:space="0" w:color="auto"/>
                                                                            <w:bottom w:val="none" w:sz="0" w:space="0" w:color="auto"/>
                                                                            <w:right w:val="none" w:sz="0" w:space="0" w:color="auto"/>
                                                                          </w:divBdr>
                                                                        </w:div>
                                                                        <w:div w:id="177503723">
                                                                          <w:marLeft w:val="0"/>
                                                                          <w:marRight w:val="0"/>
                                                                          <w:marTop w:val="0"/>
                                                                          <w:marBottom w:val="0"/>
                                                                          <w:divBdr>
                                                                            <w:top w:val="none" w:sz="0" w:space="0" w:color="auto"/>
                                                                            <w:left w:val="none" w:sz="0" w:space="0" w:color="auto"/>
                                                                            <w:bottom w:val="none" w:sz="0" w:space="0" w:color="auto"/>
                                                                            <w:right w:val="none" w:sz="0" w:space="0" w:color="auto"/>
                                                                          </w:divBdr>
                                                                        </w:div>
                                                                        <w:div w:id="1824423320">
                                                                          <w:marLeft w:val="0"/>
                                                                          <w:marRight w:val="0"/>
                                                                          <w:marTop w:val="0"/>
                                                                          <w:marBottom w:val="0"/>
                                                                          <w:divBdr>
                                                                            <w:top w:val="none" w:sz="0" w:space="0" w:color="auto"/>
                                                                            <w:left w:val="none" w:sz="0" w:space="0" w:color="auto"/>
                                                                            <w:bottom w:val="none" w:sz="0" w:space="0" w:color="auto"/>
                                                                            <w:right w:val="none" w:sz="0" w:space="0" w:color="auto"/>
                                                                          </w:divBdr>
                                                                        </w:div>
                                                                        <w:div w:id="1292978514">
                                                                          <w:marLeft w:val="0"/>
                                                                          <w:marRight w:val="0"/>
                                                                          <w:marTop w:val="0"/>
                                                                          <w:marBottom w:val="0"/>
                                                                          <w:divBdr>
                                                                            <w:top w:val="none" w:sz="0" w:space="0" w:color="auto"/>
                                                                            <w:left w:val="none" w:sz="0" w:space="0" w:color="auto"/>
                                                                            <w:bottom w:val="none" w:sz="0" w:space="0" w:color="auto"/>
                                                                            <w:right w:val="none" w:sz="0" w:space="0" w:color="auto"/>
                                                                          </w:divBdr>
                                                                        </w:div>
                                                                        <w:div w:id="1504390333">
                                                                          <w:marLeft w:val="0"/>
                                                                          <w:marRight w:val="0"/>
                                                                          <w:marTop w:val="0"/>
                                                                          <w:marBottom w:val="0"/>
                                                                          <w:divBdr>
                                                                            <w:top w:val="none" w:sz="0" w:space="0" w:color="auto"/>
                                                                            <w:left w:val="none" w:sz="0" w:space="0" w:color="auto"/>
                                                                            <w:bottom w:val="none" w:sz="0" w:space="0" w:color="auto"/>
                                                                            <w:right w:val="none" w:sz="0" w:space="0" w:color="auto"/>
                                                                          </w:divBdr>
                                                                        </w:div>
                                                                        <w:div w:id="1740204635">
                                                                          <w:marLeft w:val="0"/>
                                                                          <w:marRight w:val="0"/>
                                                                          <w:marTop w:val="0"/>
                                                                          <w:marBottom w:val="0"/>
                                                                          <w:divBdr>
                                                                            <w:top w:val="none" w:sz="0" w:space="0" w:color="auto"/>
                                                                            <w:left w:val="none" w:sz="0" w:space="0" w:color="auto"/>
                                                                            <w:bottom w:val="none" w:sz="0" w:space="0" w:color="auto"/>
                                                                            <w:right w:val="none" w:sz="0" w:space="0" w:color="auto"/>
                                                                          </w:divBdr>
                                                                        </w:div>
                                                                        <w:div w:id="1046877835">
                                                                          <w:marLeft w:val="0"/>
                                                                          <w:marRight w:val="0"/>
                                                                          <w:marTop w:val="0"/>
                                                                          <w:marBottom w:val="0"/>
                                                                          <w:divBdr>
                                                                            <w:top w:val="none" w:sz="0" w:space="0" w:color="auto"/>
                                                                            <w:left w:val="none" w:sz="0" w:space="0" w:color="auto"/>
                                                                            <w:bottom w:val="none" w:sz="0" w:space="0" w:color="auto"/>
                                                                            <w:right w:val="none" w:sz="0" w:space="0" w:color="auto"/>
                                                                          </w:divBdr>
                                                                        </w:div>
                                                                        <w:div w:id="1901867141">
                                                                          <w:marLeft w:val="0"/>
                                                                          <w:marRight w:val="0"/>
                                                                          <w:marTop w:val="0"/>
                                                                          <w:marBottom w:val="0"/>
                                                                          <w:divBdr>
                                                                            <w:top w:val="none" w:sz="0" w:space="0" w:color="auto"/>
                                                                            <w:left w:val="none" w:sz="0" w:space="0" w:color="auto"/>
                                                                            <w:bottom w:val="none" w:sz="0" w:space="0" w:color="auto"/>
                                                                            <w:right w:val="none" w:sz="0" w:space="0" w:color="auto"/>
                                                                          </w:divBdr>
                                                                        </w:div>
                                                                        <w:div w:id="1685395637">
                                                                          <w:marLeft w:val="0"/>
                                                                          <w:marRight w:val="0"/>
                                                                          <w:marTop w:val="0"/>
                                                                          <w:marBottom w:val="0"/>
                                                                          <w:divBdr>
                                                                            <w:top w:val="none" w:sz="0" w:space="0" w:color="auto"/>
                                                                            <w:left w:val="none" w:sz="0" w:space="0" w:color="auto"/>
                                                                            <w:bottom w:val="none" w:sz="0" w:space="0" w:color="auto"/>
                                                                            <w:right w:val="none" w:sz="0" w:space="0" w:color="auto"/>
                                                                          </w:divBdr>
                                                                        </w:div>
                                                                        <w:div w:id="654182696">
                                                                          <w:marLeft w:val="0"/>
                                                                          <w:marRight w:val="0"/>
                                                                          <w:marTop w:val="0"/>
                                                                          <w:marBottom w:val="0"/>
                                                                          <w:divBdr>
                                                                            <w:top w:val="none" w:sz="0" w:space="0" w:color="auto"/>
                                                                            <w:left w:val="none" w:sz="0" w:space="0" w:color="auto"/>
                                                                            <w:bottom w:val="none" w:sz="0" w:space="0" w:color="auto"/>
                                                                            <w:right w:val="none" w:sz="0" w:space="0" w:color="auto"/>
                                                                          </w:divBdr>
                                                                        </w:div>
                                                                        <w:div w:id="1171260280">
                                                                          <w:marLeft w:val="0"/>
                                                                          <w:marRight w:val="0"/>
                                                                          <w:marTop w:val="0"/>
                                                                          <w:marBottom w:val="0"/>
                                                                          <w:divBdr>
                                                                            <w:top w:val="none" w:sz="0" w:space="0" w:color="auto"/>
                                                                            <w:left w:val="none" w:sz="0" w:space="0" w:color="auto"/>
                                                                            <w:bottom w:val="none" w:sz="0" w:space="0" w:color="auto"/>
                                                                            <w:right w:val="none" w:sz="0" w:space="0" w:color="auto"/>
                                                                          </w:divBdr>
                                                                        </w:div>
                                                                        <w:div w:id="235557787">
                                                                          <w:marLeft w:val="0"/>
                                                                          <w:marRight w:val="0"/>
                                                                          <w:marTop w:val="0"/>
                                                                          <w:marBottom w:val="0"/>
                                                                          <w:divBdr>
                                                                            <w:top w:val="none" w:sz="0" w:space="0" w:color="auto"/>
                                                                            <w:left w:val="none" w:sz="0" w:space="0" w:color="auto"/>
                                                                            <w:bottom w:val="none" w:sz="0" w:space="0" w:color="auto"/>
                                                                            <w:right w:val="none" w:sz="0" w:space="0" w:color="auto"/>
                                                                          </w:divBdr>
                                                                        </w:div>
                                                                        <w:div w:id="1970361348">
                                                                          <w:marLeft w:val="0"/>
                                                                          <w:marRight w:val="0"/>
                                                                          <w:marTop w:val="0"/>
                                                                          <w:marBottom w:val="0"/>
                                                                          <w:divBdr>
                                                                            <w:top w:val="none" w:sz="0" w:space="0" w:color="auto"/>
                                                                            <w:left w:val="none" w:sz="0" w:space="0" w:color="auto"/>
                                                                            <w:bottom w:val="none" w:sz="0" w:space="0" w:color="auto"/>
                                                                            <w:right w:val="none" w:sz="0" w:space="0" w:color="auto"/>
                                                                          </w:divBdr>
                                                                        </w:div>
                                                                        <w:div w:id="1314798098">
                                                                          <w:marLeft w:val="0"/>
                                                                          <w:marRight w:val="0"/>
                                                                          <w:marTop w:val="0"/>
                                                                          <w:marBottom w:val="0"/>
                                                                          <w:divBdr>
                                                                            <w:top w:val="none" w:sz="0" w:space="0" w:color="auto"/>
                                                                            <w:left w:val="none" w:sz="0" w:space="0" w:color="auto"/>
                                                                            <w:bottom w:val="none" w:sz="0" w:space="0" w:color="auto"/>
                                                                            <w:right w:val="none" w:sz="0" w:space="0" w:color="auto"/>
                                                                          </w:divBdr>
                                                                        </w:div>
                                                                        <w:div w:id="1629706082">
                                                                          <w:marLeft w:val="0"/>
                                                                          <w:marRight w:val="0"/>
                                                                          <w:marTop w:val="0"/>
                                                                          <w:marBottom w:val="0"/>
                                                                          <w:divBdr>
                                                                            <w:top w:val="none" w:sz="0" w:space="0" w:color="auto"/>
                                                                            <w:left w:val="none" w:sz="0" w:space="0" w:color="auto"/>
                                                                            <w:bottom w:val="none" w:sz="0" w:space="0" w:color="auto"/>
                                                                            <w:right w:val="none" w:sz="0" w:space="0" w:color="auto"/>
                                                                          </w:divBdr>
                                                                        </w:div>
                                                                        <w:div w:id="1707021427">
                                                                          <w:marLeft w:val="0"/>
                                                                          <w:marRight w:val="0"/>
                                                                          <w:marTop w:val="0"/>
                                                                          <w:marBottom w:val="0"/>
                                                                          <w:divBdr>
                                                                            <w:top w:val="none" w:sz="0" w:space="0" w:color="auto"/>
                                                                            <w:left w:val="none" w:sz="0" w:space="0" w:color="auto"/>
                                                                            <w:bottom w:val="none" w:sz="0" w:space="0" w:color="auto"/>
                                                                            <w:right w:val="none" w:sz="0" w:space="0" w:color="auto"/>
                                                                          </w:divBdr>
                                                                        </w:div>
                                                                        <w:div w:id="27873542">
                                                                          <w:marLeft w:val="0"/>
                                                                          <w:marRight w:val="0"/>
                                                                          <w:marTop w:val="0"/>
                                                                          <w:marBottom w:val="0"/>
                                                                          <w:divBdr>
                                                                            <w:top w:val="none" w:sz="0" w:space="0" w:color="auto"/>
                                                                            <w:left w:val="none" w:sz="0" w:space="0" w:color="auto"/>
                                                                            <w:bottom w:val="none" w:sz="0" w:space="0" w:color="auto"/>
                                                                            <w:right w:val="none" w:sz="0" w:space="0" w:color="auto"/>
                                                                          </w:divBdr>
                                                                        </w:div>
                                                                        <w:div w:id="1656101190">
                                                                          <w:marLeft w:val="0"/>
                                                                          <w:marRight w:val="0"/>
                                                                          <w:marTop w:val="0"/>
                                                                          <w:marBottom w:val="0"/>
                                                                          <w:divBdr>
                                                                            <w:top w:val="none" w:sz="0" w:space="0" w:color="auto"/>
                                                                            <w:left w:val="none" w:sz="0" w:space="0" w:color="auto"/>
                                                                            <w:bottom w:val="none" w:sz="0" w:space="0" w:color="auto"/>
                                                                            <w:right w:val="none" w:sz="0" w:space="0" w:color="auto"/>
                                                                          </w:divBdr>
                                                                        </w:div>
                                                                        <w:div w:id="610745398">
                                                                          <w:marLeft w:val="600"/>
                                                                          <w:marRight w:val="0"/>
                                                                          <w:marTop w:val="0"/>
                                                                          <w:marBottom w:val="0"/>
                                                                          <w:divBdr>
                                                                            <w:top w:val="none" w:sz="0" w:space="0" w:color="auto"/>
                                                                            <w:left w:val="none" w:sz="0" w:space="0" w:color="auto"/>
                                                                            <w:bottom w:val="none" w:sz="0" w:space="0" w:color="auto"/>
                                                                            <w:right w:val="none" w:sz="0" w:space="0" w:color="auto"/>
                                                                          </w:divBdr>
                                                                        </w:div>
                                                                        <w:div w:id="50273423">
                                                                          <w:marLeft w:val="600"/>
                                                                          <w:marRight w:val="0"/>
                                                                          <w:marTop w:val="0"/>
                                                                          <w:marBottom w:val="0"/>
                                                                          <w:divBdr>
                                                                            <w:top w:val="none" w:sz="0" w:space="0" w:color="auto"/>
                                                                            <w:left w:val="none" w:sz="0" w:space="0" w:color="auto"/>
                                                                            <w:bottom w:val="none" w:sz="0" w:space="0" w:color="auto"/>
                                                                            <w:right w:val="none" w:sz="0" w:space="0" w:color="auto"/>
                                                                          </w:divBdr>
                                                                        </w:div>
                                                                        <w:div w:id="777216359">
                                                                          <w:marLeft w:val="600"/>
                                                                          <w:marRight w:val="0"/>
                                                                          <w:marTop w:val="0"/>
                                                                          <w:marBottom w:val="0"/>
                                                                          <w:divBdr>
                                                                            <w:top w:val="none" w:sz="0" w:space="0" w:color="auto"/>
                                                                            <w:left w:val="none" w:sz="0" w:space="0" w:color="auto"/>
                                                                            <w:bottom w:val="none" w:sz="0" w:space="0" w:color="auto"/>
                                                                            <w:right w:val="none" w:sz="0" w:space="0" w:color="auto"/>
                                                                          </w:divBdr>
                                                                        </w:div>
                                                                        <w:div w:id="1266615746">
                                                                          <w:marLeft w:val="600"/>
                                                                          <w:marRight w:val="0"/>
                                                                          <w:marTop w:val="0"/>
                                                                          <w:marBottom w:val="0"/>
                                                                          <w:divBdr>
                                                                            <w:top w:val="none" w:sz="0" w:space="0" w:color="auto"/>
                                                                            <w:left w:val="none" w:sz="0" w:space="0" w:color="auto"/>
                                                                            <w:bottom w:val="none" w:sz="0" w:space="0" w:color="auto"/>
                                                                            <w:right w:val="none" w:sz="0" w:space="0" w:color="auto"/>
                                                                          </w:divBdr>
                                                                        </w:div>
                                                                        <w:div w:id="1808277378">
                                                                          <w:marLeft w:val="600"/>
                                                                          <w:marRight w:val="0"/>
                                                                          <w:marTop w:val="0"/>
                                                                          <w:marBottom w:val="0"/>
                                                                          <w:divBdr>
                                                                            <w:top w:val="none" w:sz="0" w:space="0" w:color="auto"/>
                                                                            <w:left w:val="none" w:sz="0" w:space="0" w:color="auto"/>
                                                                            <w:bottom w:val="none" w:sz="0" w:space="0" w:color="auto"/>
                                                                            <w:right w:val="none" w:sz="0" w:space="0" w:color="auto"/>
                                                                          </w:divBdr>
                                                                        </w:div>
                                                                        <w:div w:id="1110927738">
                                                                          <w:marLeft w:val="600"/>
                                                                          <w:marRight w:val="0"/>
                                                                          <w:marTop w:val="0"/>
                                                                          <w:marBottom w:val="0"/>
                                                                          <w:divBdr>
                                                                            <w:top w:val="none" w:sz="0" w:space="0" w:color="auto"/>
                                                                            <w:left w:val="none" w:sz="0" w:space="0" w:color="auto"/>
                                                                            <w:bottom w:val="none" w:sz="0" w:space="0" w:color="auto"/>
                                                                            <w:right w:val="none" w:sz="0" w:space="0" w:color="auto"/>
                                                                          </w:divBdr>
                                                                        </w:div>
                                                                        <w:div w:id="384567938">
                                                                          <w:marLeft w:val="600"/>
                                                                          <w:marRight w:val="0"/>
                                                                          <w:marTop w:val="0"/>
                                                                          <w:marBottom w:val="0"/>
                                                                          <w:divBdr>
                                                                            <w:top w:val="none" w:sz="0" w:space="0" w:color="auto"/>
                                                                            <w:left w:val="none" w:sz="0" w:space="0" w:color="auto"/>
                                                                            <w:bottom w:val="none" w:sz="0" w:space="0" w:color="auto"/>
                                                                            <w:right w:val="none" w:sz="0" w:space="0" w:color="auto"/>
                                                                          </w:divBdr>
                                                                        </w:div>
                                                                        <w:div w:id="714425963">
                                                                          <w:marLeft w:val="600"/>
                                                                          <w:marRight w:val="0"/>
                                                                          <w:marTop w:val="0"/>
                                                                          <w:marBottom w:val="0"/>
                                                                          <w:divBdr>
                                                                            <w:top w:val="none" w:sz="0" w:space="0" w:color="auto"/>
                                                                            <w:left w:val="none" w:sz="0" w:space="0" w:color="auto"/>
                                                                            <w:bottom w:val="none" w:sz="0" w:space="0" w:color="auto"/>
                                                                            <w:right w:val="none" w:sz="0" w:space="0" w:color="auto"/>
                                                                          </w:divBdr>
                                                                        </w:div>
                                                                        <w:div w:id="298657572">
                                                                          <w:marLeft w:val="600"/>
                                                                          <w:marRight w:val="0"/>
                                                                          <w:marTop w:val="0"/>
                                                                          <w:marBottom w:val="0"/>
                                                                          <w:divBdr>
                                                                            <w:top w:val="none" w:sz="0" w:space="0" w:color="auto"/>
                                                                            <w:left w:val="none" w:sz="0" w:space="0" w:color="auto"/>
                                                                            <w:bottom w:val="none" w:sz="0" w:space="0" w:color="auto"/>
                                                                            <w:right w:val="none" w:sz="0" w:space="0" w:color="auto"/>
                                                                          </w:divBdr>
                                                                        </w:div>
                                                                        <w:div w:id="808086588">
                                                                          <w:marLeft w:val="600"/>
                                                                          <w:marRight w:val="0"/>
                                                                          <w:marTop w:val="0"/>
                                                                          <w:marBottom w:val="0"/>
                                                                          <w:divBdr>
                                                                            <w:top w:val="none" w:sz="0" w:space="0" w:color="auto"/>
                                                                            <w:left w:val="none" w:sz="0" w:space="0" w:color="auto"/>
                                                                            <w:bottom w:val="none" w:sz="0" w:space="0" w:color="auto"/>
                                                                            <w:right w:val="none" w:sz="0" w:space="0" w:color="auto"/>
                                                                          </w:divBdr>
                                                                        </w:div>
                                                                        <w:div w:id="1628390563">
                                                                          <w:marLeft w:val="600"/>
                                                                          <w:marRight w:val="0"/>
                                                                          <w:marTop w:val="0"/>
                                                                          <w:marBottom w:val="0"/>
                                                                          <w:divBdr>
                                                                            <w:top w:val="none" w:sz="0" w:space="0" w:color="auto"/>
                                                                            <w:left w:val="none" w:sz="0" w:space="0" w:color="auto"/>
                                                                            <w:bottom w:val="none" w:sz="0" w:space="0" w:color="auto"/>
                                                                            <w:right w:val="none" w:sz="0" w:space="0" w:color="auto"/>
                                                                          </w:divBdr>
                                                                        </w:div>
                                                                        <w:div w:id="1249846699">
                                                                          <w:marLeft w:val="0"/>
                                                                          <w:marRight w:val="0"/>
                                                                          <w:marTop w:val="0"/>
                                                                          <w:marBottom w:val="0"/>
                                                                          <w:divBdr>
                                                                            <w:top w:val="none" w:sz="0" w:space="0" w:color="auto"/>
                                                                            <w:left w:val="none" w:sz="0" w:space="0" w:color="auto"/>
                                                                            <w:bottom w:val="none" w:sz="0" w:space="0" w:color="auto"/>
                                                                            <w:right w:val="none" w:sz="0" w:space="0" w:color="auto"/>
                                                                          </w:divBdr>
                                                                        </w:div>
                                                                        <w:div w:id="564491743">
                                                                          <w:marLeft w:val="0"/>
                                                                          <w:marRight w:val="0"/>
                                                                          <w:marTop w:val="0"/>
                                                                          <w:marBottom w:val="0"/>
                                                                          <w:divBdr>
                                                                            <w:top w:val="none" w:sz="0" w:space="0" w:color="auto"/>
                                                                            <w:left w:val="none" w:sz="0" w:space="0" w:color="auto"/>
                                                                            <w:bottom w:val="none" w:sz="0" w:space="0" w:color="auto"/>
                                                                            <w:right w:val="none" w:sz="0" w:space="0" w:color="auto"/>
                                                                          </w:divBdr>
                                                                        </w:div>
                                                                        <w:div w:id="556741443">
                                                                          <w:marLeft w:val="0"/>
                                                                          <w:marRight w:val="0"/>
                                                                          <w:marTop w:val="0"/>
                                                                          <w:marBottom w:val="0"/>
                                                                          <w:divBdr>
                                                                            <w:top w:val="none" w:sz="0" w:space="0" w:color="auto"/>
                                                                            <w:left w:val="none" w:sz="0" w:space="0" w:color="auto"/>
                                                                            <w:bottom w:val="none" w:sz="0" w:space="0" w:color="auto"/>
                                                                            <w:right w:val="none" w:sz="0" w:space="0" w:color="auto"/>
                                                                          </w:divBdr>
                                                                        </w:div>
                                                                        <w:div w:id="764805291">
                                                                          <w:marLeft w:val="0"/>
                                                                          <w:marRight w:val="0"/>
                                                                          <w:marTop w:val="0"/>
                                                                          <w:marBottom w:val="0"/>
                                                                          <w:divBdr>
                                                                            <w:top w:val="none" w:sz="0" w:space="0" w:color="auto"/>
                                                                            <w:left w:val="none" w:sz="0" w:space="0" w:color="auto"/>
                                                                            <w:bottom w:val="none" w:sz="0" w:space="0" w:color="auto"/>
                                                                            <w:right w:val="none" w:sz="0" w:space="0" w:color="auto"/>
                                                                          </w:divBdr>
                                                                        </w:div>
                                                                        <w:div w:id="1997877290">
                                                                          <w:marLeft w:val="0"/>
                                                                          <w:marRight w:val="0"/>
                                                                          <w:marTop w:val="0"/>
                                                                          <w:marBottom w:val="0"/>
                                                                          <w:divBdr>
                                                                            <w:top w:val="none" w:sz="0" w:space="0" w:color="auto"/>
                                                                            <w:left w:val="none" w:sz="0" w:space="0" w:color="auto"/>
                                                                            <w:bottom w:val="none" w:sz="0" w:space="0" w:color="auto"/>
                                                                            <w:right w:val="none" w:sz="0" w:space="0" w:color="auto"/>
                                                                          </w:divBdr>
                                                                        </w:div>
                                                                        <w:div w:id="1490948658">
                                                                          <w:marLeft w:val="0"/>
                                                                          <w:marRight w:val="0"/>
                                                                          <w:marTop w:val="0"/>
                                                                          <w:marBottom w:val="0"/>
                                                                          <w:divBdr>
                                                                            <w:top w:val="none" w:sz="0" w:space="0" w:color="auto"/>
                                                                            <w:left w:val="none" w:sz="0" w:space="0" w:color="auto"/>
                                                                            <w:bottom w:val="none" w:sz="0" w:space="0" w:color="auto"/>
                                                                            <w:right w:val="none" w:sz="0" w:space="0" w:color="auto"/>
                                                                          </w:divBdr>
                                                                        </w:div>
                                                                        <w:div w:id="239559728">
                                                                          <w:marLeft w:val="0"/>
                                                                          <w:marRight w:val="0"/>
                                                                          <w:marTop w:val="0"/>
                                                                          <w:marBottom w:val="0"/>
                                                                          <w:divBdr>
                                                                            <w:top w:val="none" w:sz="0" w:space="0" w:color="auto"/>
                                                                            <w:left w:val="none" w:sz="0" w:space="0" w:color="auto"/>
                                                                            <w:bottom w:val="none" w:sz="0" w:space="0" w:color="auto"/>
                                                                            <w:right w:val="none" w:sz="0" w:space="0" w:color="auto"/>
                                                                          </w:divBdr>
                                                                        </w:div>
                                                                        <w:div w:id="549876009">
                                                                          <w:marLeft w:val="0"/>
                                                                          <w:marRight w:val="0"/>
                                                                          <w:marTop w:val="0"/>
                                                                          <w:marBottom w:val="0"/>
                                                                          <w:divBdr>
                                                                            <w:top w:val="none" w:sz="0" w:space="0" w:color="auto"/>
                                                                            <w:left w:val="none" w:sz="0" w:space="0" w:color="auto"/>
                                                                            <w:bottom w:val="none" w:sz="0" w:space="0" w:color="auto"/>
                                                                            <w:right w:val="none" w:sz="0" w:space="0" w:color="auto"/>
                                                                          </w:divBdr>
                                                                        </w:div>
                                                                        <w:div w:id="1013067602">
                                                                          <w:marLeft w:val="0"/>
                                                                          <w:marRight w:val="0"/>
                                                                          <w:marTop w:val="0"/>
                                                                          <w:marBottom w:val="0"/>
                                                                          <w:divBdr>
                                                                            <w:top w:val="none" w:sz="0" w:space="0" w:color="auto"/>
                                                                            <w:left w:val="none" w:sz="0" w:space="0" w:color="auto"/>
                                                                            <w:bottom w:val="none" w:sz="0" w:space="0" w:color="auto"/>
                                                                            <w:right w:val="none" w:sz="0" w:space="0" w:color="auto"/>
                                                                          </w:divBdr>
                                                                        </w:div>
                                                                        <w:div w:id="18514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936123">
      <w:bodyDiv w:val="1"/>
      <w:marLeft w:val="0"/>
      <w:marRight w:val="0"/>
      <w:marTop w:val="0"/>
      <w:marBottom w:val="0"/>
      <w:divBdr>
        <w:top w:val="none" w:sz="0" w:space="0" w:color="auto"/>
        <w:left w:val="none" w:sz="0" w:space="0" w:color="auto"/>
        <w:bottom w:val="none" w:sz="0" w:space="0" w:color="auto"/>
        <w:right w:val="none" w:sz="0" w:space="0" w:color="auto"/>
      </w:divBdr>
    </w:div>
    <w:div w:id="217403930">
      <w:bodyDiv w:val="1"/>
      <w:marLeft w:val="0"/>
      <w:marRight w:val="0"/>
      <w:marTop w:val="0"/>
      <w:marBottom w:val="0"/>
      <w:divBdr>
        <w:top w:val="none" w:sz="0" w:space="0" w:color="auto"/>
        <w:left w:val="none" w:sz="0" w:space="0" w:color="auto"/>
        <w:bottom w:val="none" w:sz="0" w:space="0" w:color="auto"/>
        <w:right w:val="none" w:sz="0" w:space="0" w:color="auto"/>
      </w:divBdr>
    </w:div>
    <w:div w:id="219948072">
      <w:bodyDiv w:val="1"/>
      <w:marLeft w:val="0"/>
      <w:marRight w:val="0"/>
      <w:marTop w:val="0"/>
      <w:marBottom w:val="0"/>
      <w:divBdr>
        <w:top w:val="none" w:sz="0" w:space="0" w:color="auto"/>
        <w:left w:val="none" w:sz="0" w:space="0" w:color="auto"/>
        <w:bottom w:val="none" w:sz="0" w:space="0" w:color="auto"/>
        <w:right w:val="none" w:sz="0" w:space="0" w:color="auto"/>
      </w:divBdr>
    </w:div>
    <w:div w:id="220215420">
      <w:bodyDiv w:val="1"/>
      <w:marLeft w:val="0"/>
      <w:marRight w:val="0"/>
      <w:marTop w:val="0"/>
      <w:marBottom w:val="0"/>
      <w:divBdr>
        <w:top w:val="none" w:sz="0" w:space="0" w:color="auto"/>
        <w:left w:val="none" w:sz="0" w:space="0" w:color="auto"/>
        <w:bottom w:val="none" w:sz="0" w:space="0" w:color="auto"/>
        <w:right w:val="none" w:sz="0" w:space="0" w:color="auto"/>
      </w:divBdr>
    </w:div>
    <w:div w:id="233248277">
      <w:bodyDiv w:val="1"/>
      <w:marLeft w:val="0"/>
      <w:marRight w:val="0"/>
      <w:marTop w:val="0"/>
      <w:marBottom w:val="0"/>
      <w:divBdr>
        <w:top w:val="none" w:sz="0" w:space="0" w:color="auto"/>
        <w:left w:val="none" w:sz="0" w:space="0" w:color="auto"/>
        <w:bottom w:val="none" w:sz="0" w:space="0" w:color="auto"/>
        <w:right w:val="none" w:sz="0" w:space="0" w:color="auto"/>
      </w:divBdr>
    </w:div>
    <w:div w:id="258677941">
      <w:bodyDiv w:val="1"/>
      <w:marLeft w:val="0"/>
      <w:marRight w:val="0"/>
      <w:marTop w:val="0"/>
      <w:marBottom w:val="0"/>
      <w:divBdr>
        <w:top w:val="none" w:sz="0" w:space="0" w:color="auto"/>
        <w:left w:val="none" w:sz="0" w:space="0" w:color="auto"/>
        <w:bottom w:val="none" w:sz="0" w:space="0" w:color="auto"/>
        <w:right w:val="none" w:sz="0" w:space="0" w:color="auto"/>
      </w:divBdr>
      <w:divsChild>
        <w:div w:id="1927036269">
          <w:marLeft w:val="0"/>
          <w:marRight w:val="0"/>
          <w:marTop w:val="0"/>
          <w:marBottom w:val="0"/>
          <w:divBdr>
            <w:top w:val="none" w:sz="0" w:space="0" w:color="auto"/>
            <w:left w:val="none" w:sz="0" w:space="0" w:color="auto"/>
            <w:bottom w:val="none" w:sz="0" w:space="0" w:color="auto"/>
            <w:right w:val="none" w:sz="0" w:space="0" w:color="auto"/>
          </w:divBdr>
          <w:divsChild>
            <w:div w:id="2011591130">
              <w:marLeft w:val="0"/>
              <w:marRight w:val="0"/>
              <w:marTop w:val="0"/>
              <w:marBottom w:val="0"/>
              <w:divBdr>
                <w:top w:val="none" w:sz="0" w:space="0" w:color="auto"/>
                <w:left w:val="none" w:sz="0" w:space="0" w:color="auto"/>
                <w:bottom w:val="none" w:sz="0" w:space="0" w:color="auto"/>
                <w:right w:val="none" w:sz="0" w:space="0" w:color="auto"/>
              </w:divBdr>
              <w:divsChild>
                <w:div w:id="22246204">
                  <w:marLeft w:val="0"/>
                  <w:marRight w:val="0"/>
                  <w:marTop w:val="0"/>
                  <w:marBottom w:val="0"/>
                  <w:divBdr>
                    <w:top w:val="none" w:sz="0" w:space="0" w:color="auto"/>
                    <w:left w:val="none" w:sz="0" w:space="0" w:color="auto"/>
                    <w:bottom w:val="none" w:sz="0" w:space="0" w:color="auto"/>
                    <w:right w:val="none" w:sz="0" w:space="0" w:color="auto"/>
                  </w:divBdr>
                  <w:divsChild>
                    <w:div w:id="1826898148">
                      <w:marLeft w:val="0"/>
                      <w:marRight w:val="0"/>
                      <w:marTop w:val="0"/>
                      <w:marBottom w:val="0"/>
                      <w:divBdr>
                        <w:top w:val="none" w:sz="0" w:space="0" w:color="auto"/>
                        <w:left w:val="none" w:sz="0" w:space="0" w:color="auto"/>
                        <w:bottom w:val="none" w:sz="0" w:space="0" w:color="auto"/>
                        <w:right w:val="none" w:sz="0" w:space="0" w:color="auto"/>
                      </w:divBdr>
                      <w:divsChild>
                        <w:div w:id="1246499213">
                          <w:marLeft w:val="0"/>
                          <w:marRight w:val="0"/>
                          <w:marTop w:val="0"/>
                          <w:marBottom w:val="0"/>
                          <w:divBdr>
                            <w:top w:val="none" w:sz="0" w:space="0" w:color="auto"/>
                            <w:left w:val="none" w:sz="0" w:space="0" w:color="auto"/>
                            <w:bottom w:val="none" w:sz="0" w:space="0" w:color="auto"/>
                            <w:right w:val="none" w:sz="0" w:space="0" w:color="auto"/>
                          </w:divBdr>
                          <w:divsChild>
                            <w:div w:id="676154682">
                              <w:marLeft w:val="0"/>
                              <w:marRight w:val="0"/>
                              <w:marTop w:val="0"/>
                              <w:marBottom w:val="0"/>
                              <w:divBdr>
                                <w:top w:val="none" w:sz="0" w:space="0" w:color="auto"/>
                                <w:left w:val="none" w:sz="0" w:space="0" w:color="auto"/>
                                <w:bottom w:val="none" w:sz="0" w:space="0" w:color="auto"/>
                                <w:right w:val="none" w:sz="0" w:space="0" w:color="auto"/>
                              </w:divBdr>
                              <w:divsChild>
                                <w:div w:id="570504100">
                                  <w:marLeft w:val="0"/>
                                  <w:marRight w:val="0"/>
                                  <w:marTop w:val="0"/>
                                  <w:marBottom w:val="0"/>
                                  <w:divBdr>
                                    <w:top w:val="none" w:sz="0" w:space="0" w:color="auto"/>
                                    <w:left w:val="none" w:sz="0" w:space="0" w:color="auto"/>
                                    <w:bottom w:val="none" w:sz="0" w:space="0" w:color="auto"/>
                                    <w:right w:val="none" w:sz="0" w:space="0" w:color="auto"/>
                                  </w:divBdr>
                                  <w:divsChild>
                                    <w:div w:id="802382415">
                                      <w:marLeft w:val="0"/>
                                      <w:marRight w:val="0"/>
                                      <w:marTop w:val="0"/>
                                      <w:marBottom w:val="0"/>
                                      <w:divBdr>
                                        <w:top w:val="none" w:sz="0" w:space="0" w:color="auto"/>
                                        <w:left w:val="none" w:sz="0" w:space="0" w:color="auto"/>
                                        <w:bottom w:val="none" w:sz="0" w:space="0" w:color="auto"/>
                                        <w:right w:val="none" w:sz="0" w:space="0" w:color="auto"/>
                                      </w:divBdr>
                                      <w:divsChild>
                                        <w:div w:id="873887447">
                                          <w:marLeft w:val="0"/>
                                          <w:marRight w:val="0"/>
                                          <w:marTop w:val="0"/>
                                          <w:marBottom w:val="0"/>
                                          <w:divBdr>
                                            <w:top w:val="none" w:sz="0" w:space="0" w:color="auto"/>
                                            <w:left w:val="none" w:sz="0" w:space="0" w:color="auto"/>
                                            <w:bottom w:val="none" w:sz="0" w:space="0" w:color="auto"/>
                                            <w:right w:val="none" w:sz="0" w:space="0" w:color="auto"/>
                                          </w:divBdr>
                                          <w:divsChild>
                                            <w:div w:id="887837333">
                                              <w:marLeft w:val="0"/>
                                              <w:marRight w:val="0"/>
                                              <w:marTop w:val="0"/>
                                              <w:marBottom w:val="0"/>
                                              <w:divBdr>
                                                <w:top w:val="none" w:sz="0" w:space="0" w:color="auto"/>
                                                <w:left w:val="none" w:sz="0" w:space="0" w:color="auto"/>
                                                <w:bottom w:val="none" w:sz="0" w:space="0" w:color="auto"/>
                                                <w:right w:val="none" w:sz="0" w:space="0" w:color="auto"/>
                                              </w:divBdr>
                                              <w:divsChild>
                                                <w:div w:id="1201433312">
                                                  <w:marLeft w:val="0"/>
                                                  <w:marRight w:val="0"/>
                                                  <w:marTop w:val="0"/>
                                                  <w:marBottom w:val="0"/>
                                                  <w:divBdr>
                                                    <w:top w:val="none" w:sz="0" w:space="0" w:color="auto"/>
                                                    <w:left w:val="none" w:sz="0" w:space="0" w:color="auto"/>
                                                    <w:bottom w:val="none" w:sz="0" w:space="0" w:color="auto"/>
                                                    <w:right w:val="none" w:sz="0" w:space="0" w:color="auto"/>
                                                  </w:divBdr>
                                                  <w:divsChild>
                                                    <w:div w:id="623384629">
                                                      <w:marLeft w:val="0"/>
                                                      <w:marRight w:val="0"/>
                                                      <w:marTop w:val="0"/>
                                                      <w:marBottom w:val="0"/>
                                                      <w:divBdr>
                                                        <w:top w:val="none" w:sz="0" w:space="0" w:color="auto"/>
                                                        <w:left w:val="none" w:sz="0" w:space="0" w:color="auto"/>
                                                        <w:bottom w:val="none" w:sz="0" w:space="0" w:color="auto"/>
                                                        <w:right w:val="none" w:sz="0" w:space="0" w:color="auto"/>
                                                      </w:divBdr>
                                                      <w:divsChild>
                                                        <w:div w:id="1561017699">
                                                          <w:marLeft w:val="0"/>
                                                          <w:marRight w:val="0"/>
                                                          <w:marTop w:val="0"/>
                                                          <w:marBottom w:val="0"/>
                                                          <w:divBdr>
                                                            <w:top w:val="none" w:sz="0" w:space="0" w:color="auto"/>
                                                            <w:left w:val="none" w:sz="0" w:space="0" w:color="auto"/>
                                                            <w:bottom w:val="none" w:sz="0" w:space="0" w:color="auto"/>
                                                            <w:right w:val="none" w:sz="0" w:space="0" w:color="auto"/>
                                                          </w:divBdr>
                                                          <w:divsChild>
                                                            <w:div w:id="1959098659">
                                                              <w:marLeft w:val="0"/>
                                                              <w:marRight w:val="0"/>
                                                              <w:marTop w:val="0"/>
                                                              <w:marBottom w:val="0"/>
                                                              <w:divBdr>
                                                                <w:top w:val="none" w:sz="0" w:space="0" w:color="auto"/>
                                                                <w:left w:val="none" w:sz="0" w:space="0" w:color="auto"/>
                                                                <w:bottom w:val="none" w:sz="0" w:space="0" w:color="auto"/>
                                                                <w:right w:val="none" w:sz="0" w:space="0" w:color="auto"/>
                                                              </w:divBdr>
                                                              <w:divsChild>
                                                                <w:div w:id="37171583">
                                                                  <w:marLeft w:val="0"/>
                                                                  <w:marRight w:val="0"/>
                                                                  <w:marTop w:val="0"/>
                                                                  <w:marBottom w:val="0"/>
                                                                  <w:divBdr>
                                                                    <w:top w:val="none" w:sz="0" w:space="0" w:color="auto"/>
                                                                    <w:left w:val="none" w:sz="0" w:space="0" w:color="auto"/>
                                                                    <w:bottom w:val="none" w:sz="0" w:space="0" w:color="auto"/>
                                                                    <w:right w:val="none" w:sz="0" w:space="0" w:color="auto"/>
                                                                  </w:divBdr>
                                                                  <w:divsChild>
                                                                    <w:div w:id="466051235">
                                                                      <w:marLeft w:val="0"/>
                                                                      <w:marRight w:val="0"/>
                                                                      <w:marTop w:val="0"/>
                                                                      <w:marBottom w:val="0"/>
                                                                      <w:divBdr>
                                                                        <w:top w:val="none" w:sz="0" w:space="0" w:color="auto"/>
                                                                        <w:left w:val="none" w:sz="0" w:space="0" w:color="auto"/>
                                                                        <w:bottom w:val="none" w:sz="0" w:space="0" w:color="auto"/>
                                                                        <w:right w:val="none" w:sz="0" w:space="0" w:color="auto"/>
                                                                      </w:divBdr>
                                                                      <w:divsChild>
                                                                        <w:div w:id="1927956766">
                                                                          <w:marLeft w:val="600"/>
                                                                          <w:marRight w:val="0"/>
                                                                          <w:marTop w:val="0"/>
                                                                          <w:marBottom w:val="0"/>
                                                                          <w:divBdr>
                                                                            <w:top w:val="none" w:sz="0" w:space="0" w:color="auto"/>
                                                                            <w:left w:val="none" w:sz="0" w:space="0" w:color="auto"/>
                                                                            <w:bottom w:val="none" w:sz="0" w:space="0" w:color="auto"/>
                                                                            <w:right w:val="none" w:sz="0" w:space="0" w:color="auto"/>
                                                                          </w:divBdr>
                                                                        </w:div>
                                                                        <w:div w:id="851064669">
                                                                          <w:marLeft w:val="600"/>
                                                                          <w:marRight w:val="0"/>
                                                                          <w:marTop w:val="0"/>
                                                                          <w:marBottom w:val="0"/>
                                                                          <w:divBdr>
                                                                            <w:top w:val="none" w:sz="0" w:space="0" w:color="auto"/>
                                                                            <w:left w:val="none" w:sz="0" w:space="0" w:color="auto"/>
                                                                            <w:bottom w:val="none" w:sz="0" w:space="0" w:color="auto"/>
                                                                            <w:right w:val="none" w:sz="0" w:space="0" w:color="auto"/>
                                                                          </w:divBdr>
                                                                        </w:div>
                                                                        <w:div w:id="2120097151">
                                                                          <w:marLeft w:val="600"/>
                                                                          <w:marRight w:val="0"/>
                                                                          <w:marTop w:val="0"/>
                                                                          <w:marBottom w:val="0"/>
                                                                          <w:divBdr>
                                                                            <w:top w:val="none" w:sz="0" w:space="0" w:color="auto"/>
                                                                            <w:left w:val="none" w:sz="0" w:space="0" w:color="auto"/>
                                                                            <w:bottom w:val="none" w:sz="0" w:space="0" w:color="auto"/>
                                                                            <w:right w:val="none" w:sz="0" w:space="0" w:color="auto"/>
                                                                          </w:divBdr>
                                                                        </w:div>
                                                                        <w:div w:id="414983169">
                                                                          <w:marLeft w:val="600"/>
                                                                          <w:marRight w:val="0"/>
                                                                          <w:marTop w:val="0"/>
                                                                          <w:marBottom w:val="0"/>
                                                                          <w:divBdr>
                                                                            <w:top w:val="none" w:sz="0" w:space="0" w:color="auto"/>
                                                                            <w:left w:val="none" w:sz="0" w:space="0" w:color="auto"/>
                                                                            <w:bottom w:val="none" w:sz="0" w:space="0" w:color="auto"/>
                                                                            <w:right w:val="none" w:sz="0" w:space="0" w:color="auto"/>
                                                                          </w:divBdr>
                                                                        </w:div>
                                                                        <w:div w:id="1060009438">
                                                                          <w:marLeft w:val="600"/>
                                                                          <w:marRight w:val="0"/>
                                                                          <w:marTop w:val="0"/>
                                                                          <w:marBottom w:val="0"/>
                                                                          <w:divBdr>
                                                                            <w:top w:val="none" w:sz="0" w:space="0" w:color="auto"/>
                                                                            <w:left w:val="none" w:sz="0" w:space="0" w:color="auto"/>
                                                                            <w:bottom w:val="none" w:sz="0" w:space="0" w:color="auto"/>
                                                                            <w:right w:val="none" w:sz="0" w:space="0" w:color="auto"/>
                                                                          </w:divBdr>
                                                                        </w:div>
                                                                        <w:div w:id="33818439">
                                                                          <w:marLeft w:val="600"/>
                                                                          <w:marRight w:val="0"/>
                                                                          <w:marTop w:val="0"/>
                                                                          <w:marBottom w:val="0"/>
                                                                          <w:divBdr>
                                                                            <w:top w:val="none" w:sz="0" w:space="0" w:color="auto"/>
                                                                            <w:left w:val="none" w:sz="0" w:space="0" w:color="auto"/>
                                                                            <w:bottom w:val="none" w:sz="0" w:space="0" w:color="auto"/>
                                                                            <w:right w:val="none" w:sz="0" w:space="0" w:color="auto"/>
                                                                          </w:divBdr>
                                                                        </w:div>
                                                                        <w:div w:id="1228883398">
                                                                          <w:marLeft w:val="600"/>
                                                                          <w:marRight w:val="0"/>
                                                                          <w:marTop w:val="0"/>
                                                                          <w:marBottom w:val="0"/>
                                                                          <w:divBdr>
                                                                            <w:top w:val="none" w:sz="0" w:space="0" w:color="auto"/>
                                                                            <w:left w:val="none" w:sz="0" w:space="0" w:color="auto"/>
                                                                            <w:bottom w:val="none" w:sz="0" w:space="0" w:color="auto"/>
                                                                            <w:right w:val="none" w:sz="0" w:space="0" w:color="auto"/>
                                                                          </w:divBdr>
                                                                        </w:div>
                                                                        <w:div w:id="1493981660">
                                                                          <w:marLeft w:val="600"/>
                                                                          <w:marRight w:val="0"/>
                                                                          <w:marTop w:val="0"/>
                                                                          <w:marBottom w:val="0"/>
                                                                          <w:divBdr>
                                                                            <w:top w:val="none" w:sz="0" w:space="0" w:color="auto"/>
                                                                            <w:left w:val="none" w:sz="0" w:space="0" w:color="auto"/>
                                                                            <w:bottom w:val="none" w:sz="0" w:space="0" w:color="auto"/>
                                                                            <w:right w:val="none" w:sz="0" w:space="0" w:color="auto"/>
                                                                          </w:divBdr>
                                                                        </w:div>
                                                                        <w:div w:id="1802966120">
                                                                          <w:marLeft w:val="600"/>
                                                                          <w:marRight w:val="0"/>
                                                                          <w:marTop w:val="0"/>
                                                                          <w:marBottom w:val="0"/>
                                                                          <w:divBdr>
                                                                            <w:top w:val="none" w:sz="0" w:space="0" w:color="auto"/>
                                                                            <w:left w:val="none" w:sz="0" w:space="0" w:color="auto"/>
                                                                            <w:bottom w:val="none" w:sz="0" w:space="0" w:color="auto"/>
                                                                            <w:right w:val="none" w:sz="0" w:space="0" w:color="auto"/>
                                                                          </w:divBdr>
                                                                        </w:div>
                                                                        <w:div w:id="145367000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223682">
      <w:bodyDiv w:val="1"/>
      <w:marLeft w:val="0"/>
      <w:marRight w:val="0"/>
      <w:marTop w:val="0"/>
      <w:marBottom w:val="0"/>
      <w:divBdr>
        <w:top w:val="none" w:sz="0" w:space="0" w:color="auto"/>
        <w:left w:val="none" w:sz="0" w:space="0" w:color="auto"/>
        <w:bottom w:val="none" w:sz="0" w:space="0" w:color="auto"/>
        <w:right w:val="none" w:sz="0" w:space="0" w:color="auto"/>
      </w:divBdr>
    </w:div>
    <w:div w:id="287127500">
      <w:bodyDiv w:val="1"/>
      <w:marLeft w:val="0"/>
      <w:marRight w:val="0"/>
      <w:marTop w:val="0"/>
      <w:marBottom w:val="0"/>
      <w:divBdr>
        <w:top w:val="none" w:sz="0" w:space="0" w:color="auto"/>
        <w:left w:val="none" w:sz="0" w:space="0" w:color="auto"/>
        <w:bottom w:val="none" w:sz="0" w:space="0" w:color="auto"/>
        <w:right w:val="none" w:sz="0" w:space="0" w:color="auto"/>
      </w:divBdr>
    </w:div>
    <w:div w:id="322777250">
      <w:bodyDiv w:val="1"/>
      <w:marLeft w:val="0"/>
      <w:marRight w:val="0"/>
      <w:marTop w:val="0"/>
      <w:marBottom w:val="0"/>
      <w:divBdr>
        <w:top w:val="none" w:sz="0" w:space="0" w:color="auto"/>
        <w:left w:val="none" w:sz="0" w:space="0" w:color="auto"/>
        <w:bottom w:val="none" w:sz="0" w:space="0" w:color="auto"/>
        <w:right w:val="none" w:sz="0" w:space="0" w:color="auto"/>
      </w:divBdr>
    </w:div>
    <w:div w:id="336155522">
      <w:bodyDiv w:val="1"/>
      <w:marLeft w:val="0"/>
      <w:marRight w:val="0"/>
      <w:marTop w:val="0"/>
      <w:marBottom w:val="0"/>
      <w:divBdr>
        <w:top w:val="none" w:sz="0" w:space="0" w:color="auto"/>
        <w:left w:val="none" w:sz="0" w:space="0" w:color="auto"/>
        <w:bottom w:val="none" w:sz="0" w:space="0" w:color="auto"/>
        <w:right w:val="none" w:sz="0" w:space="0" w:color="auto"/>
      </w:divBdr>
    </w:div>
    <w:div w:id="340664015">
      <w:bodyDiv w:val="1"/>
      <w:marLeft w:val="0"/>
      <w:marRight w:val="0"/>
      <w:marTop w:val="0"/>
      <w:marBottom w:val="0"/>
      <w:divBdr>
        <w:top w:val="none" w:sz="0" w:space="0" w:color="auto"/>
        <w:left w:val="none" w:sz="0" w:space="0" w:color="auto"/>
        <w:bottom w:val="none" w:sz="0" w:space="0" w:color="auto"/>
        <w:right w:val="none" w:sz="0" w:space="0" w:color="auto"/>
      </w:divBdr>
    </w:div>
    <w:div w:id="361706831">
      <w:bodyDiv w:val="1"/>
      <w:marLeft w:val="0"/>
      <w:marRight w:val="0"/>
      <w:marTop w:val="0"/>
      <w:marBottom w:val="0"/>
      <w:divBdr>
        <w:top w:val="none" w:sz="0" w:space="0" w:color="auto"/>
        <w:left w:val="none" w:sz="0" w:space="0" w:color="auto"/>
        <w:bottom w:val="none" w:sz="0" w:space="0" w:color="auto"/>
        <w:right w:val="none" w:sz="0" w:space="0" w:color="auto"/>
      </w:divBdr>
    </w:div>
    <w:div w:id="374163442">
      <w:bodyDiv w:val="1"/>
      <w:marLeft w:val="0"/>
      <w:marRight w:val="0"/>
      <w:marTop w:val="0"/>
      <w:marBottom w:val="0"/>
      <w:divBdr>
        <w:top w:val="none" w:sz="0" w:space="0" w:color="auto"/>
        <w:left w:val="none" w:sz="0" w:space="0" w:color="auto"/>
        <w:bottom w:val="none" w:sz="0" w:space="0" w:color="auto"/>
        <w:right w:val="none" w:sz="0" w:space="0" w:color="auto"/>
      </w:divBdr>
    </w:div>
    <w:div w:id="385180797">
      <w:bodyDiv w:val="1"/>
      <w:marLeft w:val="0"/>
      <w:marRight w:val="0"/>
      <w:marTop w:val="0"/>
      <w:marBottom w:val="0"/>
      <w:divBdr>
        <w:top w:val="none" w:sz="0" w:space="0" w:color="auto"/>
        <w:left w:val="none" w:sz="0" w:space="0" w:color="auto"/>
        <w:bottom w:val="none" w:sz="0" w:space="0" w:color="auto"/>
        <w:right w:val="none" w:sz="0" w:space="0" w:color="auto"/>
      </w:divBdr>
    </w:div>
    <w:div w:id="401678093">
      <w:bodyDiv w:val="1"/>
      <w:marLeft w:val="0"/>
      <w:marRight w:val="0"/>
      <w:marTop w:val="0"/>
      <w:marBottom w:val="0"/>
      <w:divBdr>
        <w:top w:val="none" w:sz="0" w:space="0" w:color="auto"/>
        <w:left w:val="none" w:sz="0" w:space="0" w:color="auto"/>
        <w:bottom w:val="none" w:sz="0" w:space="0" w:color="auto"/>
        <w:right w:val="none" w:sz="0" w:space="0" w:color="auto"/>
      </w:divBdr>
    </w:div>
    <w:div w:id="422259228">
      <w:bodyDiv w:val="1"/>
      <w:marLeft w:val="0"/>
      <w:marRight w:val="0"/>
      <w:marTop w:val="0"/>
      <w:marBottom w:val="0"/>
      <w:divBdr>
        <w:top w:val="none" w:sz="0" w:space="0" w:color="auto"/>
        <w:left w:val="none" w:sz="0" w:space="0" w:color="auto"/>
        <w:bottom w:val="none" w:sz="0" w:space="0" w:color="auto"/>
        <w:right w:val="none" w:sz="0" w:space="0" w:color="auto"/>
      </w:divBdr>
    </w:div>
    <w:div w:id="490102176">
      <w:bodyDiv w:val="1"/>
      <w:marLeft w:val="0"/>
      <w:marRight w:val="0"/>
      <w:marTop w:val="0"/>
      <w:marBottom w:val="0"/>
      <w:divBdr>
        <w:top w:val="none" w:sz="0" w:space="0" w:color="auto"/>
        <w:left w:val="none" w:sz="0" w:space="0" w:color="auto"/>
        <w:bottom w:val="none" w:sz="0" w:space="0" w:color="auto"/>
        <w:right w:val="none" w:sz="0" w:space="0" w:color="auto"/>
      </w:divBdr>
    </w:div>
    <w:div w:id="496847367">
      <w:bodyDiv w:val="1"/>
      <w:marLeft w:val="0"/>
      <w:marRight w:val="0"/>
      <w:marTop w:val="0"/>
      <w:marBottom w:val="0"/>
      <w:divBdr>
        <w:top w:val="none" w:sz="0" w:space="0" w:color="auto"/>
        <w:left w:val="none" w:sz="0" w:space="0" w:color="auto"/>
        <w:bottom w:val="none" w:sz="0" w:space="0" w:color="auto"/>
        <w:right w:val="none" w:sz="0" w:space="0" w:color="auto"/>
      </w:divBdr>
    </w:div>
    <w:div w:id="511801452">
      <w:bodyDiv w:val="1"/>
      <w:marLeft w:val="0"/>
      <w:marRight w:val="0"/>
      <w:marTop w:val="0"/>
      <w:marBottom w:val="0"/>
      <w:divBdr>
        <w:top w:val="none" w:sz="0" w:space="0" w:color="auto"/>
        <w:left w:val="none" w:sz="0" w:space="0" w:color="auto"/>
        <w:bottom w:val="none" w:sz="0" w:space="0" w:color="auto"/>
        <w:right w:val="none" w:sz="0" w:space="0" w:color="auto"/>
      </w:divBdr>
    </w:div>
    <w:div w:id="522134558">
      <w:bodyDiv w:val="1"/>
      <w:marLeft w:val="0"/>
      <w:marRight w:val="0"/>
      <w:marTop w:val="0"/>
      <w:marBottom w:val="0"/>
      <w:divBdr>
        <w:top w:val="none" w:sz="0" w:space="0" w:color="auto"/>
        <w:left w:val="none" w:sz="0" w:space="0" w:color="auto"/>
        <w:bottom w:val="none" w:sz="0" w:space="0" w:color="auto"/>
        <w:right w:val="none" w:sz="0" w:space="0" w:color="auto"/>
      </w:divBdr>
    </w:div>
    <w:div w:id="537008506">
      <w:bodyDiv w:val="1"/>
      <w:marLeft w:val="0"/>
      <w:marRight w:val="0"/>
      <w:marTop w:val="0"/>
      <w:marBottom w:val="0"/>
      <w:divBdr>
        <w:top w:val="none" w:sz="0" w:space="0" w:color="auto"/>
        <w:left w:val="none" w:sz="0" w:space="0" w:color="auto"/>
        <w:bottom w:val="none" w:sz="0" w:space="0" w:color="auto"/>
        <w:right w:val="none" w:sz="0" w:space="0" w:color="auto"/>
      </w:divBdr>
    </w:div>
    <w:div w:id="548347532">
      <w:bodyDiv w:val="1"/>
      <w:marLeft w:val="0"/>
      <w:marRight w:val="0"/>
      <w:marTop w:val="0"/>
      <w:marBottom w:val="0"/>
      <w:divBdr>
        <w:top w:val="none" w:sz="0" w:space="0" w:color="auto"/>
        <w:left w:val="none" w:sz="0" w:space="0" w:color="auto"/>
        <w:bottom w:val="none" w:sz="0" w:space="0" w:color="auto"/>
        <w:right w:val="none" w:sz="0" w:space="0" w:color="auto"/>
      </w:divBdr>
    </w:div>
    <w:div w:id="560333240">
      <w:bodyDiv w:val="1"/>
      <w:marLeft w:val="0"/>
      <w:marRight w:val="0"/>
      <w:marTop w:val="0"/>
      <w:marBottom w:val="0"/>
      <w:divBdr>
        <w:top w:val="none" w:sz="0" w:space="0" w:color="auto"/>
        <w:left w:val="none" w:sz="0" w:space="0" w:color="auto"/>
        <w:bottom w:val="none" w:sz="0" w:space="0" w:color="auto"/>
        <w:right w:val="none" w:sz="0" w:space="0" w:color="auto"/>
      </w:divBdr>
    </w:div>
    <w:div w:id="571046399">
      <w:bodyDiv w:val="1"/>
      <w:marLeft w:val="0"/>
      <w:marRight w:val="0"/>
      <w:marTop w:val="0"/>
      <w:marBottom w:val="0"/>
      <w:divBdr>
        <w:top w:val="none" w:sz="0" w:space="0" w:color="auto"/>
        <w:left w:val="none" w:sz="0" w:space="0" w:color="auto"/>
        <w:bottom w:val="none" w:sz="0" w:space="0" w:color="auto"/>
        <w:right w:val="none" w:sz="0" w:space="0" w:color="auto"/>
      </w:divBdr>
    </w:div>
    <w:div w:id="627247275">
      <w:bodyDiv w:val="1"/>
      <w:marLeft w:val="0"/>
      <w:marRight w:val="0"/>
      <w:marTop w:val="0"/>
      <w:marBottom w:val="0"/>
      <w:divBdr>
        <w:top w:val="none" w:sz="0" w:space="0" w:color="auto"/>
        <w:left w:val="none" w:sz="0" w:space="0" w:color="auto"/>
        <w:bottom w:val="none" w:sz="0" w:space="0" w:color="auto"/>
        <w:right w:val="none" w:sz="0" w:space="0" w:color="auto"/>
      </w:divBdr>
    </w:div>
    <w:div w:id="651057936">
      <w:bodyDiv w:val="1"/>
      <w:marLeft w:val="0"/>
      <w:marRight w:val="0"/>
      <w:marTop w:val="0"/>
      <w:marBottom w:val="0"/>
      <w:divBdr>
        <w:top w:val="none" w:sz="0" w:space="0" w:color="auto"/>
        <w:left w:val="none" w:sz="0" w:space="0" w:color="auto"/>
        <w:bottom w:val="none" w:sz="0" w:space="0" w:color="auto"/>
        <w:right w:val="none" w:sz="0" w:space="0" w:color="auto"/>
      </w:divBdr>
    </w:div>
    <w:div w:id="655187533">
      <w:bodyDiv w:val="1"/>
      <w:marLeft w:val="0"/>
      <w:marRight w:val="0"/>
      <w:marTop w:val="0"/>
      <w:marBottom w:val="0"/>
      <w:divBdr>
        <w:top w:val="none" w:sz="0" w:space="0" w:color="auto"/>
        <w:left w:val="none" w:sz="0" w:space="0" w:color="auto"/>
        <w:bottom w:val="none" w:sz="0" w:space="0" w:color="auto"/>
        <w:right w:val="none" w:sz="0" w:space="0" w:color="auto"/>
      </w:divBdr>
    </w:div>
    <w:div w:id="657415830">
      <w:bodyDiv w:val="1"/>
      <w:marLeft w:val="0"/>
      <w:marRight w:val="0"/>
      <w:marTop w:val="0"/>
      <w:marBottom w:val="0"/>
      <w:divBdr>
        <w:top w:val="none" w:sz="0" w:space="0" w:color="auto"/>
        <w:left w:val="none" w:sz="0" w:space="0" w:color="auto"/>
        <w:bottom w:val="none" w:sz="0" w:space="0" w:color="auto"/>
        <w:right w:val="none" w:sz="0" w:space="0" w:color="auto"/>
      </w:divBdr>
    </w:div>
    <w:div w:id="689112553">
      <w:bodyDiv w:val="1"/>
      <w:marLeft w:val="0"/>
      <w:marRight w:val="0"/>
      <w:marTop w:val="0"/>
      <w:marBottom w:val="0"/>
      <w:divBdr>
        <w:top w:val="none" w:sz="0" w:space="0" w:color="auto"/>
        <w:left w:val="none" w:sz="0" w:space="0" w:color="auto"/>
        <w:bottom w:val="none" w:sz="0" w:space="0" w:color="auto"/>
        <w:right w:val="none" w:sz="0" w:space="0" w:color="auto"/>
      </w:divBdr>
    </w:div>
    <w:div w:id="693923075">
      <w:bodyDiv w:val="1"/>
      <w:marLeft w:val="0"/>
      <w:marRight w:val="0"/>
      <w:marTop w:val="0"/>
      <w:marBottom w:val="0"/>
      <w:divBdr>
        <w:top w:val="none" w:sz="0" w:space="0" w:color="auto"/>
        <w:left w:val="none" w:sz="0" w:space="0" w:color="auto"/>
        <w:bottom w:val="none" w:sz="0" w:space="0" w:color="auto"/>
        <w:right w:val="none" w:sz="0" w:space="0" w:color="auto"/>
      </w:divBdr>
    </w:div>
    <w:div w:id="696741182">
      <w:bodyDiv w:val="1"/>
      <w:marLeft w:val="0"/>
      <w:marRight w:val="0"/>
      <w:marTop w:val="0"/>
      <w:marBottom w:val="0"/>
      <w:divBdr>
        <w:top w:val="none" w:sz="0" w:space="0" w:color="auto"/>
        <w:left w:val="none" w:sz="0" w:space="0" w:color="auto"/>
        <w:bottom w:val="none" w:sz="0" w:space="0" w:color="auto"/>
        <w:right w:val="none" w:sz="0" w:space="0" w:color="auto"/>
      </w:divBdr>
    </w:div>
    <w:div w:id="710157308">
      <w:bodyDiv w:val="1"/>
      <w:marLeft w:val="0"/>
      <w:marRight w:val="0"/>
      <w:marTop w:val="0"/>
      <w:marBottom w:val="0"/>
      <w:divBdr>
        <w:top w:val="none" w:sz="0" w:space="0" w:color="auto"/>
        <w:left w:val="none" w:sz="0" w:space="0" w:color="auto"/>
        <w:bottom w:val="none" w:sz="0" w:space="0" w:color="auto"/>
        <w:right w:val="none" w:sz="0" w:space="0" w:color="auto"/>
      </w:divBdr>
    </w:div>
    <w:div w:id="723412178">
      <w:bodyDiv w:val="1"/>
      <w:marLeft w:val="0"/>
      <w:marRight w:val="0"/>
      <w:marTop w:val="0"/>
      <w:marBottom w:val="0"/>
      <w:divBdr>
        <w:top w:val="none" w:sz="0" w:space="0" w:color="auto"/>
        <w:left w:val="none" w:sz="0" w:space="0" w:color="auto"/>
        <w:bottom w:val="none" w:sz="0" w:space="0" w:color="auto"/>
        <w:right w:val="none" w:sz="0" w:space="0" w:color="auto"/>
      </w:divBdr>
    </w:div>
    <w:div w:id="725954091">
      <w:bodyDiv w:val="1"/>
      <w:marLeft w:val="0"/>
      <w:marRight w:val="0"/>
      <w:marTop w:val="0"/>
      <w:marBottom w:val="0"/>
      <w:divBdr>
        <w:top w:val="none" w:sz="0" w:space="0" w:color="auto"/>
        <w:left w:val="none" w:sz="0" w:space="0" w:color="auto"/>
        <w:bottom w:val="none" w:sz="0" w:space="0" w:color="auto"/>
        <w:right w:val="none" w:sz="0" w:space="0" w:color="auto"/>
      </w:divBdr>
    </w:div>
    <w:div w:id="762065535">
      <w:bodyDiv w:val="1"/>
      <w:marLeft w:val="0"/>
      <w:marRight w:val="0"/>
      <w:marTop w:val="0"/>
      <w:marBottom w:val="0"/>
      <w:divBdr>
        <w:top w:val="none" w:sz="0" w:space="0" w:color="auto"/>
        <w:left w:val="none" w:sz="0" w:space="0" w:color="auto"/>
        <w:bottom w:val="none" w:sz="0" w:space="0" w:color="auto"/>
        <w:right w:val="none" w:sz="0" w:space="0" w:color="auto"/>
      </w:divBdr>
    </w:div>
    <w:div w:id="776754808">
      <w:bodyDiv w:val="1"/>
      <w:marLeft w:val="0"/>
      <w:marRight w:val="0"/>
      <w:marTop w:val="0"/>
      <w:marBottom w:val="0"/>
      <w:divBdr>
        <w:top w:val="none" w:sz="0" w:space="0" w:color="auto"/>
        <w:left w:val="none" w:sz="0" w:space="0" w:color="auto"/>
        <w:bottom w:val="none" w:sz="0" w:space="0" w:color="auto"/>
        <w:right w:val="none" w:sz="0" w:space="0" w:color="auto"/>
      </w:divBdr>
    </w:div>
    <w:div w:id="789714167">
      <w:bodyDiv w:val="1"/>
      <w:marLeft w:val="0"/>
      <w:marRight w:val="0"/>
      <w:marTop w:val="0"/>
      <w:marBottom w:val="0"/>
      <w:divBdr>
        <w:top w:val="none" w:sz="0" w:space="0" w:color="auto"/>
        <w:left w:val="none" w:sz="0" w:space="0" w:color="auto"/>
        <w:bottom w:val="none" w:sz="0" w:space="0" w:color="auto"/>
        <w:right w:val="none" w:sz="0" w:space="0" w:color="auto"/>
      </w:divBdr>
    </w:div>
    <w:div w:id="799495312">
      <w:bodyDiv w:val="1"/>
      <w:marLeft w:val="0"/>
      <w:marRight w:val="0"/>
      <w:marTop w:val="0"/>
      <w:marBottom w:val="0"/>
      <w:divBdr>
        <w:top w:val="none" w:sz="0" w:space="0" w:color="auto"/>
        <w:left w:val="none" w:sz="0" w:space="0" w:color="auto"/>
        <w:bottom w:val="none" w:sz="0" w:space="0" w:color="auto"/>
        <w:right w:val="none" w:sz="0" w:space="0" w:color="auto"/>
      </w:divBdr>
    </w:div>
    <w:div w:id="806358553">
      <w:bodyDiv w:val="1"/>
      <w:marLeft w:val="0"/>
      <w:marRight w:val="0"/>
      <w:marTop w:val="0"/>
      <w:marBottom w:val="0"/>
      <w:divBdr>
        <w:top w:val="none" w:sz="0" w:space="0" w:color="auto"/>
        <w:left w:val="none" w:sz="0" w:space="0" w:color="auto"/>
        <w:bottom w:val="none" w:sz="0" w:space="0" w:color="auto"/>
        <w:right w:val="none" w:sz="0" w:space="0" w:color="auto"/>
      </w:divBdr>
    </w:div>
    <w:div w:id="814566186">
      <w:bodyDiv w:val="1"/>
      <w:marLeft w:val="0"/>
      <w:marRight w:val="0"/>
      <w:marTop w:val="0"/>
      <w:marBottom w:val="0"/>
      <w:divBdr>
        <w:top w:val="none" w:sz="0" w:space="0" w:color="auto"/>
        <w:left w:val="none" w:sz="0" w:space="0" w:color="auto"/>
        <w:bottom w:val="none" w:sz="0" w:space="0" w:color="auto"/>
        <w:right w:val="none" w:sz="0" w:space="0" w:color="auto"/>
      </w:divBdr>
    </w:div>
    <w:div w:id="846867800">
      <w:bodyDiv w:val="1"/>
      <w:marLeft w:val="0"/>
      <w:marRight w:val="0"/>
      <w:marTop w:val="0"/>
      <w:marBottom w:val="0"/>
      <w:divBdr>
        <w:top w:val="none" w:sz="0" w:space="0" w:color="auto"/>
        <w:left w:val="none" w:sz="0" w:space="0" w:color="auto"/>
        <w:bottom w:val="none" w:sz="0" w:space="0" w:color="auto"/>
        <w:right w:val="none" w:sz="0" w:space="0" w:color="auto"/>
      </w:divBdr>
    </w:div>
    <w:div w:id="869879895">
      <w:bodyDiv w:val="1"/>
      <w:marLeft w:val="0"/>
      <w:marRight w:val="0"/>
      <w:marTop w:val="0"/>
      <w:marBottom w:val="0"/>
      <w:divBdr>
        <w:top w:val="none" w:sz="0" w:space="0" w:color="auto"/>
        <w:left w:val="none" w:sz="0" w:space="0" w:color="auto"/>
        <w:bottom w:val="none" w:sz="0" w:space="0" w:color="auto"/>
        <w:right w:val="none" w:sz="0" w:space="0" w:color="auto"/>
      </w:divBdr>
    </w:div>
    <w:div w:id="900169582">
      <w:bodyDiv w:val="1"/>
      <w:marLeft w:val="0"/>
      <w:marRight w:val="0"/>
      <w:marTop w:val="0"/>
      <w:marBottom w:val="0"/>
      <w:divBdr>
        <w:top w:val="none" w:sz="0" w:space="0" w:color="auto"/>
        <w:left w:val="none" w:sz="0" w:space="0" w:color="auto"/>
        <w:bottom w:val="none" w:sz="0" w:space="0" w:color="auto"/>
        <w:right w:val="none" w:sz="0" w:space="0" w:color="auto"/>
      </w:divBdr>
    </w:div>
    <w:div w:id="911310789">
      <w:bodyDiv w:val="1"/>
      <w:marLeft w:val="0"/>
      <w:marRight w:val="0"/>
      <w:marTop w:val="0"/>
      <w:marBottom w:val="0"/>
      <w:divBdr>
        <w:top w:val="none" w:sz="0" w:space="0" w:color="auto"/>
        <w:left w:val="none" w:sz="0" w:space="0" w:color="auto"/>
        <w:bottom w:val="none" w:sz="0" w:space="0" w:color="auto"/>
        <w:right w:val="none" w:sz="0" w:space="0" w:color="auto"/>
      </w:divBdr>
    </w:div>
    <w:div w:id="924218113">
      <w:bodyDiv w:val="1"/>
      <w:marLeft w:val="0"/>
      <w:marRight w:val="0"/>
      <w:marTop w:val="0"/>
      <w:marBottom w:val="0"/>
      <w:divBdr>
        <w:top w:val="none" w:sz="0" w:space="0" w:color="auto"/>
        <w:left w:val="none" w:sz="0" w:space="0" w:color="auto"/>
        <w:bottom w:val="none" w:sz="0" w:space="0" w:color="auto"/>
        <w:right w:val="none" w:sz="0" w:space="0" w:color="auto"/>
      </w:divBdr>
    </w:div>
    <w:div w:id="929044590">
      <w:bodyDiv w:val="1"/>
      <w:marLeft w:val="0"/>
      <w:marRight w:val="0"/>
      <w:marTop w:val="0"/>
      <w:marBottom w:val="0"/>
      <w:divBdr>
        <w:top w:val="none" w:sz="0" w:space="0" w:color="auto"/>
        <w:left w:val="none" w:sz="0" w:space="0" w:color="auto"/>
        <w:bottom w:val="none" w:sz="0" w:space="0" w:color="auto"/>
        <w:right w:val="none" w:sz="0" w:space="0" w:color="auto"/>
      </w:divBdr>
    </w:div>
    <w:div w:id="939487105">
      <w:bodyDiv w:val="1"/>
      <w:marLeft w:val="0"/>
      <w:marRight w:val="0"/>
      <w:marTop w:val="0"/>
      <w:marBottom w:val="0"/>
      <w:divBdr>
        <w:top w:val="none" w:sz="0" w:space="0" w:color="auto"/>
        <w:left w:val="none" w:sz="0" w:space="0" w:color="auto"/>
        <w:bottom w:val="none" w:sz="0" w:space="0" w:color="auto"/>
        <w:right w:val="none" w:sz="0" w:space="0" w:color="auto"/>
      </w:divBdr>
    </w:div>
    <w:div w:id="939797321">
      <w:bodyDiv w:val="1"/>
      <w:marLeft w:val="0"/>
      <w:marRight w:val="0"/>
      <w:marTop w:val="0"/>
      <w:marBottom w:val="0"/>
      <w:divBdr>
        <w:top w:val="none" w:sz="0" w:space="0" w:color="auto"/>
        <w:left w:val="none" w:sz="0" w:space="0" w:color="auto"/>
        <w:bottom w:val="none" w:sz="0" w:space="0" w:color="auto"/>
        <w:right w:val="none" w:sz="0" w:space="0" w:color="auto"/>
      </w:divBdr>
    </w:div>
    <w:div w:id="952251253">
      <w:bodyDiv w:val="1"/>
      <w:marLeft w:val="0"/>
      <w:marRight w:val="0"/>
      <w:marTop w:val="0"/>
      <w:marBottom w:val="0"/>
      <w:divBdr>
        <w:top w:val="none" w:sz="0" w:space="0" w:color="auto"/>
        <w:left w:val="none" w:sz="0" w:space="0" w:color="auto"/>
        <w:bottom w:val="none" w:sz="0" w:space="0" w:color="auto"/>
        <w:right w:val="none" w:sz="0" w:space="0" w:color="auto"/>
      </w:divBdr>
    </w:div>
    <w:div w:id="952439402">
      <w:bodyDiv w:val="1"/>
      <w:marLeft w:val="0"/>
      <w:marRight w:val="0"/>
      <w:marTop w:val="0"/>
      <w:marBottom w:val="0"/>
      <w:divBdr>
        <w:top w:val="none" w:sz="0" w:space="0" w:color="auto"/>
        <w:left w:val="none" w:sz="0" w:space="0" w:color="auto"/>
        <w:bottom w:val="none" w:sz="0" w:space="0" w:color="auto"/>
        <w:right w:val="none" w:sz="0" w:space="0" w:color="auto"/>
      </w:divBdr>
    </w:div>
    <w:div w:id="963460338">
      <w:bodyDiv w:val="1"/>
      <w:marLeft w:val="0"/>
      <w:marRight w:val="0"/>
      <w:marTop w:val="0"/>
      <w:marBottom w:val="0"/>
      <w:divBdr>
        <w:top w:val="none" w:sz="0" w:space="0" w:color="auto"/>
        <w:left w:val="none" w:sz="0" w:space="0" w:color="auto"/>
        <w:bottom w:val="none" w:sz="0" w:space="0" w:color="auto"/>
        <w:right w:val="none" w:sz="0" w:space="0" w:color="auto"/>
      </w:divBdr>
    </w:div>
    <w:div w:id="976766563">
      <w:bodyDiv w:val="1"/>
      <w:marLeft w:val="0"/>
      <w:marRight w:val="0"/>
      <w:marTop w:val="0"/>
      <w:marBottom w:val="0"/>
      <w:divBdr>
        <w:top w:val="none" w:sz="0" w:space="0" w:color="auto"/>
        <w:left w:val="none" w:sz="0" w:space="0" w:color="auto"/>
        <w:bottom w:val="none" w:sz="0" w:space="0" w:color="auto"/>
        <w:right w:val="none" w:sz="0" w:space="0" w:color="auto"/>
      </w:divBdr>
    </w:div>
    <w:div w:id="978993673">
      <w:bodyDiv w:val="1"/>
      <w:marLeft w:val="0"/>
      <w:marRight w:val="0"/>
      <w:marTop w:val="0"/>
      <w:marBottom w:val="0"/>
      <w:divBdr>
        <w:top w:val="none" w:sz="0" w:space="0" w:color="auto"/>
        <w:left w:val="none" w:sz="0" w:space="0" w:color="auto"/>
        <w:bottom w:val="none" w:sz="0" w:space="0" w:color="auto"/>
        <w:right w:val="none" w:sz="0" w:space="0" w:color="auto"/>
      </w:divBdr>
    </w:div>
    <w:div w:id="990331005">
      <w:bodyDiv w:val="1"/>
      <w:marLeft w:val="0"/>
      <w:marRight w:val="0"/>
      <w:marTop w:val="0"/>
      <w:marBottom w:val="0"/>
      <w:divBdr>
        <w:top w:val="none" w:sz="0" w:space="0" w:color="auto"/>
        <w:left w:val="none" w:sz="0" w:space="0" w:color="auto"/>
        <w:bottom w:val="none" w:sz="0" w:space="0" w:color="auto"/>
        <w:right w:val="none" w:sz="0" w:space="0" w:color="auto"/>
      </w:divBdr>
    </w:div>
    <w:div w:id="1018695956">
      <w:bodyDiv w:val="1"/>
      <w:marLeft w:val="0"/>
      <w:marRight w:val="0"/>
      <w:marTop w:val="0"/>
      <w:marBottom w:val="0"/>
      <w:divBdr>
        <w:top w:val="none" w:sz="0" w:space="0" w:color="auto"/>
        <w:left w:val="none" w:sz="0" w:space="0" w:color="auto"/>
        <w:bottom w:val="none" w:sz="0" w:space="0" w:color="auto"/>
        <w:right w:val="none" w:sz="0" w:space="0" w:color="auto"/>
      </w:divBdr>
    </w:div>
    <w:div w:id="1036081600">
      <w:bodyDiv w:val="1"/>
      <w:marLeft w:val="0"/>
      <w:marRight w:val="0"/>
      <w:marTop w:val="0"/>
      <w:marBottom w:val="0"/>
      <w:divBdr>
        <w:top w:val="none" w:sz="0" w:space="0" w:color="auto"/>
        <w:left w:val="none" w:sz="0" w:space="0" w:color="auto"/>
        <w:bottom w:val="none" w:sz="0" w:space="0" w:color="auto"/>
        <w:right w:val="none" w:sz="0" w:space="0" w:color="auto"/>
      </w:divBdr>
    </w:div>
    <w:div w:id="1039160342">
      <w:bodyDiv w:val="1"/>
      <w:marLeft w:val="0"/>
      <w:marRight w:val="0"/>
      <w:marTop w:val="0"/>
      <w:marBottom w:val="0"/>
      <w:divBdr>
        <w:top w:val="none" w:sz="0" w:space="0" w:color="auto"/>
        <w:left w:val="none" w:sz="0" w:space="0" w:color="auto"/>
        <w:bottom w:val="none" w:sz="0" w:space="0" w:color="auto"/>
        <w:right w:val="none" w:sz="0" w:space="0" w:color="auto"/>
      </w:divBdr>
    </w:div>
    <w:div w:id="1055277383">
      <w:bodyDiv w:val="1"/>
      <w:marLeft w:val="0"/>
      <w:marRight w:val="0"/>
      <w:marTop w:val="0"/>
      <w:marBottom w:val="0"/>
      <w:divBdr>
        <w:top w:val="none" w:sz="0" w:space="0" w:color="auto"/>
        <w:left w:val="none" w:sz="0" w:space="0" w:color="auto"/>
        <w:bottom w:val="none" w:sz="0" w:space="0" w:color="auto"/>
        <w:right w:val="none" w:sz="0" w:space="0" w:color="auto"/>
      </w:divBdr>
    </w:div>
    <w:div w:id="1056003402">
      <w:bodyDiv w:val="1"/>
      <w:marLeft w:val="0"/>
      <w:marRight w:val="0"/>
      <w:marTop w:val="0"/>
      <w:marBottom w:val="0"/>
      <w:divBdr>
        <w:top w:val="none" w:sz="0" w:space="0" w:color="auto"/>
        <w:left w:val="none" w:sz="0" w:space="0" w:color="auto"/>
        <w:bottom w:val="none" w:sz="0" w:space="0" w:color="auto"/>
        <w:right w:val="none" w:sz="0" w:space="0" w:color="auto"/>
      </w:divBdr>
    </w:div>
    <w:div w:id="1057239401">
      <w:bodyDiv w:val="1"/>
      <w:marLeft w:val="0"/>
      <w:marRight w:val="0"/>
      <w:marTop w:val="0"/>
      <w:marBottom w:val="0"/>
      <w:divBdr>
        <w:top w:val="none" w:sz="0" w:space="0" w:color="auto"/>
        <w:left w:val="none" w:sz="0" w:space="0" w:color="auto"/>
        <w:bottom w:val="none" w:sz="0" w:space="0" w:color="auto"/>
        <w:right w:val="none" w:sz="0" w:space="0" w:color="auto"/>
      </w:divBdr>
    </w:div>
    <w:div w:id="1061252325">
      <w:bodyDiv w:val="1"/>
      <w:marLeft w:val="0"/>
      <w:marRight w:val="0"/>
      <w:marTop w:val="0"/>
      <w:marBottom w:val="0"/>
      <w:divBdr>
        <w:top w:val="none" w:sz="0" w:space="0" w:color="auto"/>
        <w:left w:val="none" w:sz="0" w:space="0" w:color="auto"/>
        <w:bottom w:val="none" w:sz="0" w:space="0" w:color="auto"/>
        <w:right w:val="none" w:sz="0" w:space="0" w:color="auto"/>
      </w:divBdr>
    </w:div>
    <w:div w:id="1104615725">
      <w:bodyDiv w:val="1"/>
      <w:marLeft w:val="0"/>
      <w:marRight w:val="0"/>
      <w:marTop w:val="0"/>
      <w:marBottom w:val="0"/>
      <w:divBdr>
        <w:top w:val="none" w:sz="0" w:space="0" w:color="auto"/>
        <w:left w:val="none" w:sz="0" w:space="0" w:color="auto"/>
        <w:bottom w:val="none" w:sz="0" w:space="0" w:color="auto"/>
        <w:right w:val="none" w:sz="0" w:space="0" w:color="auto"/>
      </w:divBdr>
    </w:div>
    <w:div w:id="1115365612">
      <w:bodyDiv w:val="1"/>
      <w:marLeft w:val="0"/>
      <w:marRight w:val="0"/>
      <w:marTop w:val="0"/>
      <w:marBottom w:val="0"/>
      <w:divBdr>
        <w:top w:val="none" w:sz="0" w:space="0" w:color="auto"/>
        <w:left w:val="none" w:sz="0" w:space="0" w:color="auto"/>
        <w:bottom w:val="none" w:sz="0" w:space="0" w:color="auto"/>
        <w:right w:val="none" w:sz="0" w:space="0" w:color="auto"/>
      </w:divBdr>
    </w:div>
    <w:div w:id="1121463375">
      <w:bodyDiv w:val="1"/>
      <w:marLeft w:val="0"/>
      <w:marRight w:val="0"/>
      <w:marTop w:val="0"/>
      <w:marBottom w:val="0"/>
      <w:divBdr>
        <w:top w:val="none" w:sz="0" w:space="0" w:color="auto"/>
        <w:left w:val="none" w:sz="0" w:space="0" w:color="auto"/>
        <w:bottom w:val="none" w:sz="0" w:space="0" w:color="auto"/>
        <w:right w:val="none" w:sz="0" w:space="0" w:color="auto"/>
      </w:divBdr>
    </w:div>
    <w:div w:id="1125545649">
      <w:bodyDiv w:val="1"/>
      <w:marLeft w:val="0"/>
      <w:marRight w:val="0"/>
      <w:marTop w:val="0"/>
      <w:marBottom w:val="0"/>
      <w:divBdr>
        <w:top w:val="none" w:sz="0" w:space="0" w:color="auto"/>
        <w:left w:val="none" w:sz="0" w:space="0" w:color="auto"/>
        <w:bottom w:val="none" w:sz="0" w:space="0" w:color="auto"/>
        <w:right w:val="none" w:sz="0" w:space="0" w:color="auto"/>
      </w:divBdr>
    </w:div>
    <w:div w:id="1133325359">
      <w:bodyDiv w:val="1"/>
      <w:marLeft w:val="0"/>
      <w:marRight w:val="0"/>
      <w:marTop w:val="0"/>
      <w:marBottom w:val="0"/>
      <w:divBdr>
        <w:top w:val="none" w:sz="0" w:space="0" w:color="auto"/>
        <w:left w:val="none" w:sz="0" w:space="0" w:color="auto"/>
        <w:bottom w:val="none" w:sz="0" w:space="0" w:color="auto"/>
        <w:right w:val="none" w:sz="0" w:space="0" w:color="auto"/>
      </w:divBdr>
    </w:div>
    <w:div w:id="1134566222">
      <w:bodyDiv w:val="1"/>
      <w:marLeft w:val="0"/>
      <w:marRight w:val="0"/>
      <w:marTop w:val="0"/>
      <w:marBottom w:val="0"/>
      <w:divBdr>
        <w:top w:val="none" w:sz="0" w:space="0" w:color="auto"/>
        <w:left w:val="none" w:sz="0" w:space="0" w:color="auto"/>
        <w:bottom w:val="none" w:sz="0" w:space="0" w:color="auto"/>
        <w:right w:val="none" w:sz="0" w:space="0" w:color="auto"/>
      </w:divBdr>
    </w:div>
    <w:div w:id="1158112243">
      <w:bodyDiv w:val="1"/>
      <w:marLeft w:val="0"/>
      <w:marRight w:val="0"/>
      <w:marTop w:val="0"/>
      <w:marBottom w:val="0"/>
      <w:divBdr>
        <w:top w:val="none" w:sz="0" w:space="0" w:color="auto"/>
        <w:left w:val="none" w:sz="0" w:space="0" w:color="auto"/>
        <w:bottom w:val="none" w:sz="0" w:space="0" w:color="auto"/>
        <w:right w:val="none" w:sz="0" w:space="0" w:color="auto"/>
      </w:divBdr>
    </w:div>
    <w:div w:id="1237666901">
      <w:bodyDiv w:val="1"/>
      <w:marLeft w:val="0"/>
      <w:marRight w:val="0"/>
      <w:marTop w:val="0"/>
      <w:marBottom w:val="0"/>
      <w:divBdr>
        <w:top w:val="none" w:sz="0" w:space="0" w:color="auto"/>
        <w:left w:val="none" w:sz="0" w:space="0" w:color="auto"/>
        <w:bottom w:val="none" w:sz="0" w:space="0" w:color="auto"/>
        <w:right w:val="none" w:sz="0" w:space="0" w:color="auto"/>
      </w:divBdr>
    </w:div>
    <w:div w:id="1259563577">
      <w:bodyDiv w:val="1"/>
      <w:marLeft w:val="0"/>
      <w:marRight w:val="0"/>
      <w:marTop w:val="0"/>
      <w:marBottom w:val="0"/>
      <w:divBdr>
        <w:top w:val="none" w:sz="0" w:space="0" w:color="auto"/>
        <w:left w:val="none" w:sz="0" w:space="0" w:color="auto"/>
        <w:bottom w:val="none" w:sz="0" w:space="0" w:color="auto"/>
        <w:right w:val="none" w:sz="0" w:space="0" w:color="auto"/>
      </w:divBdr>
    </w:div>
    <w:div w:id="1266113022">
      <w:bodyDiv w:val="1"/>
      <w:marLeft w:val="0"/>
      <w:marRight w:val="0"/>
      <w:marTop w:val="0"/>
      <w:marBottom w:val="0"/>
      <w:divBdr>
        <w:top w:val="none" w:sz="0" w:space="0" w:color="auto"/>
        <w:left w:val="none" w:sz="0" w:space="0" w:color="auto"/>
        <w:bottom w:val="none" w:sz="0" w:space="0" w:color="auto"/>
        <w:right w:val="none" w:sz="0" w:space="0" w:color="auto"/>
      </w:divBdr>
    </w:div>
    <w:div w:id="1346204749">
      <w:bodyDiv w:val="1"/>
      <w:marLeft w:val="0"/>
      <w:marRight w:val="0"/>
      <w:marTop w:val="0"/>
      <w:marBottom w:val="0"/>
      <w:divBdr>
        <w:top w:val="none" w:sz="0" w:space="0" w:color="auto"/>
        <w:left w:val="none" w:sz="0" w:space="0" w:color="auto"/>
        <w:bottom w:val="none" w:sz="0" w:space="0" w:color="auto"/>
        <w:right w:val="none" w:sz="0" w:space="0" w:color="auto"/>
      </w:divBdr>
    </w:div>
    <w:div w:id="1373263642">
      <w:bodyDiv w:val="1"/>
      <w:marLeft w:val="0"/>
      <w:marRight w:val="0"/>
      <w:marTop w:val="0"/>
      <w:marBottom w:val="0"/>
      <w:divBdr>
        <w:top w:val="none" w:sz="0" w:space="0" w:color="auto"/>
        <w:left w:val="none" w:sz="0" w:space="0" w:color="auto"/>
        <w:bottom w:val="none" w:sz="0" w:space="0" w:color="auto"/>
        <w:right w:val="none" w:sz="0" w:space="0" w:color="auto"/>
      </w:divBdr>
    </w:div>
    <w:div w:id="1406223227">
      <w:bodyDiv w:val="1"/>
      <w:marLeft w:val="0"/>
      <w:marRight w:val="0"/>
      <w:marTop w:val="0"/>
      <w:marBottom w:val="0"/>
      <w:divBdr>
        <w:top w:val="none" w:sz="0" w:space="0" w:color="auto"/>
        <w:left w:val="none" w:sz="0" w:space="0" w:color="auto"/>
        <w:bottom w:val="none" w:sz="0" w:space="0" w:color="auto"/>
        <w:right w:val="none" w:sz="0" w:space="0" w:color="auto"/>
      </w:divBdr>
    </w:div>
    <w:div w:id="1415322058">
      <w:bodyDiv w:val="1"/>
      <w:marLeft w:val="0"/>
      <w:marRight w:val="0"/>
      <w:marTop w:val="0"/>
      <w:marBottom w:val="0"/>
      <w:divBdr>
        <w:top w:val="none" w:sz="0" w:space="0" w:color="auto"/>
        <w:left w:val="none" w:sz="0" w:space="0" w:color="auto"/>
        <w:bottom w:val="none" w:sz="0" w:space="0" w:color="auto"/>
        <w:right w:val="none" w:sz="0" w:space="0" w:color="auto"/>
      </w:divBdr>
    </w:div>
    <w:div w:id="1446927616">
      <w:bodyDiv w:val="1"/>
      <w:marLeft w:val="0"/>
      <w:marRight w:val="0"/>
      <w:marTop w:val="0"/>
      <w:marBottom w:val="0"/>
      <w:divBdr>
        <w:top w:val="none" w:sz="0" w:space="0" w:color="auto"/>
        <w:left w:val="none" w:sz="0" w:space="0" w:color="auto"/>
        <w:bottom w:val="none" w:sz="0" w:space="0" w:color="auto"/>
        <w:right w:val="none" w:sz="0" w:space="0" w:color="auto"/>
      </w:divBdr>
    </w:div>
    <w:div w:id="1460954946">
      <w:bodyDiv w:val="1"/>
      <w:marLeft w:val="0"/>
      <w:marRight w:val="0"/>
      <w:marTop w:val="0"/>
      <w:marBottom w:val="0"/>
      <w:divBdr>
        <w:top w:val="none" w:sz="0" w:space="0" w:color="auto"/>
        <w:left w:val="none" w:sz="0" w:space="0" w:color="auto"/>
        <w:bottom w:val="none" w:sz="0" w:space="0" w:color="auto"/>
        <w:right w:val="none" w:sz="0" w:space="0" w:color="auto"/>
      </w:divBdr>
    </w:div>
    <w:div w:id="1461144852">
      <w:bodyDiv w:val="1"/>
      <w:marLeft w:val="0"/>
      <w:marRight w:val="0"/>
      <w:marTop w:val="0"/>
      <w:marBottom w:val="0"/>
      <w:divBdr>
        <w:top w:val="none" w:sz="0" w:space="0" w:color="auto"/>
        <w:left w:val="none" w:sz="0" w:space="0" w:color="auto"/>
        <w:bottom w:val="none" w:sz="0" w:space="0" w:color="auto"/>
        <w:right w:val="none" w:sz="0" w:space="0" w:color="auto"/>
      </w:divBdr>
    </w:div>
    <w:div w:id="1494682867">
      <w:bodyDiv w:val="1"/>
      <w:marLeft w:val="0"/>
      <w:marRight w:val="0"/>
      <w:marTop w:val="0"/>
      <w:marBottom w:val="0"/>
      <w:divBdr>
        <w:top w:val="none" w:sz="0" w:space="0" w:color="auto"/>
        <w:left w:val="none" w:sz="0" w:space="0" w:color="auto"/>
        <w:bottom w:val="none" w:sz="0" w:space="0" w:color="auto"/>
        <w:right w:val="none" w:sz="0" w:space="0" w:color="auto"/>
      </w:divBdr>
    </w:div>
    <w:div w:id="1504856851">
      <w:bodyDiv w:val="1"/>
      <w:marLeft w:val="0"/>
      <w:marRight w:val="0"/>
      <w:marTop w:val="0"/>
      <w:marBottom w:val="0"/>
      <w:divBdr>
        <w:top w:val="none" w:sz="0" w:space="0" w:color="auto"/>
        <w:left w:val="none" w:sz="0" w:space="0" w:color="auto"/>
        <w:bottom w:val="none" w:sz="0" w:space="0" w:color="auto"/>
        <w:right w:val="none" w:sz="0" w:space="0" w:color="auto"/>
      </w:divBdr>
    </w:div>
    <w:div w:id="1506435346">
      <w:bodyDiv w:val="1"/>
      <w:marLeft w:val="0"/>
      <w:marRight w:val="0"/>
      <w:marTop w:val="0"/>
      <w:marBottom w:val="0"/>
      <w:divBdr>
        <w:top w:val="none" w:sz="0" w:space="0" w:color="auto"/>
        <w:left w:val="none" w:sz="0" w:space="0" w:color="auto"/>
        <w:bottom w:val="none" w:sz="0" w:space="0" w:color="auto"/>
        <w:right w:val="none" w:sz="0" w:space="0" w:color="auto"/>
      </w:divBdr>
    </w:div>
    <w:div w:id="1519543056">
      <w:bodyDiv w:val="1"/>
      <w:marLeft w:val="0"/>
      <w:marRight w:val="0"/>
      <w:marTop w:val="0"/>
      <w:marBottom w:val="0"/>
      <w:divBdr>
        <w:top w:val="none" w:sz="0" w:space="0" w:color="auto"/>
        <w:left w:val="none" w:sz="0" w:space="0" w:color="auto"/>
        <w:bottom w:val="none" w:sz="0" w:space="0" w:color="auto"/>
        <w:right w:val="none" w:sz="0" w:space="0" w:color="auto"/>
      </w:divBdr>
    </w:div>
    <w:div w:id="1538471628">
      <w:bodyDiv w:val="1"/>
      <w:marLeft w:val="0"/>
      <w:marRight w:val="0"/>
      <w:marTop w:val="0"/>
      <w:marBottom w:val="0"/>
      <w:divBdr>
        <w:top w:val="none" w:sz="0" w:space="0" w:color="auto"/>
        <w:left w:val="none" w:sz="0" w:space="0" w:color="auto"/>
        <w:bottom w:val="none" w:sz="0" w:space="0" w:color="auto"/>
        <w:right w:val="none" w:sz="0" w:space="0" w:color="auto"/>
      </w:divBdr>
    </w:div>
    <w:div w:id="1551771942">
      <w:bodyDiv w:val="1"/>
      <w:marLeft w:val="0"/>
      <w:marRight w:val="0"/>
      <w:marTop w:val="0"/>
      <w:marBottom w:val="0"/>
      <w:divBdr>
        <w:top w:val="none" w:sz="0" w:space="0" w:color="auto"/>
        <w:left w:val="none" w:sz="0" w:space="0" w:color="auto"/>
        <w:bottom w:val="none" w:sz="0" w:space="0" w:color="auto"/>
        <w:right w:val="none" w:sz="0" w:space="0" w:color="auto"/>
      </w:divBdr>
    </w:div>
    <w:div w:id="1553420002">
      <w:bodyDiv w:val="1"/>
      <w:marLeft w:val="0"/>
      <w:marRight w:val="0"/>
      <w:marTop w:val="0"/>
      <w:marBottom w:val="0"/>
      <w:divBdr>
        <w:top w:val="none" w:sz="0" w:space="0" w:color="auto"/>
        <w:left w:val="none" w:sz="0" w:space="0" w:color="auto"/>
        <w:bottom w:val="none" w:sz="0" w:space="0" w:color="auto"/>
        <w:right w:val="none" w:sz="0" w:space="0" w:color="auto"/>
      </w:divBdr>
    </w:div>
    <w:div w:id="1568957517">
      <w:bodyDiv w:val="1"/>
      <w:marLeft w:val="0"/>
      <w:marRight w:val="0"/>
      <w:marTop w:val="0"/>
      <w:marBottom w:val="0"/>
      <w:divBdr>
        <w:top w:val="none" w:sz="0" w:space="0" w:color="auto"/>
        <w:left w:val="none" w:sz="0" w:space="0" w:color="auto"/>
        <w:bottom w:val="none" w:sz="0" w:space="0" w:color="auto"/>
        <w:right w:val="none" w:sz="0" w:space="0" w:color="auto"/>
      </w:divBdr>
    </w:div>
    <w:div w:id="1581669505">
      <w:bodyDiv w:val="1"/>
      <w:marLeft w:val="0"/>
      <w:marRight w:val="0"/>
      <w:marTop w:val="0"/>
      <w:marBottom w:val="0"/>
      <w:divBdr>
        <w:top w:val="none" w:sz="0" w:space="0" w:color="auto"/>
        <w:left w:val="none" w:sz="0" w:space="0" w:color="auto"/>
        <w:bottom w:val="none" w:sz="0" w:space="0" w:color="auto"/>
        <w:right w:val="none" w:sz="0" w:space="0" w:color="auto"/>
      </w:divBdr>
    </w:div>
    <w:div w:id="1589584034">
      <w:bodyDiv w:val="1"/>
      <w:marLeft w:val="0"/>
      <w:marRight w:val="0"/>
      <w:marTop w:val="0"/>
      <w:marBottom w:val="0"/>
      <w:divBdr>
        <w:top w:val="none" w:sz="0" w:space="0" w:color="auto"/>
        <w:left w:val="none" w:sz="0" w:space="0" w:color="auto"/>
        <w:bottom w:val="none" w:sz="0" w:space="0" w:color="auto"/>
        <w:right w:val="none" w:sz="0" w:space="0" w:color="auto"/>
      </w:divBdr>
    </w:div>
    <w:div w:id="1592736411">
      <w:bodyDiv w:val="1"/>
      <w:marLeft w:val="0"/>
      <w:marRight w:val="0"/>
      <w:marTop w:val="0"/>
      <w:marBottom w:val="0"/>
      <w:divBdr>
        <w:top w:val="none" w:sz="0" w:space="0" w:color="auto"/>
        <w:left w:val="none" w:sz="0" w:space="0" w:color="auto"/>
        <w:bottom w:val="none" w:sz="0" w:space="0" w:color="auto"/>
        <w:right w:val="none" w:sz="0" w:space="0" w:color="auto"/>
      </w:divBdr>
    </w:div>
    <w:div w:id="1617911367">
      <w:bodyDiv w:val="1"/>
      <w:marLeft w:val="0"/>
      <w:marRight w:val="0"/>
      <w:marTop w:val="0"/>
      <w:marBottom w:val="0"/>
      <w:divBdr>
        <w:top w:val="none" w:sz="0" w:space="0" w:color="auto"/>
        <w:left w:val="none" w:sz="0" w:space="0" w:color="auto"/>
        <w:bottom w:val="none" w:sz="0" w:space="0" w:color="auto"/>
        <w:right w:val="none" w:sz="0" w:space="0" w:color="auto"/>
      </w:divBdr>
    </w:div>
    <w:div w:id="1621641997">
      <w:bodyDiv w:val="1"/>
      <w:marLeft w:val="0"/>
      <w:marRight w:val="0"/>
      <w:marTop w:val="0"/>
      <w:marBottom w:val="0"/>
      <w:divBdr>
        <w:top w:val="none" w:sz="0" w:space="0" w:color="auto"/>
        <w:left w:val="none" w:sz="0" w:space="0" w:color="auto"/>
        <w:bottom w:val="none" w:sz="0" w:space="0" w:color="auto"/>
        <w:right w:val="none" w:sz="0" w:space="0" w:color="auto"/>
      </w:divBdr>
    </w:div>
    <w:div w:id="1632975227">
      <w:bodyDiv w:val="1"/>
      <w:marLeft w:val="0"/>
      <w:marRight w:val="0"/>
      <w:marTop w:val="0"/>
      <w:marBottom w:val="0"/>
      <w:divBdr>
        <w:top w:val="none" w:sz="0" w:space="0" w:color="auto"/>
        <w:left w:val="none" w:sz="0" w:space="0" w:color="auto"/>
        <w:bottom w:val="none" w:sz="0" w:space="0" w:color="auto"/>
        <w:right w:val="none" w:sz="0" w:space="0" w:color="auto"/>
      </w:divBdr>
    </w:div>
    <w:div w:id="1669627365">
      <w:bodyDiv w:val="1"/>
      <w:marLeft w:val="0"/>
      <w:marRight w:val="0"/>
      <w:marTop w:val="0"/>
      <w:marBottom w:val="0"/>
      <w:divBdr>
        <w:top w:val="none" w:sz="0" w:space="0" w:color="auto"/>
        <w:left w:val="none" w:sz="0" w:space="0" w:color="auto"/>
        <w:bottom w:val="none" w:sz="0" w:space="0" w:color="auto"/>
        <w:right w:val="none" w:sz="0" w:space="0" w:color="auto"/>
      </w:divBdr>
    </w:div>
    <w:div w:id="1694459964">
      <w:bodyDiv w:val="1"/>
      <w:marLeft w:val="0"/>
      <w:marRight w:val="0"/>
      <w:marTop w:val="0"/>
      <w:marBottom w:val="0"/>
      <w:divBdr>
        <w:top w:val="none" w:sz="0" w:space="0" w:color="auto"/>
        <w:left w:val="none" w:sz="0" w:space="0" w:color="auto"/>
        <w:bottom w:val="none" w:sz="0" w:space="0" w:color="auto"/>
        <w:right w:val="none" w:sz="0" w:space="0" w:color="auto"/>
      </w:divBdr>
    </w:div>
    <w:div w:id="1708406973">
      <w:bodyDiv w:val="1"/>
      <w:marLeft w:val="0"/>
      <w:marRight w:val="0"/>
      <w:marTop w:val="0"/>
      <w:marBottom w:val="0"/>
      <w:divBdr>
        <w:top w:val="none" w:sz="0" w:space="0" w:color="auto"/>
        <w:left w:val="none" w:sz="0" w:space="0" w:color="auto"/>
        <w:bottom w:val="none" w:sz="0" w:space="0" w:color="auto"/>
        <w:right w:val="none" w:sz="0" w:space="0" w:color="auto"/>
      </w:divBdr>
    </w:div>
    <w:div w:id="1718897750">
      <w:bodyDiv w:val="1"/>
      <w:marLeft w:val="0"/>
      <w:marRight w:val="0"/>
      <w:marTop w:val="0"/>
      <w:marBottom w:val="0"/>
      <w:divBdr>
        <w:top w:val="none" w:sz="0" w:space="0" w:color="auto"/>
        <w:left w:val="none" w:sz="0" w:space="0" w:color="auto"/>
        <w:bottom w:val="none" w:sz="0" w:space="0" w:color="auto"/>
        <w:right w:val="none" w:sz="0" w:space="0" w:color="auto"/>
      </w:divBdr>
    </w:div>
    <w:div w:id="1773473159">
      <w:bodyDiv w:val="1"/>
      <w:marLeft w:val="0"/>
      <w:marRight w:val="0"/>
      <w:marTop w:val="0"/>
      <w:marBottom w:val="0"/>
      <w:divBdr>
        <w:top w:val="none" w:sz="0" w:space="0" w:color="auto"/>
        <w:left w:val="none" w:sz="0" w:space="0" w:color="auto"/>
        <w:bottom w:val="none" w:sz="0" w:space="0" w:color="auto"/>
        <w:right w:val="none" w:sz="0" w:space="0" w:color="auto"/>
      </w:divBdr>
    </w:div>
    <w:div w:id="1783724377">
      <w:bodyDiv w:val="1"/>
      <w:marLeft w:val="0"/>
      <w:marRight w:val="0"/>
      <w:marTop w:val="0"/>
      <w:marBottom w:val="0"/>
      <w:divBdr>
        <w:top w:val="none" w:sz="0" w:space="0" w:color="auto"/>
        <w:left w:val="none" w:sz="0" w:space="0" w:color="auto"/>
        <w:bottom w:val="none" w:sz="0" w:space="0" w:color="auto"/>
        <w:right w:val="none" w:sz="0" w:space="0" w:color="auto"/>
      </w:divBdr>
    </w:div>
    <w:div w:id="1799644259">
      <w:bodyDiv w:val="1"/>
      <w:marLeft w:val="0"/>
      <w:marRight w:val="0"/>
      <w:marTop w:val="0"/>
      <w:marBottom w:val="0"/>
      <w:divBdr>
        <w:top w:val="none" w:sz="0" w:space="0" w:color="auto"/>
        <w:left w:val="none" w:sz="0" w:space="0" w:color="auto"/>
        <w:bottom w:val="none" w:sz="0" w:space="0" w:color="auto"/>
        <w:right w:val="none" w:sz="0" w:space="0" w:color="auto"/>
      </w:divBdr>
    </w:div>
    <w:div w:id="1842551222">
      <w:bodyDiv w:val="1"/>
      <w:marLeft w:val="0"/>
      <w:marRight w:val="0"/>
      <w:marTop w:val="0"/>
      <w:marBottom w:val="0"/>
      <w:divBdr>
        <w:top w:val="none" w:sz="0" w:space="0" w:color="auto"/>
        <w:left w:val="none" w:sz="0" w:space="0" w:color="auto"/>
        <w:bottom w:val="none" w:sz="0" w:space="0" w:color="auto"/>
        <w:right w:val="none" w:sz="0" w:space="0" w:color="auto"/>
      </w:divBdr>
    </w:div>
    <w:div w:id="1847476812">
      <w:bodyDiv w:val="1"/>
      <w:marLeft w:val="0"/>
      <w:marRight w:val="0"/>
      <w:marTop w:val="0"/>
      <w:marBottom w:val="0"/>
      <w:divBdr>
        <w:top w:val="none" w:sz="0" w:space="0" w:color="auto"/>
        <w:left w:val="none" w:sz="0" w:space="0" w:color="auto"/>
        <w:bottom w:val="none" w:sz="0" w:space="0" w:color="auto"/>
        <w:right w:val="none" w:sz="0" w:space="0" w:color="auto"/>
      </w:divBdr>
    </w:div>
    <w:div w:id="1849372297">
      <w:bodyDiv w:val="1"/>
      <w:marLeft w:val="0"/>
      <w:marRight w:val="0"/>
      <w:marTop w:val="0"/>
      <w:marBottom w:val="0"/>
      <w:divBdr>
        <w:top w:val="none" w:sz="0" w:space="0" w:color="auto"/>
        <w:left w:val="none" w:sz="0" w:space="0" w:color="auto"/>
        <w:bottom w:val="none" w:sz="0" w:space="0" w:color="auto"/>
        <w:right w:val="none" w:sz="0" w:space="0" w:color="auto"/>
      </w:divBdr>
    </w:div>
    <w:div w:id="1851096587">
      <w:bodyDiv w:val="1"/>
      <w:marLeft w:val="0"/>
      <w:marRight w:val="0"/>
      <w:marTop w:val="0"/>
      <w:marBottom w:val="0"/>
      <w:divBdr>
        <w:top w:val="none" w:sz="0" w:space="0" w:color="auto"/>
        <w:left w:val="none" w:sz="0" w:space="0" w:color="auto"/>
        <w:bottom w:val="none" w:sz="0" w:space="0" w:color="auto"/>
        <w:right w:val="none" w:sz="0" w:space="0" w:color="auto"/>
      </w:divBdr>
    </w:div>
    <w:div w:id="1852182936">
      <w:bodyDiv w:val="1"/>
      <w:marLeft w:val="0"/>
      <w:marRight w:val="0"/>
      <w:marTop w:val="0"/>
      <w:marBottom w:val="0"/>
      <w:divBdr>
        <w:top w:val="none" w:sz="0" w:space="0" w:color="auto"/>
        <w:left w:val="none" w:sz="0" w:space="0" w:color="auto"/>
        <w:bottom w:val="none" w:sz="0" w:space="0" w:color="auto"/>
        <w:right w:val="none" w:sz="0" w:space="0" w:color="auto"/>
      </w:divBdr>
    </w:div>
    <w:div w:id="1870995785">
      <w:bodyDiv w:val="1"/>
      <w:marLeft w:val="0"/>
      <w:marRight w:val="0"/>
      <w:marTop w:val="0"/>
      <w:marBottom w:val="0"/>
      <w:divBdr>
        <w:top w:val="none" w:sz="0" w:space="0" w:color="auto"/>
        <w:left w:val="none" w:sz="0" w:space="0" w:color="auto"/>
        <w:bottom w:val="none" w:sz="0" w:space="0" w:color="auto"/>
        <w:right w:val="none" w:sz="0" w:space="0" w:color="auto"/>
      </w:divBdr>
    </w:div>
    <w:div w:id="1882671584">
      <w:bodyDiv w:val="1"/>
      <w:marLeft w:val="0"/>
      <w:marRight w:val="0"/>
      <w:marTop w:val="0"/>
      <w:marBottom w:val="0"/>
      <w:divBdr>
        <w:top w:val="none" w:sz="0" w:space="0" w:color="auto"/>
        <w:left w:val="none" w:sz="0" w:space="0" w:color="auto"/>
        <w:bottom w:val="none" w:sz="0" w:space="0" w:color="auto"/>
        <w:right w:val="none" w:sz="0" w:space="0" w:color="auto"/>
      </w:divBdr>
    </w:div>
    <w:div w:id="1910310066">
      <w:bodyDiv w:val="1"/>
      <w:marLeft w:val="0"/>
      <w:marRight w:val="0"/>
      <w:marTop w:val="0"/>
      <w:marBottom w:val="0"/>
      <w:divBdr>
        <w:top w:val="none" w:sz="0" w:space="0" w:color="auto"/>
        <w:left w:val="none" w:sz="0" w:space="0" w:color="auto"/>
        <w:bottom w:val="none" w:sz="0" w:space="0" w:color="auto"/>
        <w:right w:val="none" w:sz="0" w:space="0" w:color="auto"/>
      </w:divBdr>
    </w:div>
    <w:div w:id="1922255338">
      <w:bodyDiv w:val="1"/>
      <w:marLeft w:val="0"/>
      <w:marRight w:val="0"/>
      <w:marTop w:val="0"/>
      <w:marBottom w:val="0"/>
      <w:divBdr>
        <w:top w:val="none" w:sz="0" w:space="0" w:color="auto"/>
        <w:left w:val="none" w:sz="0" w:space="0" w:color="auto"/>
        <w:bottom w:val="none" w:sz="0" w:space="0" w:color="auto"/>
        <w:right w:val="none" w:sz="0" w:space="0" w:color="auto"/>
      </w:divBdr>
    </w:div>
    <w:div w:id="1936134824">
      <w:bodyDiv w:val="1"/>
      <w:marLeft w:val="0"/>
      <w:marRight w:val="0"/>
      <w:marTop w:val="0"/>
      <w:marBottom w:val="0"/>
      <w:divBdr>
        <w:top w:val="none" w:sz="0" w:space="0" w:color="auto"/>
        <w:left w:val="none" w:sz="0" w:space="0" w:color="auto"/>
        <w:bottom w:val="none" w:sz="0" w:space="0" w:color="auto"/>
        <w:right w:val="none" w:sz="0" w:space="0" w:color="auto"/>
      </w:divBdr>
    </w:div>
    <w:div w:id="1937516997">
      <w:bodyDiv w:val="1"/>
      <w:marLeft w:val="0"/>
      <w:marRight w:val="0"/>
      <w:marTop w:val="0"/>
      <w:marBottom w:val="0"/>
      <w:divBdr>
        <w:top w:val="none" w:sz="0" w:space="0" w:color="auto"/>
        <w:left w:val="none" w:sz="0" w:space="0" w:color="auto"/>
        <w:bottom w:val="none" w:sz="0" w:space="0" w:color="auto"/>
        <w:right w:val="none" w:sz="0" w:space="0" w:color="auto"/>
      </w:divBdr>
    </w:div>
    <w:div w:id="1957563560">
      <w:bodyDiv w:val="1"/>
      <w:marLeft w:val="0"/>
      <w:marRight w:val="0"/>
      <w:marTop w:val="0"/>
      <w:marBottom w:val="0"/>
      <w:divBdr>
        <w:top w:val="none" w:sz="0" w:space="0" w:color="auto"/>
        <w:left w:val="none" w:sz="0" w:space="0" w:color="auto"/>
        <w:bottom w:val="none" w:sz="0" w:space="0" w:color="auto"/>
        <w:right w:val="none" w:sz="0" w:space="0" w:color="auto"/>
      </w:divBdr>
    </w:div>
    <w:div w:id="1962373409">
      <w:bodyDiv w:val="1"/>
      <w:marLeft w:val="0"/>
      <w:marRight w:val="0"/>
      <w:marTop w:val="0"/>
      <w:marBottom w:val="0"/>
      <w:divBdr>
        <w:top w:val="none" w:sz="0" w:space="0" w:color="auto"/>
        <w:left w:val="none" w:sz="0" w:space="0" w:color="auto"/>
        <w:bottom w:val="none" w:sz="0" w:space="0" w:color="auto"/>
        <w:right w:val="none" w:sz="0" w:space="0" w:color="auto"/>
      </w:divBdr>
    </w:div>
    <w:div w:id="1994214760">
      <w:bodyDiv w:val="1"/>
      <w:marLeft w:val="0"/>
      <w:marRight w:val="0"/>
      <w:marTop w:val="0"/>
      <w:marBottom w:val="0"/>
      <w:divBdr>
        <w:top w:val="none" w:sz="0" w:space="0" w:color="auto"/>
        <w:left w:val="none" w:sz="0" w:space="0" w:color="auto"/>
        <w:bottom w:val="none" w:sz="0" w:space="0" w:color="auto"/>
        <w:right w:val="none" w:sz="0" w:space="0" w:color="auto"/>
      </w:divBdr>
    </w:div>
    <w:div w:id="2035230049">
      <w:bodyDiv w:val="1"/>
      <w:marLeft w:val="0"/>
      <w:marRight w:val="0"/>
      <w:marTop w:val="0"/>
      <w:marBottom w:val="0"/>
      <w:divBdr>
        <w:top w:val="none" w:sz="0" w:space="0" w:color="auto"/>
        <w:left w:val="none" w:sz="0" w:space="0" w:color="auto"/>
        <w:bottom w:val="none" w:sz="0" w:space="0" w:color="auto"/>
        <w:right w:val="none" w:sz="0" w:space="0" w:color="auto"/>
      </w:divBdr>
    </w:div>
    <w:div w:id="2054961417">
      <w:bodyDiv w:val="1"/>
      <w:marLeft w:val="0"/>
      <w:marRight w:val="0"/>
      <w:marTop w:val="0"/>
      <w:marBottom w:val="0"/>
      <w:divBdr>
        <w:top w:val="none" w:sz="0" w:space="0" w:color="auto"/>
        <w:left w:val="none" w:sz="0" w:space="0" w:color="auto"/>
        <w:bottom w:val="none" w:sz="0" w:space="0" w:color="auto"/>
        <w:right w:val="none" w:sz="0" w:space="0" w:color="auto"/>
      </w:divBdr>
    </w:div>
    <w:div w:id="2063630111">
      <w:bodyDiv w:val="1"/>
      <w:marLeft w:val="0"/>
      <w:marRight w:val="0"/>
      <w:marTop w:val="0"/>
      <w:marBottom w:val="0"/>
      <w:divBdr>
        <w:top w:val="none" w:sz="0" w:space="0" w:color="auto"/>
        <w:left w:val="none" w:sz="0" w:space="0" w:color="auto"/>
        <w:bottom w:val="none" w:sz="0" w:space="0" w:color="auto"/>
        <w:right w:val="none" w:sz="0" w:space="0" w:color="auto"/>
      </w:divBdr>
    </w:div>
    <w:div w:id="2087338867">
      <w:bodyDiv w:val="1"/>
      <w:marLeft w:val="0"/>
      <w:marRight w:val="0"/>
      <w:marTop w:val="0"/>
      <w:marBottom w:val="0"/>
      <w:divBdr>
        <w:top w:val="none" w:sz="0" w:space="0" w:color="auto"/>
        <w:left w:val="none" w:sz="0" w:space="0" w:color="auto"/>
        <w:bottom w:val="none" w:sz="0" w:space="0" w:color="auto"/>
        <w:right w:val="none" w:sz="0" w:space="0" w:color="auto"/>
      </w:divBdr>
    </w:div>
    <w:div w:id="2093504464">
      <w:bodyDiv w:val="1"/>
      <w:marLeft w:val="0"/>
      <w:marRight w:val="0"/>
      <w:marTop w:val="0"/>
      <w:marBottom w:val="0"/>
      <w:divBdr>
        <w:top w:val="none" w:sz="0" w:space="0" w:color="auto"/>
        <w:left w:val="none" w:sz="0" w:space="0" w:color="auto"/>
        <w:bottom w:val="none" w:sz="0" w:space="0" w:color="auto"/>
        <w:right w:val="none" w:sz="0" w:space="0" w:color="auto"/>
      </w:divBdr>
    </w:div>
    <w:div w:id="2094279656">
      <w:bodyDiv w:val="1"/>
      <w:marLeft w:val="0"/>
      <w:marRight w:val="0"/>
      <w:marTop w:val="0"/>
      <w:marBottom w:val="0"/>
      <w:divBdr>
        <w:top w:val="none" w:sz="0" w:space="0" w:color="auto"/>
        <w:left w:val="none" w:sz="0" w:space="0" w:color="auto"/>
        <w:bottom w:val="none" w:sz="0" w:space="0" w:color="auto"/>
        <w:right w:val="none" w:sz="0" w:space="0" w:color="auto"/>
      </w:divBdr>
    </w:div>
    <w:div w:id="2101561966">
      <w:bodyDiv w:val="1"/>
      <w:marLeft w:val="0"/>
      <w:marRight w:val="0"/>
      <w:marTop w:val="0"/>
      <w:marBottom w:val="0"/>
      <w:divBdr>
        <w:top w:val="none" w:sz="0" w:space="0" w:color="auto"/>
        <w:left w:val="none" w:sz="0" w:space="0" w:color="auto"/>
        <w:bottom w:val="none" w:sz="0" w:space="0" w:color="auto"/>
        <w:right w:val="none" w:sz="0" w:space="0" w:color="auto"/>
      </w:divBdr>
    </w:div>
    <w:div w:id="2114782243">
      <w:bodyDiv w:val="1"/>
      <w:marLeft w:val="0"/>
      <w:marRight w:val="0"/>
      <w:marTop w:val="0"/>
      <w:marBottom w:val="0"/>
      <w:divBdr>
        <w:top w:val="none" w:sz="0" w:space="0" w:color="auto"/>
        <w:left w:val="none" w:sz="0" w:space="0" w:color="auto"/>
        <w:bottom w:val="none" w:sz="0" w:space="0" w:color="auto"/>
        <w:right w:val="none" w:sz="0" w:space="0" w:color="auto"/>
      </w:divBdr>
    </w:div>
    <w:div w:id="2118792716">
      <w:bodyDiv w:val="1"/>
      <w:marLeft w:val="0"/>
      <w:marRight w:val="0"/>
      <w:marTop w:val="0"/>
      <w:marBottom w:val="0"/>
      <w:divBdr>
        <w:top w:val="none" w:sz="0" w:space="0" w:color="auto"/>
        <w:left w:val="none" w:sz="0" w:space="0" w:color="auto"/>
        <w:bottom w:val="none" w:sz="0" w:space="0" w:color="auto"/>
        <w:right w:val="none" w:sz="0" w:space="0" w:color="auto"/>
      </w:divBdr>
    </w:div>
    <w:div w:id="214442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4.jpeg"/><Relationship Id="rId26" Type="http://schemas.openxmlformats.org/officeDocument/2006/relationships/hyperlink" Target="https://vaww.vrm.km.va.gov/system/templates/selfservice/va_kanew/help/agent/locale/en-US/portal/554400000001030/content/554400000052140/FPM-3D3-Verifying-Income-and-Expenses" TargetMode="External"/><Relationship Id="rId39" Type="http://schemas.openxmlformats.org/officeDocument/2006/relationships/fontTable" Target="fontTable.xml"/><Relationship Id="rId21" Type="http://schemas.openxmlformats.org/officeDocument/2006/relationships/image" Target="cid:image006.png@01D629E6.10E29530" TargetMode="External"/><Relationship Id="rId34" Type="http://schemas.openxmlformats.org/officeDocument/2006/relationships/hyperlink" Target="https://vaww.vrm.km.va.gov/system/templates/selfservice/va_kanew/help/agent/locale/en-US/portal/554400000001030/content/554400000052158/FPM-4.G.3.--Withdrawal-Agreement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vaww.vrm.km.va.gov/system/templates/selfservice/va_kanew/help/agent/locale/en-US/portal/554400000001034/content/554400000014974/M21-1-Part-VII-Chapter-1-Section-B-Burial-Benefits?query=state%20plot" TargetMode="External"/><Relationship Id="rId25" Type="http://schemas.openxmlformats.org/officeDocument/2006/relationships/package" Target="embeddings/Microsoft_Word_Document.docx"/><Relationship Id="rId33" Type="http://schemas.openxmlformats.org/officeDocument/2006/relationships/hyperlink" Target="https://www.ecfr.gov/cgi-bin/text-idx?SID=ad6edd1d144aee61249d4fd49bc34251&amp;mc=true&amp;node=se38.1.13_1230&amp;rgn=div8" TargetMode="External"/><Relationship Id="rId38" Type="http://schemas.openxmlformats.org/officeDocument/2006/relationships/hyperlink" Target="mailto:PFBUSMGMT.VBAVACO@va.gov" TargetMode="External"/><Relationship Id="rId2" Type="http://schemas.openxmlformats.org/officeDocument/2006/relationships/customXml" Target="../customXml/item2.xml"/><Relationship Id="rId16" Type="http://schemas.openxmlformats.org/officeDocument/2006/relationships/image" Target="cid:image003.jpg@01D629E6.10E29530" TargetMode="External"/><Relationship Id="rId20" Type="http://schemas.openxmlformats.org/officeDocument/2006/relationships/image" Target="media/image5.png"/><Relationship Id="rId29" Type="http://schemas.openxmlformats.org/officeDocument/2006/relationships/hyperlink" Target="https://vaww.vrm.km.va.gov/system/templates/selfservice/va_kanew/help/agent/locale/en-US/portal/554400000001030/content/554400000052140/FPM-3D3-Verifying-Income-and-Expen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emf"/><Relationship Id="rId32" Type="http://schemas.openxmlformats.org/officeDocument/2006/relationships/hyperlink" Target="https://vaww.vrm.km.va.gov/system/templates/selfservice/va_kanew/help/agent/locale/en-US/portal/554400000001030/content/554400000052151/FPM-4G1-General-Information-on-Corporate-Surety-Bonds" TargetMode="External"/><Relationship Id="rId37" Type="http://schemas.openxmlformats.org/officeDocument/2006/relationships/hyperlink" Target="mailto:PFTNGQUALOVRST.VBACO@va.gov"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cid:image007.png@01D629E6.10E29530" TargetMode="External"/><Relationship Id="rId28" Type="http://schemas.openxmlformats.org/officeDocument/2006/relationships/hyperlink" Target="https://vaww.vrm.km.va.gov/system/templates/selfservice/va_kanew/help/agent/locale/en-US/portal/554400000001030/content/554400000052142/FPM-3D4-Examining-VA-Appointed-Fiduciary-Fees" TargetMode="External"/><Relationship Id="rId36" Type="http://schemas.openxmlformats.org/officeDocument/2006/relationships/hyperlink" Target="mailto:PFPOLPROC.VBACO@va.gov" TargetMode="External"/><Relationship Id="rId10" Type="http://schemas.openxmlformats.org/officeDocument/2006/relationships/endnotes" Target="endnotes.xml"/><Relationship Id="rId19" Type="http://schemas.openxmlformats.org/officeDocument/2006/relationships/image" Target="cid:image001.jpg@01D62F68.A939A580" TargetMode="External"/><Relationship Id="rId31" Type="http://schemas.openxmlformats.org/officeDocument/2006/relationships/hyperlink" Target="https://vaww.vrm.km.va.gov/system/templates/selfservice/va_kanew/help/agent/locale/en-US/portal/554400000001030/content/554400000052158/FPM-4.G.3.--Withdrawal-Agre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hyperlink" Target="https://vaww.vrm.km.va.gov/system/templates/selfservice/va_kanew/help/agent/locale/en-US/portal/554400000001030/content/554400000052140/FPM-3D3-Verifying-Income-and-Expenses" TargetMode="External"/><Relationship Id="rId30" Type="http://schemas.openxmlformats.org/officeDocument/2006/relationships/hyperlink" Target="https://vaww.vrm.km.va.gov/system/templates/selfservice/va_kanew/help/agent/locale/en-US/portal/554400000001030/content/554400000052140/FPM-3D3-Verifying-Income-and-Expenses" TargetMode="External"/><Relationship Id="rId35" Type="http://schemas.openxmlformats.org/officeDocument/2006/relationships/hyperlink" Target="https://vaww.vrm.km.va.gov/system/templates/selfservice/va_kanew/help/agent/locale/en-US/portal/554400000001030/content/554400000054808/Funds-Under-Managemen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200D6F14EDD742A3C1269618837B7D" ma:contentTypeVersion="1" ma:contentTypeDescription="Create a new document." ma:contentTypeScope="" ma:versionID="995ba3c4a3bc1d95d75659d45c48ff1c">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E464C-7D88-4C48-9CD2-927B1CF05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EFEE9A8-2152-4AFD-9E57-6B9AD61778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8B1BE5-206A-41AA-A3A6-AA6D1FF5F164}">
  <ds:schemaRefs>
    <ds:schemaRef ds:uri="http://schemas.microsoft.com/sharepoint/v3/contenttype/forms"/>
  </ds:schemaRefs>
</ds:datastoreItem>
</file>

<file path=customXml/itemProps4.xml><?xml version="1.0" encoding="utf-8"?>
<ds:datastoreItem xmlns:ds="http://schemas.openxmlformats.org/officeDocument/2006/customXml" ds:itemID="{5F1968F6-2A37-4BA6-8459-9D7F65E23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2516</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May 2020 Field Inquiry Responses</vt:lpstr>
    </vt:vector>
  </TitlesOfParts>
  <Company>Veterans Benefits Administration</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2020 Field Inquiry Responses</dc:title>
  <dc:creator>Department of Veterans Affairs, Veterans Benefits Administration, Pension Service, STAFF</dc:creator>
  <cp:lastModifiedBy>Kathy Poole</cp:lastModifiedBy>
  <cp:revision>8</cp:revision>
  <cp:lastPrinted>2019-03-18T19:38:00Z</cp:lastPrinted>
  <dcterms:created xsi:type="dcterms:W3CDTF">2020-06-19T17:55:00Z</dcterms:created>
  <dcterms:modified xsi:type="dcterms:W3CDTF">2020-06-24T00:01:00Z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0x01010098200D6F14EDD742A3C1269618837B7D</vt:lpwstr>
  </property>
  <property fmtid="{D5CDD505-2E9C-101B-9397-08002B2CF9AE}" pid="3" name="Language">
    <vt:lpwstr>en</vt:lpwstr>
  </property>
  <property fmtid="{D5CDD505-2E9C-101B-9397-08002B2CF9AE}" pid="4" name="Type">
    <vt:lpwstr>Reference</vt:lpwstr>
  </property>
</Properties>
</file>