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B869" w14:textId="4C013460" w:rsidR="0086647A" w:rsidRPr="00CF77D5" w:rsidRDefault="00A01AC5" w:rsidP="00CF77D5">
      <w:pPr>
        <w:pStyle w:val="Heading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F77D5">
        <w:rPr>
          <w:rFonts w:ascii="Times New Roman" w:hAnsi="Times New Roman" w:cs="Times New Roman"/>
        </w:rPr>
        <w:t xml:space="preserve">MDE </w:t>
      </w:r>
      <w:r w:rsidR="00C73B38" w:rsidRPr="00CF77D5">
        <w:rPr>
          <w:rFonts w:ascii="Times New Roman" w:hAnsi="Times New Roman" w:cs="Times New Roman"/>
        </w:rPr>
        <w:t>Vendor</w:t>
      </w:r>
      <w:r w:rsidRPr="00CF77D5">
        <w:rPr>
          <w:rFonts w:ascii="Times New Roman" w:hAnsi="Times New Roman" w:cs="Times New Roman"/>
        </w:rPr>
        <w:t xml:space="preserve"> Clarification </w:t>
      </w:r>
      <w:r w:rsidR="00333EA3" w:rsidRPr="00CF77D5">
        <w:rPr>
          <w:rFonts w:ascii="Times New Roman" w:hAnsi="Times New Roman" w:cs="Times New Roman"/>
        </w:rPr>
        <w:t xml:space="preserve">Request </w:t>
      </w:r>
      <w:r w:rsidRPr="00CF77D5">
        <w:rPr>
          <w:rFonts w:ascii="Times New Roman" w:hAnsi="Times New Roman" w:cs="Times New Roman"/>
        </w:rPr>
        <w:t>(CR)</w:t>
      </w:r>
      <w:r w:rsidR="00333EA3" w:rsidRPr="00CF77D5">
        <w:rPr>
          <w:rFonts w:ascii="Times New Roman" w:hAnsi="Times New Roman" w:cs="Times New Roman"/>
        </w:rPr>
        <w:t xml:space="preserve"> Job Aid</w:t>
      </w:r>
    </w:p>
    <w:p w14:paraId="517DD721" w14:textId="40D612A9" w:rsidR="001A2AB7" w:rsidRPr="00CF77D5" w:rsidRDefault="001A2AB7" w:rsidP="00CF77D5">
      <w:pPr>
        <w:pStyle w:val="Heading2"/>
        <w:rPr>
          <w:rFonts w:ascii="Times New Roman" w:hAnsi="Times New Roman" w:cs="Times New Roman"/>
        </w:rPr>
      </w:pPr>
      <w:r w:rsidRPr="00CF77D5">
        <w:rPr>
          <w:rFonts w:ascii="Times New Roman" w:hAnsi="Times New Roman" w:cs="Times New Roman"/>
        </w:rPr>
        <w:t>Topic 1: Identifying Clarification Request (CR)</w:t>
      </w:r>
    </w:p>
    <w:p w14:paraId="4DA63665" w14:textId="20C054BA" w:rsidR="002F43A9" w:rsidRPr="00612C7B" w:rsidRDefault="00A01AC5" w:rsidP="004462BE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t xml:space="preserve">When an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Pr="00612C7B">
        <w:rPr>
          <w:rFonts w:ascii="Times New Roman" w:hAnsi="Times New Roman" w:cs="Times New Roman"/>
          <w:sz w:val="24"/>
          <w:szCs w:val="24"/>
        </w:rPr>
        <w:t xml:space="preserve"> requires additional information or has questions regarding any aspect of the</w:t>
      </w:r>
      <w:r w:rsidR="00405985" w:rsidRPr="00612C7B">
        <w:rPr>
          <w:rFonts w:ascii="Times New Roman" w:hAnsi="Times New Roman" w:cs="Times New Roman"/>
          <w:sz w:val="24"/>
          <w:szCs w:val="24"/>
        </w:rPr>
        <w:t xml:space="preserve"> Exam Scheduling Request (</w:t>
      </w:r>
      <w:r w:rsidRPr="00612C7B">
        <w:rPr>
          <w:rFonts w:ascii="Times New Roman" w:hAnsi="Times New Roman" w:cs="Times New Roman"/>
          <w:sz w:val="24"/>
          <w:szCs w:val="24"/>
        </w:rPr>
        <w:t>ESR</w:t>
      </w:r>
      <w:r w:rsidR="00405985" w:rsidRPr="00612C7B">
        <w:rPr>
          <w:rFonts w:ascii="Times New Roman" w:hAnsi="Times New Roman" w:cs="Times New Roman"/>
          <w:sz w:val="24"/>
          <w:szCs w:val="24"/>
        </w:rPr>
        <w:t>)</w:t>
      </w:r>
      <w:r w:rsidRPr="00612C7B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405985" w:rsidRPr="00612C7B">
        <w:rPr>
          <w:rFonts w:ascii="Times New Roman" w:hAnsi="Times New Roman" w:cs="Times New Roman"/>
          <w:sz w:val="24"/>
          <w:szCs w:val="24"/>
        </w:rPr>
        <w:t>,</w:t>
      </w:r>
      <w:r w:rsidRPr="00612C7B">
        <w:rPr>
          <w:rFonts w:ascii="Times New Roman" w:hAnsi="Times New Roman" w:cs="Times New Roman"/>
          <w:sz w:val="24"/>
          <w:szCs w:val="24"/>
        </w:rPr>
        <w:t xml:space="preserve">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Pr="00612C7B">
        <w:rPr>
          <w:rFonts w:ascii="Times New Roman" w:hAnsi="Times New Roman" w:cs="Times New Roman"/>
          <w:sz w:val="24"/>
          <w:szCs w:val="24"/>
        </w:rPr>
        <w:t xml:space="preserve"> will submit a clarification request.</w:t>
      </w:r>
      <w:r w:rsidR="002F43A9" w:rsidRPr="00612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0E0E8" w14:textId="6BA0C755" w:rsidR="006E06DD" w:rsidRPr="00612C7B" w:rsidRDefault="002F43A9" w:rsidP="00A01AC5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t>The following</w:t>
      </w:r>
      <w:r w:rsidR="00C73B38" w:rsidRPr="00612C7B">
        <w:rPr>
          <w:rFonts w:ascii="Times New Roman" w:hAnsi="Times New Roman" w:cs="Times New Roman"/>
          <w:sz w:val="24"/>
          <w:szCs w:val="24"/>
        </w:rPr>
        <w:t xml:space="preserve"> depicts</w:t>
      </w:r>
      <w:r w:rsidRPr="00612C7B">
        <w:rPr>
          <w:rFonts w:ascii="Times New Roman" w:hAnsi="Times New Roman" w:cs="Times New Roman"/>
          <w:sz w:val="24"/>
          <w:szCs w:val="24"/>
        </w:rPr>
        <w:t xml:space="preserve"> </w:t>
      </w:r>
      <w:r w:rsidR="00C73B38" w:rsidRPr="00612C7B">
        <w:rPr>
          <w:rFonts w:ascii="Times New Roman" w:hAnsi="Times New Roman" w:cs="Times New Roman"/>
          <w:sz w:val="24"/>
          <w:szCs w:val="24"/>
        </w:rPr>
        <w:t>a</w:t>
      </w:r>
      <w:r w:rsidRPr="00612C7B">
        <w:rPr>
          <w:rFonts w:ascii="Times New Roman" w:hAnsi="Times New Roman" w:cs="Times New Roman"/>
          <w:sz w:val="24"/>
          <w:szCs w:val="24"/>
        </w:rPr>
        <w:t xml:space="preserve"> clarification </w:t>
      </w:r>
      <w:r w:rsidR="00C73B38" w:rsidRPr="00612C7B">
        <w:rPr>
          <w:rFonts w:ascii="Times New Roman" w:hAnsi="Times New Roman" w:cs="Times New Roman"/>
          <w:sz w:val="24"/>
          <w:szCs w:val="24"/>
        </w:rPr>
        <w:t xml:space="preserve">that </w:t>
      </w:r>
      <w:r w:rsidRPr="00612C7B">
        <w:rPr>
          <w:rFonts w:ascii="Times New Roman" w:hAnsi="Times New Roman" w:cs="Times New Roman"/>
          <w:sz w:val="24"/>
          <w:szCs w:val="24"/>
        </w:rPr>
        <w:t xml:space="preserve">has been requested from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Pr="00612C7B">
        <w:rPr>
          <w:rFonts w:ascii="Times New Roman" w:hAnsi="Times New Roman" w:cs="Times New Roman"/>
          <w:sz w:val="24"/>
          <w:szCs w:val="24"/>
        </w:rPr>
        <w:t>:</w:t>
      </w:r>
    </w:p>
    <w:p w14:paraId="4B2DA56B" w14:textId="62887C64" w:rsidR="00D819A0" w:rsidRPr="00FA79B7" w:rsidRDefault="00D819A0" w:rsidP="00D819A0">
      <w:pPr>
        <w:jc w:val="center"/>
        <w:rPr>
          <w:rFonts w:ascii="Times New Roman" w:hAnsi="Times New Roman" w:cs="Times New Roman"/>
        </w:rPr>
      </w:pPr>
      <w:r w:rsidRPr="00FA79B7">
        <w:rPr>
          <w:rFonts w:ascii="Times New Roman" w:hAnsi="Times New Roman" w:cs="Times New Roman"/>
          <w:noProof/>
        </w:rPr>
        <w:drawing>
          <wp:inline distT="0" distB="0" distL="0" distR="0" wp14:anchorId="2918FFB1" wp14:editId="3F15EA57">
            <wp:extent cx="5838825" cy="1181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1113" w14:textId="1BE85B14" w:rsidR="00786D3F" w:rsidRPr="00FA79B7" w:rsidRDefault="00F01562" w:rsidP="00D819A0">
      <w:pPr>
        <w:jc w:val="center"/>
        <w:rPr>
          <w:rFonts w:ascii="Times New Roman" w:hAnsi="Times New Roman" w:cs="Times New Roman"/>
        </w:rPr>
      </w:pPr>
      <w:r w:rsidRPr="00FA79B7">
        <w:rPr>
          <w:rFonts w:ascii="Times New Roman" w:hAnsi="Times New Roman" w:cs="Times New Roman"/>
          <w:noProof/>
        </w:rPr>
        <w:drawing>
          <wp:inline distT="0" distB="0" distL="0" distR="0" wp14:anchorId="3BFAC33E" wp14:editId="423E93B3">
            <wp:extent cx="5819775" cy="2071868"/>
            <wp:effectExtent l="0" t="0" r="0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7313" cy="207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58AC" w14:textId="44350C1F" w:rsidR="00BA6106" w:rsidRPr="00612C7B" w:rsidRDefault="00C73B38" w:rsidP="00C73B38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1: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BA6106" w:rsidRPr="00612C7B">
        <w:rPr>
          <w:rFonts w:ascii="Times New Roman" w:hAnsi="Times New Roman" w:cs="Times New Roman"/>
          <w:sz w:val="24"/>
          <w:szCs w:val="24"/>
        </w:rPr>
        <w:t>By clicking the red explanation mark above the EMS request for clarification will populate with the details being requested. The user can respond from this screen.</w:t>
      </w:r>
    </w:p>
    <w:p w14:paraId="1CB3D1CB" w14:textId="5E487B32" w:rsidR="00BA6106" w:rsidRPr="00612C7B" w:rsidRDefault="00BA6106" w:rsidP="00583140">
      <w:pPr>
        <w:tabs>
          <w:tab w:val="left" w:pos="3037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246211" wp14:editId="2B51F6E7">
            <wp:extent cx="5562600" cy="19716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2C6CC" w14:textId="5C84EEA9" w:rsidR="007B63D8" w:rsidRPr="00612C7B" w:rsidRDefault="00F01562" w:rsidP="00C73B38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br w:type="page"/>
      </w:r>
      <w:r w:rsidR="00C73B38"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 2:</w:t>
      </w:r>
      <w:r w:rsidR="00C73B38"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B536B4" w:rsidRPr="00612C7B">
        <w:rPr>
          <w:rFonts w:ascii="Times New Roman" w:hAnsi="Times New Roman" w:cs="Times New Roman"/>
          <w:sz w:val="24"/>
          <w:szCs w:val="24"/>
        </w:rPr>
        <w:t>Users can also utilize the “</w:t>
      </w:r>
      <w:r w:rsidR="00583140" w:rsidRPr="00612C7B">
        <w:rPr>
          <w:rFonts w:ascii="Times New Roman" w:hAnsi="Times New Roman" w:cs="Times New Roman"/>
          <w:i/>
          <w:sz w:val="24"/>
          <w:szCs w:val="24"/>
        </w:rPr>
        <w:t>V</w:t>
      </w:r>
      <w:r w:rsidR="00B536B4" w:rsidRPr="00612C7B">
        <w:rPr>
          <w:rFonts w:ascii="Times New Roman" w:hAnsi="Times New Roman" w:cs="Times New Roman"/>
          <w:i/>
          <w:sz w:val="24"/>
          <w:szCs w:val="24"/>
        </w:rPr>
        <w:t xml:space="preserve">iew </w:t>
      </w:r>
      <w:r w:rsidR="00583140" w:rsidRPr="00612C7B">
        <w:rPr>
          <w:rFonts w:ascii="Times New Roman" w:hAnsi="Times New Roman" w:cs="Times New Roman"/>
          <w:i/>
          <w:sz w:val="24"/>
          <w:szCs w:val="24"/>
        </w:rPr>
        <w:t>D</w:t>
      </w:r>
      <w:r w:rsidR="00B536B4" w:rsidRPr="00612C7B">
        <w:rPr>
          <w:rFonts w:ascii="Times New Roman" w:hAnsi="Times New Roman" w:cs="Times New Roman"/>
          <w:i/>
          <w:sz w:val="24"/>
          <w:szCs w:val="24"/>
        </w:rPr>
        <w:t>etails</w:t>
      </w:r>
      <w:r w:rsidR="00B536B4" w:rsidRPr="00612C7B">
        <w:rPr>
          <w:rFonts w:ascii="Times New Roman" w:hAnsi="Times New Roman" w:cs="Times New Roman"/>
          <w:sz w:val="24"/>
          <w:szCs w:val="24"/>
        </w:rPr>
        <w:t>” from the “</w:t>
      </w:r>
      <w:r w:rsidR="000F5143" w:rsidRPr="00612C7B">
        <w:rPr>
          <w:rFonts w:ascii="Times New Roman" w:hAnsi="Times New Roman" w:cs="Times New Roman"/>
          <w:i/>
          <w:sz w:val="24"/>
          <w:szCs w:val="24"/>
        </w:rPr>
        <w:t>actions</w:t>
      </w:r>
      <w:r w:rsidR="00B536B4" w:rsidRPr="00612C7B">
        <w:rPr>
          <w:rFonts w:ascii="Times New Roman" w:hAnsi="Times New Roman" w:cs="Times New Roman"/>
          <w:sz w:val="24"/>
          <w:szCs w:val="24"/>
        </w:rPr>
        <w:t>” drop-down to review and respond to the pending CR.</w:t>
      </w:r>
      <w:r w:rsidR="007B63D8" w:rsidRPr="00612C7B">
        <w:rPr>
          <w:rFonts w:ascii="Times New Roman" w:hAnsi="Times New Roman" w:cs="Times New Roman"/>
          <w:sz w:val="24"/>
          <w:szCs w:val="24"/>
        </w:rPr>
        <w:t xml:space="preserve"> The user will choose the “</w:t>
      </w:r>
      <w:r w:rsidR="007B63D8" w:rsidRPr="00612C7B">
        <w:rPr>
          <w:rFonts w:ascii="Times New Roman" w:hAnsi="Times New Roman" w:cs="Times New Roman"/>
          <w:i/>
          <w:sz w:val="24"/>
          <w:szCs w:val="24"/>
        </w:rPr>
        <w:t>Edit Clarification</w:t>
      </w:r>
      <w:r w:rsidR="007B63D8" w:rsidRPr="00612C7B">
        <w:rPr>
          <w:rFonts w:ascii="Times New Roman" w:hAnsi="Times New Roman" w:cs="Times New Roman"/>
          <w:sz w:val="24"/>
          <w:szCs w:val="24"/>
        </w:rPr>
        <w:t>” function.</w:t>
      </w:r>
    </w:p>
    <w:p w14:paraId="1DAB182A" w14:textId="3FE16C28" w:rsidR="00BA6106" w:rsidRPr="00FA79B7" w:rsidRDefault="007B63D8" w:rsidP="007B63D8">
      <w:pPr>
        <w:pStyle w:val="ListParagraph"/>
        <w:tabs>
          <w:tab w:val="left" w:pos="3037"/>
          <w:tab w:val="right" w:pos="9360"/>
        </w:tabs>
        <w:jc w:val="right"/>
        <w:rPr>
          <w:rFonts w:ascii="Times New Roman" w:hAnsi="Times New Roman" w:cs="Times New Roman"/>
        </w:rPr>
      </w:pPr>
      <w:r w:rsidRPr="00FA79B7">
        <w:rPr>
          <w:rFonts w:ascii="Times New Roman" w:hAnsi="Times New Roman" w:cs="Times New Roman"/>
          <w:noProof/>
        </w:rPr>
        <w:drawing>
          <wp:inline distT="0" distB="0" distL="0" distR="0" wp14:anchorId="17064F26" wp14:editId="6284DDF3">
            <wp:extent cx="5286375" cy="1819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881C" w14:textId="6F96AD6A" w:rsidR="00BA6106" w:rsidRPr="00A26912" w:rsidRDefault="001A2AB7" w:rsidP="00CF77D5">
      <w:pPr>
        <w:pStyle w:val="Heading2"/>
      </w:pPr>
      <w:r w:rsidRPr="00A26912">
        <w:t>Topic 2: Responding to the Clarification Request (CR)</w:t>
      </w:r>
    </w:p>
    <w:p w14:paraId="19DB08FF" w14:textId="4C8D550A" w:rsidR="00347B7C" w:rsidRPr="00612C7B" w:rsidRDefault="00C73B38" w:rsidP="00C73B38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1</w:t>
      </w:r>
      <w:r w:rsidR="00204099" w:rsidRPr="00612C7B">
        <w:rPr>
          <w:rFonts w:ascii="Times New Roman" w:hAnsi="Times New Roman" w:cs="Times New Roman"/>
          <w:sz w:val="24"/>
          <w:szCs w:val="24"/>
        </w:rPr>
        <w:t xml:space="preserve">: </w:t>
      </w:r>
      <w:r w:rsidR="00347B7C" w:rsidRPr="00612C7B">
        <w:rPr>
          <w:rFonts w:ascii="Times New Roman" w:hAnsi="Times New Roman" w:cs="Times New Roman"/>
          <w:sz w:val="24"/>
          <w:szCs w:val="24"/>
        </w:rPr>
        <w:t>Once “</w:t>
      </w:r>
      <w:r w:rsidR="00347B7C" w:rsidRPr="00612C7B">
        <w:rPr>
          <w:rFonts w:ascii="Times New Roman" w:hAnsi="Times New Roman" w:cs="Times New Roman"/>
          <w:i/>
          <w:sz w:val="24"/>
          <w:szCs w:val="24"/>
        </w:rPr>
        <w:t>Respond</w:t>
      </w:r>
      <w:r w:rsidR="00347B7C" w:rsidRPr="00612C7B">
        <w:rPr>
          <w:rFonts w:ascii="Times New Roman" w:hAnsi="Times New Roman" w:cs="Times New Roman"/>
          <w:sz w:val="24"/>
          <w:szCs w:val="24"/>
        </w:rPr>
        <w:t>” is clicked, the user will ensu</w:t>
      </w:r>
      <w:r w:rsidR="00230561" w:rsidRPr="00612C7B">
        <w:rPr>
          <w:rFonts w:ascii="Times New Roman" w:hAnsi="Times New Roman" w:cs="Times New Roman"/>
          <w:sz w:val="24"/>
          <w:szCs w:val="24"/>
        </w:rPr>
        <w:t>r</w:t>
      </w:r>
      <w:r w:rsidR="00347B7C" w:rsidRPr="00612C7B">
        <w:rPr>
          <w:rFonts w:ascii="Times New Roman" w:hAnsi="Times New Roman" w:cs="Times New Roman"/>
          <w:sz w:val="24"/>
          <w:szCs w:val="24"/>
        </w:rPr>
        <w:t>e that the “</w:t>
      </w:r>
      <w:r w:rsidR="00347B7C" w:rsidRPr="00612C7B">
        <w:rPr>
          <w:rFonts w:ascii="Times New Roman" w:hAnsi="Times New Roman" w:cs="Times New Roman"/>
          <w:i/>
          <w:sz w:val="24"/>
          <w:szCs w:val="24"/>
        </w:rPr>
        <w:t>Full Edit</w:t>
      </w:r>
      <w:r w:rsidR="00347B7C" w:rsidRPr="00612C7B">
        <w:rPr>
          <w:rFonts w:ascii="Times New Roman" w:hAnsi="Times New Roman" w:cs="Times New Roman"/>
          <w:sz w:val="24"/>
          <w:szCs w:val="24"/>
        </w:rPr>
        <w:t>” option is highlighted.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7BB6A" w14:textId="658FD7FF" w:rsidR="001A2AB7" w:rsidRPr="00612C7B" w:rsidRDefault="00347B7C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F143D" wp14:editId="51283C36">
            <wp:extent cx="5231395" cy="2046605"/>
            <wp:effectExtent l="0" t="0" r="762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3493" cy="204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E42A1" w14:textId="3E8AEA6D" w:rsidR="00230561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2</w:t>
      </w:r>
      <w:r w:rsidRPr="00612C7B">
        <w:rPr>
          <w:rFonts w:ascii="Times New Roman" w:hAnsi="Times New Roman" w:cs="Times New Roman"/>
          <w:sz w:val="24"/>
          <w:szCs w:val="24"/>
        </w:rPr>
        <w:t xml:space="preserve">: 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User will respond </w:t>
      </w:r>
      <w:r w:rsidR="00CE6D1B" w:rsidRPr="00612C7B">
        <w:rPr>
          <w:rFonts w:ascii="Times New Roman" w:hAnsi="Times New Roman" w:cs="Times New Roman"/>
          <w:sz w:val="24"/>
          <w:szCs w:val="24"/>
        </w:rPr>
        <w:t xml:space="preserve">to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="00CE6D1B" w:rsidRPr="00612C7B">
        <w:rPr>
          <w:rFonts w:ascii="Times New Roman" w:hAnsi="Times New Roman" w:cs="Times New Roman"/>
          <w:sz w:val="24"/>
          <w:szCs w:val="24"/>
        </w:rPr>
        <w:t xml:space="preserve"> with the response actions being taken using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 the “</w:t>
      </w:r>
      <w:r w:rsidR="00230561" w:rsidRPr="00612C7B">
        <w:rPr>
          <w:rFonts w:ascii="Times New Roman" w:hAnsi="Times New Roman" w:cs="Times New Roman"/>
          <w:i/>
          <w:sz w:val="24"/>
          <w:szCs w:val="24"/>
        </w:rPr>
        <w:t>Clarification Request Response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” Field. User will then ensure that VBA Contractor is selected and the corresponding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="00230561" w:rsidRPr="00612C7B">
        <w:rPr>
          <w:rFonts w:ascii="Times New Roman" w:hAnsi="Times New Roman" w:cs="Times New Roman"/>
          <w:sz w:val="24"/>
          <w:szCs w:val="24"/>
        </w:rPr>
        <w:t xml:space="preserve"> is being displayed.</w:t>
      </w:r>
    </w:p>
    <w:p w14:paraId="22876D3B" w14:textId="72FF75A9" w:rsidR="00754FE5" w:rsidRPr="00612C7B" w:rsidRDefault="00142B4B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8907FE" wp14:editId="693B99BA">
            <wp:extent cx="5236663" cy="1573530"/>
            <wp:effectExtent l="0" t="0" r="2540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0241" cy="15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BFD7" w14:textId="158D9D0A" w:rsidR="00BE02C3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 3: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7B63D8" w:rsidRPr="00612C7B">
        <w:rPr>
          <w:rFonts w:ascii="Times New Roman" w:hAnsi="Times New Roman" w:cs="Times New Roman"/>
          <w:sz w:val="24"/>
          <w:szCs w:val="24"/>
        </w:rPr>
        <w:t>User will v</w:t>
      </w:r>
      <w:r w:rsidR="00BE02C3" w:rsidRPr="00612C7B">
        <w:rPr>
          <w:rFonts w:ascii="Times New Roman" w:hAnsi="Times New Roman" w:cs="Times New Roman"/>
          <w:sz w:val="24"/>
          <w:szCs w:val="24"/>
        </w:rPr>
        <w:t xml:space="preserve">erify that the information for the mailing address is the same as the original request. </w:t>
      </w:r>
    </w:p>
    <w:p w14:paraId="06B9429F" w14:textId="15ECFA22" w:rsidR="00230561" w:rsidRPr="00612C7B" w:rsidRDefault="00BE02C3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C996FA" wp14:editId="12EFFF68">
            <wp:extent cx="5114925" cy="17811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7748" w14:textId="6BC1A584" w:rsidR="00BE02C3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4</w:t>
      </w:r>
      <w:r w:rsidRPr="00612C7B">
        <w:rPr>
          <w:rFonts w:ascii="Times New Roman" w:hAnsi="Times New Roman" w:cs="Times New Roman"/>
          <w:sz w:val="24"/>
          <w:szCs w:val="24"/>
        </w:rPr>
        <w:t xml:space="preserve">: </w:t>
      </w:r>
      <w:r w:rsidR="00BE02C3" w:rsidRPr="00612C7B">
        <w:rPr>
          <w:rFonts w:ascii="Times New Roman" w:hAnsi="Times New Roman" w:cs="Times New Roman"/>
          <w:sz w:val="24"/>
          <w:szCs w:val="24"/>
        </w:rPr>
        <w:t>The user will then click on contention information.</w:t>
      </w:r>
    </w:p>
    <w:p w14:paraId="2A9349D6" w14:textId="4751298A" w:rsidR="001A2AB7" w:rsidRPr="00612C7B" w:rsidRDefault="00BE02C3" w:rsidP="007B63D8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1600FA" wp14:editId="26CE4B72">
            <wp:extent cx="5315585" cy="207899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37E95" w14:textId="61D863F3" w:rsidR="007D0293" w:rsidRPr="00612C7B" w:rsidRDefault="00204099" w:rsidP="00204099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5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="00CE6D1B" w:rsidRPr="00612C7B">
        <w:rPr>
          <w:rFonts w:ascii="Times New Roman" w:hAnsi="Times New Roman" w:cs="Times New Roman"/>
          <w:sz w:val="24"/>
          <w:szCs w:val="24"/>
        </w:rPr>
        <w:t xml:space="preserve">If </w:t>
      </w:r>
      <w:r w:rsidR="007D4A27" w:rsidRPr="00612C7B">
        <w:rPr>
          <w:rFonts w:ascii="Times New Roman" w:hAnsi="Times New Roman" w:cs="Times New Roman"/>
          <w:sz w:val="24"/>
          <w:szCs w:val="24"/>
        </w:rPr>
        <w:t>n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ecessary, the user will make any changes to the DBQ(s) in the original ESR. The user should only make changes based on the </w:t>
      </w:r>
      <w:r w:rsidR="004E0723" w:rsidRPr="00612C7B">
        <w:rPr>
          <w:rFonts w:ascii="Times New Roman" w:hAnsi="Times New Roman" w:cs="Times New Roman"/>
          <w:sz w:val="24"/>
          <w:szCs w:val="24"/>
        </w:rPr>
        <w:t>questions (if necessary)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</w:t>
      </w:r>
      <w:r w:rsidR="004E0723" w:rsidRPr="00612C7B">
        <w:rPr>
          <w:rFonts w:ascii="Times New Roman" w:hAnsi="Times New Roman" w:cs="Times New Roman"/>
          <w:sz w:val="24"/>
          <w:szCs w:val="24"/>
        </w:rPr>
        <w:t>from the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clarification request. </w:t>
      </w:r>
      <w:r w:rsidR="00CE6D1B" w:rsidRPr="00612C7B">
        <w:rPr>
          <w:rFonts w:ascii="Times New Roman" w:hAnsi="Times New Roman" w:cs="Times New Roman"/>
          <w:sz w:val="24"/>
          <w:szCs w:val="24"/>
        </w:rPr>
        <w:t>Only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the question that is asked</w:t>
      </w:r>
      <w:r w:rsidR="003A77F5" w:rsidRPr="00612C7B">
        <w:rPr>
          <w:rFonts w:ascii="Times New Roman" w:hAnsi="Times New Roman" w:cs="Times New Roman"/>
          <w:sz w:val="24"/>
          <w:szCs w:val="24"/>
        </w:rPr>
        <w:t xml:space="preserve"> by the inquiry</w:t>
      </w:r>
      <w:r w:rsidR="007D0293" w:rsidRPr="00612C7B">
        <w:rPr>
          <w:rFonts w:ascii="Times New Roman" w:hAnsi="Times New Roman" w:cs="Times New Roman"/>
          <w:sz w:val="24"/>
          <w:szCs w:val="24"/>
        </w:rPr>
        <w:t xml:space="preserve"> should be answered. </w:t>
      </w:r>
    </w:p>
    <w:p w14:paraId="2BDA77F1" w14:textId="5CBE45E2" w:rsidR="00754FE5" w:rsidRPr="00612C7B" w:rsidRDefault="001E418B" w:rsidP="00CE6D1B">
      <w:pPr>
        <w:tabs>
          <w:tab w:val="left" w:pos="3037"/>
          <w:tab w:val="righ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754CDD" wp14:editId="35E0701E">
            <wp:extent cx="5286375" cy="201399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89441" cy="20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6A407" w14:textId="7ED607E9" w:rsidR="00754FE5" w:rsidRPr="00612C7B" w:rsidRDefault="00CE6D1B" w:rsidP="00204099">
      <w:pPr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sz w:val="24"/>
          <w:szCs w:val="24"/>
        </w:rPr>
        <w:br w:type="page"/>
      </w:r>
      <w:r w:rsidR="00204099"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Step 6:</w:t>
      </w:r>
      <w:r w:rsidR="00204099"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380BF7" w:rsidRPr="00612C7B">
        <w:rPr>
          <w:rFonts w:ascii="Times New Roman" w:hAnsi="Times New Roman" w:cs="Times New Roman"/>
          <w:sz w:val="24"/>
          <w:szCs w:val="24"/>
        </w:rPr>
        <w:t>User will then click preview and then submit the response.</w:t>
      </w:r>
    </w:p>
    <w:p w14:paraId="1F6443B3" w14:textId="6369D5E2" w:rsidR="00380BF7" w:rsidRPr="00612C7B" w:rsidRDefault="00380BF7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sz w:val="24"/>
          <w:szCs w:val="24"/>
        </w:rPr>
        <w:t>Note:</w:t>
      </w:r>
      <w:r w:rsidRPr="00612C7B">
        <w:rPr>
          <w:rFonts w:ascii="Times New Roman" w:hAnsi="Times New Roman" w:cs="Times New Roman"/>
          <w:sz w:val="24"/>
          <w:szCs w:val="24"/>
        </w:rPr>
        <w:t xml:space="preserve"> User should review preview to ensure accuracy.</w:t>
      </w:r>
      <w:r w:rsidR="00750202" w:rsidRPr="00612C7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679DB97" w14:textId="774DAC1D" w:rsidR="00380BF7" w:rsidRPr="00612C7B" w:rsidRDefault="0041080D" w:rsidP="0000151F">
      <w:pPr>
        <w:tabs>
          <w:tab w:val="left" w:pos="3037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D0DEED" wp14:editId="2BC7130C">
            <wp:extent cx="5172075" cy="70739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A1492" w14:textId="0596E1C8" w:rsidR="00754FE5" w:rsidRPr="00612C7B" w:rsidRDefault="00204099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12C7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Step 7</w:t>
      </w:r>
      <w:r w:rsidRPr="00612C7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="00927663" w:rsidRPr="00612C7B">
        <w:rPr>
          <w:rFonts w:ascii="Times New Roman" w:hAnsi="Times New Roman" w:cs="Times New Roman"/>
          <w:sz w:val="24"/>
          <w:szCs w:val="24"/>
        </w:rPr>
        <w:t xml:space="preserve">After submission of the CR the MDE </w:t>
      </w:r>
      <w:r w:rsidR="00C73B38" w:rsidRPr="00612C7B">
        <w:rPr>
          <w:rFonts w:ascii="Times New Roman" w:hAnsi="Times New Roman" w:cs="Times New Roman"/>
          <w:sz w:val="24"/>
          <w:szCs w:val="24"/>
        </w:rPr>
        <w:t>vendor</w:t>
      </w:r>
      <w:r w:rsidR="00927663" w:rsidRPr="00612C7B">
        <w:rPr>
          <w:rFonts w:ascii="Times New Roman" w:hAnsi="Times New Roman" w:cs="Times New Roman"/>
          <w:sz w:val="24"/>
          <w:szCs w:val="24"/>
        </w:rPr>
        <w:t xml:space="preserve"> will review the CR response and will continue the scheduling process.</w:t>
      </w:r>
    </w:p>
    <w:p w14:paraId="5B820D7C" w14:textId="274C3D2B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2D35C69" w14:textId="718CEE0D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695549F" w14:textId="69DC20D1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CE3CF96" w14:textId="0A9F8948" w:rsidR="00754FE5" w:rsidRPr="00612C7B" w:rsidRDefault="00754FE5" w:rsidP="001A2AB7">
      <w:pPr>
        <w:tabs>
          <w:tab w:val="left" w:pos="3037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9D46D89" w14:textId="33086DDA" w:rsidR="00754FE5" w:rsidRPr="00612C7B" w:rsidRDefault="00754FE5" w:rsidP="001A2AB7">
      <w:pPr>
        <w:tabs>
          <w:tab w:val="left" w:pos="3037"/>
          <w:tab w:val="right" w:pos="9360"/>
        </w:tabs>
        <w:rPr>
          <w:sz w:val="24"/>
          <w:szCs w:val="24"/>
        </w:rPr>
      </w:pPr>
    </w:p>
    <w:sectPr w:rsidR="00754FE5" w:rsidRPr="00612C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A5E5" w14:textId="77777777" w:rsidR="00043FF8" w:rsidRDefault="00043FF8" w:rsidP="0050404A">
      <w:pPr>
        <w:spacing w:after="0" w:line="240" w:lineRule="auto"/>
      </w:pPr>
      <w:r>
        <w:separator/>
      </w:r>
    </w:p>
  </w:endnote>
  <w:endnote w:type="continuationSeparator" w:id="0">
    <w:p w14:paraId="172B4891" w14:textId="77777777" w:rsidR="00043FF8" w:rsidRDefault="00043FF8" w:rsidP="0050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4C85" w14:textId="77777777" w:rsidR="00A536C2" w:rsidRDefault="00A53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90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81620" w14:textId="69742108" w:rsidR="00A536C2" w:rsidRDefault="00A536C2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1C69C42A" wp14:editId="08596B40">
              <wp:extent cx="1554480" cy="347345"/>
              <wp:effectExtent l="0" t="0" r="762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129AD" w14:textId="77777777" w:rsidR="008C61D8" w:rsidRDefault="008C6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59AC" w14:textId="77777777" w:rsidR="00A536C2" w:rsidRDefault="00A53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73790" w14:textId="77777777" w:rsidR="00043FF8" w:rsidRDefault="00043FF8" w:rsidP="0050404A">
      <w:pPr>
        <w:spacing w:after="0" w:line="240" w:lineRule="auto"/>
      </w:pPr>
      <w:r>
        <w:separator/>
      </w:r>
    </w:p>
  </w:footnote>
  <w:footnote w:type="continuationSeparator" w:id="0">
    <w:p w14:paraId="14196321" w14:textId="77777777" w:rsidR="00043FF8" w:rsidRDefault="00043FF8" w:rsidP="0050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D5E6" w14:textId="77777777" w:rsidR="00A536C2" w:rsidRDefault="00A53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0533" w14:textId="3A48C369" w:rsidR="00C73B38" w:rsidRDefault="00C73B3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7D6D36" wp14:editId="13D5D324">
              <wp:simplePos x="0" y="0"/>
              <wp:positionH relativeFrom="margin">
                <wp:posOffset>-1029970</wp:posOffset>
              </wp:positionH>
              <wp:positionV relativeFrom="page">
                <wp:posOffset>-22860</wp:posOffset>
              </wp:positionV>
              <wp:extent cx="7881620" cy="1041400"/>
              <wp:effectExtent l="0" t="0" r="508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1620" cy="1041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8F61BA" w14:textId="6337590F" w:rsidR="00C73B38" w:rsidRPr="00073967" w:rsidRDefault="00727EA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Exam Management System Job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D6D36" id="Rectangle 197" o:spid="_x0000_s1026" style="position:absolute;margin-left:-81.1pt;margin-top:-1.8pt;width:620.6pt;height:82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7RkwIAAJgFAAAOAAAAZHJzL2Uyb0RvYy54bWysVNtqGzEQfS/0H4Tem901zs1kHUxCSiEk&#10;IU7Js6yVvAKtRpVk77pf35H2kjQJLZT6YT3SnLkdzczFZddoshfOKzAlLY5ySoThUCmzLen3p5sv&#10;Z5T4wEzFNBhR0oPw9HL5+dNFaxdiBjXoSjiCToxftLakdQh2kWWe16Jh/gisMKiU4BoW8Oi2WeVY&#10;i94bnc3y/CRrwVXWARfe4+11r6TL5F9KwcO9lF4EokuKuYX0dem7id9secEWW8dsrfiQBvuHLBqm&#10;DAadXF2zwMjOqXeuGsUdeJDhiEOTgZSKi1QDVlPkb6pZ18yKVAuS4+1Ek/9/bvnd/sERVeHbnZ9S&#10;YliDj/SItDGz1YLES6SotX6ByLV9cMPJoxjr7aRr4j9WQrpE62GiVXSBcLw8PTsrTmbIPkddkc+L&#10;eZ6Iz17MrfPhq4CGRKGkDhNIdLL9rQ8YEqEjJEbzoFV1o7ROh9gr4ko7smf4yoxzYUIR00ar35Da&#10;RLyBaNmr400Wq+vrSVI4aBFx2jwKidRgBbOUTGrK94FSDjWrRB//OMffGH1MLeWSHEa0xPiT7+JP&#10;vvssB3w0FamnJ+P878aTRYoMJkzGjTLgPnKgJ/pkjx9J6qmJLIVu02FyUdxAdcAectAPl7f8RuEr&#10;3jIfHpjDacKXxw0R7vEjNbQlhUGipAb386P7iMcmRy0lLU5nSf2PHXOCEv3NYPufF/N5HOd0mB+f&#10;xu5yrzWb1xqza64AW6PAXWR5EiM+6FGUDppnXCSrGBVVzHCMXVIe3Hi4Cv3WwFXExWqVYDjCloVb&#10;s7Y8Oo8Exy596p6Zs0MrB5yCOxgnmS3edHSPjZYGVrsAUqV2f+F1oB7HP/XQsKrifnl9TqiXhbr8&#10;BQAA//8DAFBLAwQUAAYACAAAACEA9PY16uAAAAAMAQAADwAAAGRycy9kb3ducmV2LnhtbEyPwU7D&#10;MBBE70j8g7VI3Fq7AUwJcSpAomcoFSo3N3HjiHhtxU6T8vVsT3Cb0T7NzhSryXXsaPrYelSwmAtg&#10;Bitft9go2H68zpbAYtJY686jUXAyEVbl5UWh89qP+G6Om9QwCsGYawU2pZBzHitrnI5zHwzS7eB7&#10;pxPZvuF1r0cKdx3PhJDc6Rbpg9XBvFhTfW8GpyCst29fB/scRnn6vFtPzbD7aQelrq+mp0dgyUzp&#10;D4ZzfaoOJXXa+wHryDoFs4XMMmJJ3UhgZ0LcP9C8PSkpboGXBf8/ovwFAAD//wMAUEsBAi0AFAAG&#10;AAgAAAAhALaDOJL+AAAA4QEAABMAAAAAAAAAAAAAAAAAAAAAAFtDb250ZW50X1R5cGVzXS54bWxQ&#10;SwECLQAUAAYACAAAACEAOP0h/9YAAACUAQAACwAAAAAAAAAAAAAAAAAvAQAAX3JlbHMvLnJlbHNQ&#10;SwECLQAUAAYACAAAACEAjaT+0ZMCAACYBQAADgAAAAAAAAAAAAAAAAAuAgAAZHJzL2Uyb0RvYy54&#10;bWxQSwECLQAUAAYACAAAACEA9PY16uAAAAAMAQAADwAAAAAAAAAAAAAAAADt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8F61BA" w14:textId="6337590F" w:rsidR="00C73B38" w:rsidRPr="00073967" w:rsidRDefault="00727EA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Exam Management System Job Aid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DB8D" w14:textId="77777777" w:rsidR="00A536C2" w:rsidRDefault="00A53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A284782"/>
    <w:multiLevelType w:val="hybridMultilevel"/>
    <w:tmpl w:val="2A80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239"/>
    <w:multiLevelType w:val="hybridMultilevel"/>
    <w:tmpl w:val="9C5A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0E6"/>
    <w:multiLevelType w:val="hybridMultilevel"/>
    <w:tmpl w:val="E6527180"/>
    <w:lvl w:ilvl="0" w:tplc="D8D295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B7656"/>
    <w:multiLevelType w:val="hybridMultilevel"/>
    <w:tmpl w:val="1CE2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0AED"/>
    <w:multiLevelType w:val="hybridMultilevel"/>
    <w:tmpl w:val="1D8A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1D18"/>
    <w:multiLevelType w:val="hybridMultilevel"/>
    <w:tmpl w:val="444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04154"/>
    <w:multiLevelType w:val="hybridMultilevel"/>
    <w:tmpl w:val="8F9E199A"/>
    <w:lvl w:ilvl="0" w:tplc="0409000F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A01480A"/>
    <w:multiLevelType w:val="hybridMultilevel"/>
    <w:tmpl w:val="02F2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06517"/>
    <w:multiLevelType w:val="hybridMultilevel"/>
    <w:tmpl w:val="7104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A8"/>
    <w:rsid w:val="0000151F"/>
    <w:rsid w:val="00001F5F"/>
    <w:rsid w:val="00043FF8"/>
    <w:rsid w:val="0005602E"/>
    <w:rsid w:val="00061361"/>
    <w:rsid w:val="00064B74"/>
    <w:rsid w:val="00073967"/>
    <w:rsid w:val="00095016"/>
    <w:rsid w:val="000D6B05"/>
    <w:rsid w:val="000E4071"/>
    <w:rsid w:val="000E5B6E"/>
    <w:rsid w:val="000F5143"/>
    <w:rsid w:val="0010051C"/>
    <w:rsid w:val="001037AC"/>
    <w:rsid w:val="00106059"/>
    <w:rsid w:val="00142B4B"/>
    <w:rsid w:val="00142DCA"/>
    <w:rsid w:val="00187735"/>
    <w:rsid w:val="0019008C"/>
    <w:rsid w:val="00196366"/>
    <w:rsid w:val="001A2AB7"/>
    <w:rsid w:val="001E418B"/>
    <w:rsid w:val="002017E1"/>
    <w:rsid w:val="00204099"/>
    <w:rsid w:val="00204D5E"/>
    <w:rsid w:val="00230561"/>
    <w:rsid w:val="00251AC6"/>
    <w:rsid w:val="00254F61"/>
    <w:rsid w:val="0029416E"/>
    <w:rsid w:val="002A32B3"/>
    <w:rsid w:val="002A674F"/>
    <w:rsid w:val="002A70E4"/>
    <w:rsid w:val="002C219E"/>
    <w:rsid w:val="002F43A9"/>
    <w:rsid w:val="00306319"/>
    <w:rsid w:val="003235F4"/>
    <w:rsid w:val="00333EA3"/>
    <w:rsid w:val="00344255"/>
    <w:rsid w:val="00347B7C"/>
    <w:rsid w:val="00380BF7"/>
    <w:rsid w:val="00395387"/>
    <w:rsid w:val="003A2857"/>
    <w:rsid w:val="003A77F5"/>
    <w:rsid w:val="003B6C08"/>
    <w:rsid w:val="003C74EA"/>
    <w:rsid w:val="00405985"/>
    <w:rsid w:val="0041080D"/>
    <w:rsid w:val="00411513"/>
    <w:rsid w:val="00412092"/>
    <w:rsid w:val="00422581"/>
    <w:rsid w:val="00423C36"/>
    <w:rsid w:val="00426A47"/>
    <w:rsid w:val="004325F1"/>
    <w:rsid w:val="004430D6"/>
    <w:rsid w:val="00444CEB"/>
    <w:rsid w:val="004462BE"/>
    <w:rsid w:val="004E0723"/>
    <w:rsid w:val="0050404A"/>
    <w:rsid w:val="00510AAF"/>
    <w:rsid w:val="00517D41"/>
    <w:rsid w:val="005511AD"/>
    <w:rsid w:val="0057005E"/>
    <w:rsid w:val="00583140"/>
    <w:rsid w:val="005879A3"/>
    <w:rsid w:val="005B1CFB"/>
    <w:rsid w:val="005E1B8D"/>
    <w:rsid w:val="005F7DAB"/>
    <w:rsid w:val="0061258A"/>
    <w:rsid w:val="00612C7B"/>
    <w:rsid w:val="00620406"/>
    <w:rsid w:val="006278A0"/>
    <w:rsid w:val="00642739"/>
    <w:rsid w:val="00642B86"/>
    <w:rsid w:val="006B5999"/>
    <w:rsid w:val="006D5008"/>
    <w:rsid w:val="006E06DD"/>
    <w:rsid w:val="006F1EC6"/>
    <w:rsid w:val="006F3B95"/>
    <w:rsid w:val="00722304"/>
    <w:rsid w:val="00725467"/>
    <w:rsid w:val="00727EAC"/>
    <w:rsid w:val="00741157"/>
    <w:rsid w:val="007419FF"/>
    <w:rsid w:val="00750202"/>
    <w:rsid w:val="007546DF"/>
    <w:rsid w:val="00754FE5"/>
    <w:rsid w:val="00771F7B"/>
    <w:rsid w:val="007749F6"/>
    <w:rsid w:val="0077609D"/>
    <w:rsid w:val="00782A36"/>
    <w:rsid w:val="00784D2F"/>
    <w:rsid w:val="00786D3F"/>
    <w:rsid w:val="007A56DC"/>
    <w:rsid w:val="007B302B"/>
    <w:rsid w:val="007B63D8"/>
    <w:rsid w:val="007D0293"/>
    <w:rsid w:val="007D4A27"/>
    <w:rsid w:val="007F0912"/>
    <w:rsid w:val="007F22E8"/>
    <w:rsid w:val="00844C75"/>
    <w:rsid w:val="00845029"/>
    <w:rsid w:val="0085170F"/>
    <w:rsid w:val="00852CD4"/>
    <w:rsid w:val="0086647A"/>
    <w:rsid w:val="00867108"/>
    <w:rsid w:val="0089799C"/>
    <w:rsid w:val="008A14C5"/>
    <w:rsid w:val="008C115B"/>
    <w:rsid w:val="008C61D8"/>
    <w:rsid w:val="008C768C"/>
    <w:rsid w:val="008D2BD9"/>
    <w:rsid w:val="008E1F21"/>
    <w:rsid w:val="008E4A5C"/>
    <w:rsid w:val="008F3859"/>
    <w:rsid w:val="008F46F4"/>
    <w:rsid w:val="009060AA"/>
    <w:rsid w:val="00906543"/>
    <w:rsid w:val="00927663"/>
    <w:rsid w:val="00943AA3"/>
    <w:rsid w:val="00950FEE"/>
    <w:rsid w:val="009B071E"/>
    <w:rsid w:val="009B7BE7"/>
    <w:rsid w:val="009D53C6"/>
    <w:rsid w:val="009D5D73"/>
    <w:rsid w:val="009D7C00"/>
    <w:rsid w:val="00A01AC5"/>
    <w:rsid w:val="00A05C5B"/>
    <w:rsid w:val="00A23294"/>
    <w:rsid w:val="00A26912"/>
    <w:rsid w:val="00A3701D"/>
    <w:rsid w:val="00A536C2"/>
    <w:rsid w:val="00A6187A"/>
    <w:rsid w:val="00A807F3"/>
    <w:rsid w:val="00A94209"/>
    <w:rsid w:val="00AB32E9"/>
    <w:rsid w:val="00B247DB"/>
    <w:rsid w:val="00B269BA"/>
    <w:rsid w:val="00B35B3D"/>
    <w:rsid w:val="00B36572"/>
    <w:rsid w:val="00B36CE2"/>
    <w:rsid w:val="00B536B4"/>
    <w:rsid w:val="00B66007"/>
    <w:rsid w:val="00B96293"/>
    <w:rsid w:val="00BA255C"/>
    <w:rsid w:val="00BA6106"/>
    <w:rsid w:val="00BD3772"/>
    <w:rsid w:val="00BE02C3"/>
    <w:rsid w:val="00BF4312"/>
    <w:rsid w:val="00C04CA2"/>
    <w:rsid w:val="00C175AE"/>
    <w:rsid w:val="00C569E0"/>
    <w:rsid w:val="00C57A71"/>
    <w:rsid w:val="00C625CE"/>
    <w:rsid w:val="00C7109F"/>
    <w:rsid w:val="00C73B38"/>
    <w:rsid w:val="00C93CA0"/>
    <w:rsid w:val="00CE6D1B"/>
    <w:rsid w:val="00CF77D5"/>
    <w:rsid w:val="00D20FBC"/>
    <w:rsid w:val="00D24DC9"/>
    <w:rsid w:val="00D25CB2"/>
    <w:rsid w:val="00D53F1C"/>
    <w:rsid w:val="00D63451"/>
    <w:rsid w:val="00D637F3"/>
    <w:rsid w:val="00D75473"/>
    <w:rsid w:val="00D819A0"/>
    <w:rsid w:val="00D86420"/>
    <w:rsid w:val="00D90C50"/>
    <w:rsid w:val="00D9110F"/>
    <w:rsid w:val="00DC5637"/>
    <w:rsid w:val="00DD1ABC"/>
    <w:rsid w:val="00DD7C90"/>
    <w:rsid w:val="00E147C4"/>
    <w:rsid w:val="00E52A9E"/>
    <w:rsid w:val="00E52D61"/>
    <w:rsid w:val="00E55488"/>
    <w:rsid w:val="00E56627"/>
    <w:rsid w:val="00E61104"/>
    <w:rsid w:val="00E65228"/>
    <w:rsid w:val="00E66D6C"/>
    <w:rsid w:val="00E67C20"/>
    <w:rsid w:val="00E810E2"/>
    <w:rsid w:val="00E9186A"/>
    <w:rsid w:val="00E926A8"/>
    <w:rsid w:val="00EA1A95"/>
    <w:rsid w:val="00F01562"/>
    <w:rsid w:val="00F47FCB"/>
    <w:rsid w:val="00F56BD2"/>
    <w:rsid w:val="00F634C5"/>
    <w:rsid w:val="00F730BE"/>
    <w:rsid w:val="00F77386"/>
    <w:rsid w:val="00F96674"/>
    <w:rsid w:val="00FA79B7"/>
    <w:rsid w:val="00FB2C19"/>
    <w:rsid w:val="00FB65F2"/>
    <w:rsid w:val="00FE066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D8F5"/>
  <w15:chartTrackingRefBased/>
  <w15:docId w15:val="{C55B3F22-7B5E-4596-A348-4532C57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8"/>
  </w:style>
  <w:style w:type="paragraph" w:styleId="Footer">
    <w:name w:val="footer"/>
    <w:basedOn w:val="Normal"/>
    <w:link w:val="FooterChar"/>
    <w:uiPriority w:val="99"/>
    <w:unhideWhenUsed/>
    <w:rsid w:val="008C6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8"/>
  </w:style>
  <w:style w:type="character" w:customStyle="1" w:styleId="Heading1Char">
    <w:name w:val="Heading 1 Char"/>
    <w:basedOn w:val="DefaultParagraphFont"/>
    <w:link w:val="Heading1"/>
    <w:uiPriority w:val="9"/>
    <w:rsid w:val="00C73B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7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aafbb38-50a7-4fc1-bc15-3abbf10d81f3">Peer Review</Category>
    <_dlc_DocId xmlns="b62c6c12-24c5-4d47-ac4d-c5cc93bcdf7b">RO317-1313790865-21</_dlc_DocId>
    <_dlc_DocIdUrl xmlns="b62c6c12-24c5-4d47-ac4d-c5cc93bcdf7b">
      <Url>https://vaww.vashare.vba.va.gov/sites/SPTNCIO/focusedveterans/training/VSRIWT/_layouts/15/DocIdRedir.aspx?ID=RO317-1313790865-21</Url>
      <Description>RO317-1313790865-21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C9B285C3D964FA35182D747CEADEE" ma:contentTypeVersion="1" ma:contentTypeDescription="Create a new document." ma:contentTypeScope="" ma:versionID="c17bde2555e30c122f1a0bb93f8580c5">
  <xsd:schema xmlns:xsd="http://www.w3.org/2001/XMLSchema" xmlns:xs="http://www.w3.org/2001/XMLSchema" xmlns:p="http://schemas.microsoft.com/office/2006/metadata/properties" xmlns:ns1="daafbb38-50a7-4fc1-bc15-3abbf10d81f3" xmlns:ns3="b62c6c12-24c5-4d47-ac4d-c5cc93bcdf7b" targetNamespace="http://schemas.microsoft.com/office/2006/metadata/properties" ma:root="true" ma:fieldsID="f86926cf3b904d7c8d33db5ca77a9f1c" ns1:_="" ns3:_="">
    <xsd:import namespace="daafbb38-50a7-4fc1-bc15-3abbf10d81f3"/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1:Category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bb38-50a7-4fc1-bc15-3abbf10d81f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format="Dropdown" ma:internalName="Category">
      <xsd:simpleType>
        <xsd:restriction base="dms:Choice">
          <xsd:enumeration value="Source Documents"/>
          <xsd:enumeration value="Peer Review"/>
          <xsd:enumeration value="Final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DE259-6F21-4023-9C54-1E481EEBCF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51A236-EF1C-4772-90EB-32247774AB29}">
  <ds:schemaRefs>
    <ds:schemaRef ds:uri="http://schemas.microsoft.com/office/2006/metadata/properties"/>
    <ds:schemaRef ds:uri="http://schemas.microsoft.com/office/infopath/2007/PartnerControls"/>
    <ds:schemaRef ds:uri="daafbb38-50a7-4fc1-bc15-3abbf10d81f3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9D7247DB-A10C-4560-B5C2-A53F3ABDC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bb38-50a7-4fc1-bc15-3abbf10d81f3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8194C-8917-4D93-90B8-BF299960E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Management System Job Aid</vt:lpstr>
    </vt:vector>
  </TitlesOfParts>
  <Company>Veterans Benefits Administration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Management System Job Aid</dc:title>
  <dc:subject>PMC VSR, PMC RVSR, PMC DRO</dc:subject>
  <dc:creator>Department of Veterans Affairs, Veterans Benefits Administration, Pension Service, STAFF</dc:creator>
  <cp:keywords/>
  <dc:description/>
  <cp:lastModifiedBy>Kathy Poole</cp:lastModifiedBy>
  <cp:revision>14</cp:revision>
  <dcterms:created xsi:type="dcterms:W3CDTF">2019-06-12T11:33:00Z</dcterms:created>
  <dcterms:modified xsi:type="dcterms:W3CDTF">2019-06-17T14:02:00Z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0x010100FE9C9B285C3D964FA35182D747CEADEE</vt:lpwstr>
  </property>
  <property fmtid="{D5CDD505-2E9C-101B-9397-08002B2CF9AE}" pid="3" name="_dlc_DocIdItemGuid">
    <vt:lpwstr>6fdbf5c1-db8e-4aa4-a45c-dc399aec5a39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