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B869" w14:textId="6D295B5D" w:rsidR="0086647A" w:rsidRDefault="00096D00" w:rsidP="007F22E8">
      <w:pPr>
        <w:ind w:left="720" w:hanging="3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ESR Copy Functionality</w:t>
      </w:r>
    </w:p>
    <w:p w14:paraId="158C7033" w14:textId="692D8C42" w:rsidR="00096D00" w:rsidRPr="00096D00" w:rsidRDefault="00096D00" w:rsidP="00096D00">
      <w:pPr>
        <w:rPr>
          <w:rFonts w:ascii="Arial" w:hAnsi="Arial" w:cs="Arial"/>
          <w:sz w:val="24"/>
          <w:szCs w:val="24"/>
        </w:rPr>
      </w:pPr>
      <w:r w:rsidRPr="00096D00">
        <w:rPr>
          <w:rFonts w:ascii="Arial" w:hAnsi="Arial" w:cs="Arial"/>
          <w:sz w:val="24"/>
          <w:szCs w:val="24"/>
        </w:rPr>
        <w:t xml:space="preserve">ESR “Copy” functionality allows users to recreate, with minimal input, a new ESR which had been previously cancelled or completed. The function is to be mainly utilized for previously cancelled ESR(s). </w:t>
      </w:r>
    </w:p>
    <w:p w14:paraId="136AA415" w14:textId="2B42D1A4" w:rsidR="00096D00" w:rsidRPr="00096D00" w:rsidRDefault="00096D00" w:rsidP="00096D00">
      <w:pPr>
        <w:rPr>
          <w:rFonts w:ascii="Arial" w:hAnsi="Arial" w:cs="Arial"/>
          <w:b/>
          <w:sz w:val="24"/>
          <w:szCs w:val="24"/>
        </w:rPr>
      </w:pPr>
      <w:r w:rsidRPr="00096D00">
        <w:rPr>
          <w:rFonts w:ascii="Arial" w:hAnsi="Arial" w:cs="Arial"/>
          <w:b/>
          <w:sz w:val="24"/>
          <w:szCs w:val="24"/>
        </w:rPr>
        <w:t>Rework:</w:t>
      </w:r>
    </w:p>
    <w:p w14:paraId="3D7157CC" w14:textId="0AF25789" w:rsidR="00096D00" w:rsidRPr="00096D00" w:rsidRDefault="00096D00" w:rsidP="00096D00">
      <w:pPr>
        <w:rPr>
          <w:rFonts w:ascii="Arial" w:hAnsi="Arial" w:cs="Arial"/>
          <w:sz w:val="24"/>
          <w:szCs w:val="24"/>
        </w:rPr>
      </w:pPr>
      <w:r w:rsidRPr="00096D00">
        <w:rPr>
          <w:rFonts w:ascii="Arial" w:hAnsi="Arial" w:cs="Arial"/>
          <w:sz w:val="24"/>
          <w:szCs w:val="24"/>
        </w:rPr>
        <w:t>When a previously completed ESR does not have the “Rework” function available, the user is required to submit a new request using specified special instructions to the MDE Vendor. The copy functionality would then be used from a previously completed ESR.</w:t>
      </w:r>
    </w:p>
    <w:p w14:paraId="06DEC546" w14:textId="2B12A976" w:rsidR="00096D00" w:rsidRDefault="00682DF7" w:rsidP="00682DF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ESR summary the user will select “Copy” from the actions drop down for the ESR being requested.</w:t>
      </w:r>
    </w:p>
    <w:p w14:paraId="2F61944D" w14:textId="2FE3653B" w:rsidR="00682DF7" w:rsidRDefault="00682DF7" w:rsidP="00682DF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0540D77" wp14:editId="152D45EB">
            <wp:extent cx="4991100" cy="1599565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5144" w14:textId="791F5291" w:rsidR="00682DF7" w:rsidRPr="00682DF7" w:rsidRDefault="00682DF7" w:rsidP="00682DF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“Select Contentions” tab the user will select all contentions or individual contentions to be copied.</w:t>
      </w:r>
      <w:r w:rsidRPr="00682DF7">
        <w:rPr>
          <w:rFonts w:ascii="Arial" w:hAnsi="Arial" w:cs="Arial"/>
          <w:sz w:val="24"/>
          <w:szCs w:val="24"/>
        </w:rPr>
        <w:tab/>
      </w:r>
    </w:p>
    <w:p w14:paraId="47E46E73" w14:textId="364AE1C1" w:rsidR="00682DF7" w:rsidRDefault="00682DF7" w:rsidP="00682D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8E6E56" wp14:editId="05E44F4F">
            <wp:extent cx="5010150" cy="236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D18C4" w14:textId="77777777" w:rsidR="002713AA" w:rsidRDefault="002713AA" w:rsidP="002713AA">
      <w:pPr>
        <w:rPr>
          <w:rFonts w:ascii="Arial" w:hAnsi="Arial" w:cs="Arial"/>
          <w:sz w:val="24"/>
          <w:szCs w:val="24"/>
        </w:rPr>
      </w:pPr>
    </w:p>
    <w:p w14:paraId="02A66933" w14:textId="77777777" w:rsidR="002713AA" w:rsidRDefault="002713AA" w:rsidP="002713AA">
      <w:pPr>
        <w:rPr>
          <w:rFonts w:ascii="Arial" w:hAnsi="Arial" w:cs="Arial"/>
          <w:sz w:val="24"/>
          <w:szCs w:val="24"/>
        </w:rPr>
      </w:pPr>
    </w:p>
    <w:p w14:paraId="166FD62F" w14:textId="03E3821C" w:rsidR="00682DF7" w:rsidRPr="002713AA" w:rsidRDefault="002713AA" w:rsidP="002713A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713AA">
        <w:rPr>
          <w:rFonts w:ascii="Arial" w:hAnsi="Arial" w:cs="Arial"/>
          <w:sz w:val="24"/>
          <w:szCs w:val="24"/>
        </w:rPr>
        <w:lastRenderedPageBreak/>
        <w:t xml:space="preserve">  </w:t>
      </w:r>
      <w:r w:rsidR="00A45F4B">
        <w:rPr>
          <w:rFonts w:ascii="Arial" w:hAnsi="Arial" w:cs="Arial"/>
          <w:sz w:val="24"/>
          <w:szCs w:val="24"/>
        </w:rPr>
        <w:t>The user will verify address and POA/VSO type for the claimant.</w:t>
      </w:r>
    </w:p>
    <w:p w14:paraId="6187AFB0" w14:textId="2D6BD16C" w:rsidR="002713AA" w:rsidRDefault="002713AA" w:rsidP="002713AA">
      <w:pPr>
        <w:pStyle w:val="ListParagraph"/>
        <w:rPr>
          <w:rFonts w:ascii="Arial" w:hAnsi="Arial" w:cs="Arial"/>
          <w:sz w:val="24"/>
          <w:szCs w:val="24"/>
        </w:rPr>
      </w:pPr>
    </w:p>
    <w:p w14:paraId="1C4DF7F3" w14:textId="0C08B563" w:rsidR="002713AA" w:rsidRDefault="002713AA" w:rsidP="002713A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ABF4E3" wp14:editId="2A4474C3">
            <wp:extent cx="5391150" cy="1560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35F58" w14:textId="790D9EA3" w:rsidR="00A45F4B" w:rsidRDefault="00A45F4B" w:rsidP="002713AA">
      <w:pPr>
        <w:pStyle w:val="ListParagraph"/>
        <w:rPr>
          <w:rFonts w:ascii="Arial" w:hAnsi="Arial" w:cs="Arial"/>
          <w:sz w:val="24"/>
          <w:szCs w:val="24"/>
        </w:rPr>
      </w:pPr>
    </w:p>
    <w:p w14:paraId="1A8BD418" w14:textId="4A032917" w:rsidR="00A45F4B" w:rsidRDefault="00A45F4B" w:rsidP="002713AA">
      <w:pPr>
        <w:pStyle w:val="ListParagraph"/>
        <w:rPr>
          <w:rFonts w:ascii="Arial" w:hAnsi="Arial" w:cs="Arial"/>
          <w:sz w:val="24"/>
          <w:szCs w:val="24"/>
        </w:rPr>
      </w:pPr>
      <w:r w:rsidRPr="00A45F4B">
        <w:rPr>
          <w:rFonts w:ascii="Calibri" w:eastAsia="Calibri" w:hAnsi="Calibri" w:cs="Times New Roman"/>
          <w:noProof/>
        </w:rPr>
        <w:drawing>
          <wp:inline distT="0" distB="0" distL="0" distR="0" wp14:anchorId="5FCE66FE" wp14:editId="0B2D17D7">
            <wp:extent cx="5391150" cy="17056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24AE" w14:textId="66ED81C9" w:rsidR="00A45F4B" w:rsidRDefault="00A45F4B" w:rsidP="002713AA">
      <w:pPr>
        <w:pStyle w:val="ListParagraph"/>
        <w:rPr>
          <w:rFonts w:ascii="Arial" w:hAnsi="Arial" w:cs="Arial"/>
          <w:sz w:val="24"/>
          <w:szCs w:val="24"/>
        </w:rPr>
      </w:pPr>
    </w:p>
    <w:p w14:paraId="4098E31F" w14:textId="30FE3287" w:rsidR="00A45F4B" w:rsidRDefault="00A45F4B" w:rsidP="00A45F4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user will select the “Contention Information” tab and verify </w:t>
      </w:r>
      <w:r w:rsidR="00945D96">
        <w:rPr>
          <w:rFonts w:ascii="Arial" w:hAnsi="Arial" w:cs="Arial"/>
          <w:sz w:val="24"/>
          <w:szCs w:val="24"/>
        </w:rPr>
        <w:t>all DBQ</w:t>
      </w:r>
      <w:r>
        <w:rPr>
          <w:rFonts w:ascii="Arial" w:hAnsi="Arial" w:cs="Arial"/>
          <w:sz w:val="24"/>
          <w:szCs w:val="24"/>
        </w:rPr>
        <w:t xml:space="preserve">(s) and specialty language, if applicable. </w:t>
      </w:r>
    </w:p>
    <w:p w14:paraId="70819A30" w14:textId="382648FE" w:rsidR="00A45F4B" w:rsidRDefault="00A45F4B" w:rsidP="00A45F4B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4452FA" wp14:editId="1844A45F">
            <wp:extent cx="5420120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272" cy="22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1915" w14:textId="1D8E082F" w:rsidR="008963AA" w:rsidRDefault="008963AA" w:rsidP="00A45F4B">
      <w:pPr>
        <w:jc w:val="right"/>
        <w:rPr>
          <w:rFonts w:ascii="Arial" w:hAnsi="Arial" w:cs="Arial"/>
          <w:sz w:val="24"/>
          <w:szCs w:val="24"/>
        </w:rPr>
      </w:pPr>
    </w:p>
    <w:p w14:paraId="6CDCA679" w14:textId="12238F95" w:rsidR="008963AA" w:rsidRPr="008963AA" w:rsidRDefault="008963AA" w:rsidP="008963A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will then select “Preview” and ensure the ESR is accurate prior to clicking submit.</w:t>
      </w:r>
    </w:p>
    <w:sectPr w:rsidR="008963AA" w:rsidRPr="008963A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B210" w14:textId="77777777" w:rsidR="00532737" w:rsidRDefault="00532737" w:rsidP="0050404A">
      <w:pPr>
        <w:spacing w:after="0" w:line="240" w:lineRule="auto"/>
      </w:pPr>
      <w:r>
        <w:separator/>
      </w:r>
    </w:p>
  </w:endnote>
  <w:endnote w:type="continuationSeparator" w:id="0">
    <w:p w14:paraId="206B50CC" w14:textId="77777777" w:rsidR="00532737" w:rsidRDefault="00532737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281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157C0" w14:textId="09196052" w:rsidR="00F01562" w:rsidRDefault="00F015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129AD" w14:textId="77777777" w:rsidR="008C61D8" w:rsidRDefault="008C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4585" w14:textId="77777777" w:rsidR="00532737" w:rsidRDefault="00532737" w:rsidP="0050404A">
      <w:pPr>
        <w:spacing w:after="0" w:line="240" w:lineRule="auto"/>
      </w:pPr>
      <w:r>
        <w:separator/>
      </w:r>
    </w:p>
  </w:footnote>
  <w:footnote w:type="continuationSeparator" w:id="0">
    <w:p w14:paraId="294A1414" w14:textId="77777777" w:rsidR="00532737" w:rsidRDefault="00532737" w:rsidP="0050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A284782"/>
    <w:multiLevelType w:val="hybridMultilevel"/>
    <w:tmpl w:val="2A80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239"/>
    <w:multiLevelType w:val="hybridMultilevel"/>
    <w:tmpl w:val="9C5A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67AF7"/>
    <w:multiLevelType w:val="hybridMultilevel"/>
    <w:tmpl w:val="3F9C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2095C"/>
    <w:multiLevelType w:val="hybridMultilevel"/>
    <w:tmpl w:val="CF12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04154"/>
    <w:multiLevelType w:val="hybridMultilevel"/>
    <w:tmpl w:val="8F9E199A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CE06517"/>
    <w:multiLevelType w:val="hybridMultilevel"/>
    <w:tmpl w:val="7104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01F5F"/>
    <w:rsid w:val="0005602E"/>
    <w:rsid w:val="00061361"/>
    <w:rsid w:val="00064B74"/>
    <w:rsid w:val="00095016"/>
    <w:rsid w:val="00096D00"/>
    <w:rsid w:val="000D6B05"/>
    <w:rsid w:val="000E4071"/>
    <w:rsid w:val="000E5B6E"/>
    <w:rsid w:val="0010051C"/>
    <w:rsid w:val="001037AC"/>
    <w:rsid w:val="00106059"/>
    <w:rsid w:val="00142B4B"/>
    <w:rsid w:val="00142DCA"/>
    <w:rsid w:val="00187735"/>
    <w:rsid w:val="0019008C"/>
    <w:rsid w:val="00196366"/>
    <w:rsid w:val="001A2AB7"/>
    <w:rsid w:val="001E418B"/>
    <w:rsid w:val="002017E1"/>
    <w:rsid w:val="00230561"/>
    <w:rsid w:val="00254F61"/>
    <w:rsid w:val="002713AA"/>
    <w:rsid w:val="0029416E"/>
    <w:rsid w:val="002A32B3"/>
    <w:rsid w:val="002A674F"/>
    <w:rsid w:val="002A70E4"/>
    <w:rsid w:val="002C219E"/>
    <w:rsid w:val="002F43A9"/>
    <w:rsid w:val="00306319"/>
    <w:rsid w:val="003235F4"/>
    <w:rsid w:val="00344255"/>
    <w:rsid w:val="00347B7C"/>
    <w:rsid w:val="00380BF7"/>
    <w:rsid w:val="00395387"/>
    <w:rsid w:val="003A2857"/>
    <w:rsid w:val="003A77F5"/>
    <w:rsid w:val="003B6C08"/>
    <w:rsid w:val="003C74EA"/>
    <w:rsid w:val="0041080D"/>
    <w:rsid w:val="00411513"/>
    <w:rsid w:val="00412092"/>
    <w:rsid w:val="00422581"/>
    <w:rsid w:val="00423C36"/>
    <w:rsid w:val="00426A47"/>
    <w:rsid w:val="004430D6"/>
    <w:rsid w:val="00444CEB"/>
    <w:rsid w:val="0050404A"/>
    <w:rsid w:val="00510AAF"/>
    <w:rsid w:val="00517D41"/>
    <w:rsid w:val="00532737"/>
    <w:rsid w:val="005511AD"/>
    <w:rsid w:val="0057005E"/>
    <w:rsid w:val="005879A3"/>
    <w:rsid w:val="005F7DAB"/>
    <w:rsid w:val="0061258A"/>
    <w:rsid w:val="00620406"/>
    <w:rsid w:val="006278A0"/>
    <w:rsid w:val="00642739"/>
    <w:rsid w:val="00642B86"/>
    <w:rsid w:val="00682DF7"/>
    <w:rsid w:val="006B5999"/>
    <w:rsid w:val="006D5008"/>
    <w:rsid w:val="006E06DD"/>
    <w:rsid w:val="006F1EC6"/>
    <w:rsid w:val="006F3B95"/>
    <w:rsid w:val="00721F73"/>
    <w:rsid w:val="00722304"/>
    <w:rsid w:val="00725467"/>
    <w:rsid w:val="00741157"/>
    <w:rsid w:val="007419FF"/>
    <w:rsid w:val="00750202"/>
    <w:rsid w:val="007546DF"/>
    <w:rsid w:val="00754FE5"/>
    <w:rsid w:val="00771F7B"/>
    <w:rsid w:val="007749F6"/>
    <w:rsid w:val="0077609D"/>
    <w:rsid w:val="00782A36"/>
    <w:rsid w:val="00784D2F"/>
    <w:rsid w:val="00786D3F"/>
    <w:rsid w:val="007A56DC"/>
    <w:rsid w:val="007B302B"/>
    <w:rsid w:val="007D0293"/>
    <w:rsid w:val="007F0912"/>
    <w:rsid w:val="007F22E8"/>
    <w:rsid w:val="00844C75"/>
    <w:rsid w:val="00845029"/>
    <w:rsid w:val="00852CD4"/>
    <w:rsid w:val="0086647A"/>
    <w:rsid w:val="00867108"/>
    <w:rsid w:val="008963AA"/>
    <w:rsid w:val="0089799C"/>
    <w:rsid w:val="008A14C5"/>
    <w:rsid w:val="008C115B"/>
    <w:rsid w:val="008C61D8"/>
    <w:rsid w:val="008C768C"/>
    <w:rsid w:val="008D2BD9"/>
    <w:rsid w:val="008E1F21"/>
    <w:rsid w:val="008E4A5C"/>
    <w:rsid w:val="008F3859"/>
    <w:rsid w:val="008F46F4"/>
    <w:rsid w:val="009060AA"/>
    <w:rsid w:val="00906543"/>
    <w:rsid w:val="00927663"/>
    <w:rsid w:val="00943AA3"/>
    <w:rsid w:val="00945D96"/>
    <w:rsid w:val="00950FEE"/>
    <w:rsid w:val="009B071E"/>
    <w:rsid w:val="009B7BE7"/>
    <w:rsid w:val="009D53C6"/>
    <w:rsid w:val="009D5D73"/>
    <w:rsid w:val="00A01AC5"/>
    <w:rsid w:val="00A14949"/>
    <w:rsid w:val="00A23294"/>
    <w:rsid w:val="00A3701D"/>
    <w:rsid w:val="00A45F4B"/>
    <w:rsid w:val="00A6187A"/>
    <w:rsid w:val="00A807F3"/>
    <w:rsid w:val="00A8484D"/>
    <w:rsid w:val="00A94209"/>
    <w:rsid w:val="00B35B3D"/>
    <w:rsid w:val="00B36572"/>
    <w:rsid w:val="00B36CE2"/>
    <w:rsid w:val="00B536B4"/>
    <w:rsid w:val="00B66007"/>
    <w:rsid w:val="00B96293"/>
    <w:rsid w:val="00BA255C"/>
    <w:rsid w:val="00BA6106"/>
    <w:rsid w:val="00BD1D74"/>
    <w:rsid w:val="00BD3772"/>
    <w:rsid w:val="00BE02C3"/>
    <w:rsid w:val="00BF4312"/>
    <w:rsid w:val="00C04CA2"/>
    <w:rsid w:val="00C175AE"/>
    <w:rsid w:val="00C41988"/>
    <w:rsid w:val="00C569E0"/>
    <w:rsid w:val="00C57A71"/>
    <w:rsid w:val="00C625CE"/>
    <w:rsid w:val="00C7109F"/>
    <w:rsid w:val="00C93CA0"/>
    <w:rsid w:val="00D20FBC"/>
    <w:rsid w:val="00D24DC9"/>
    <w:rsid w:val="00D25CB2"/>
    <w:rsid w:val="00D53F1C"/>
    <w:rsid w:val="00D63451"/>
    <w:rsid w:val="00D6369B"/>
    <w:rsid w:val="00D637F3"/>
    <w:rsid w:val="00D75473"/>
    <w:rsid w:val="00D86420"/>
    <w:rsid w:val="00D90C50"/>
    <w:rsid w:val="00D9110F"/>
    <w:rsid w:val="00DC5637"/>
    <w:rsid w:val="00DD1ABC"/>
    <w:rsid w:val="00DD7C90"/>
    <w:rsid w:val="00E147C4"/>
    <w:rsid w:val="00E305A5"/>
    <w:rsid w:val="00E52A9E"/>
    <w:rsid w:val="00E52D61"/>
    <w:rsid w:val="00E55488"/>
    <w:rsid w:val="00E56627"/>
    <w:rsid w:val="00E61104"/>
    <w:rsid w:val="00E65228"/>
    <w:rsid w:val="00E67C20"/>
    <w:rsid w:val="00E810E2"/>
    <w:rsid w:val="00E926A8"/>
    <w:rsid w:val="00F01562"/>
    <w:rsid w:val="00F47FCB"/>
    <w:rsid w:val="00F56BD2"/>
    <w:rsid w:val="00F634C5"/>
    <w:rsid w:val="00F730BE"/>
    <w:rsid w:val="00F77386"/>
    <w:rsid w:val="00F96674"/>
    <w:rsid w:val="00FB2C19"/>
    <w:rsid w:val="00FB65F2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D8F5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62B13-7FED-45B9-AA37-D094AD47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- ESR Copy Functionality</vt:lpstr>
    </vt:vector>
  </TitlesOfParts>
  <Company>Veterans Benefits Administration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ESR Copy Functionality</dc:title>
  <dc:subject>PMC VSR, PMC RVSR, PMC DRO</dc:subject>
  <dc:creator>Department of Veterans Affairs, Veterans Benefits Administration, Pension Service, STAFF</dc:creator>
  <cp:keywords/>
  <dc:description/>
  <cp:lastModifiedBy>Kathy Poole</cp:lastModifiedBy>
  <cp:revision>3</cp:revision>
  <dcterms:created xsi:type="dcterms:W3CDTF">2019-06-10T14:30:00Z</dcterms:created>
  <dcterms:modified xsi:type="dcterms:W3CDTF">2019-06-12T17:27:00Z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