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F74390" w14:textId="77777777" w:rsidR="006E7875" w:rsidRPr="00B06081" w:rsidRDefault="009B04C9" w:rsidP="004711E0">
      <w:pPr>
        <w:spacing w:line="276" w:lineRule="auto"/>
        <w:rPr>
          <w:rFonts w:ascii="Arial" w:hAnsi="Arial" w:cs="Arial"/>
          <w:szCs w:val="24"/>
        </w:rPr>
      </w:pPr>
      <w:r w:rsidRPr="00B06081">
        <w:rPr>
          <w:rFonts w:ascii="Arial" w:hAnsi="Arial" w:cs="Arial"/>
          <w:noProof/>
          <w:szCs w:val="24"/>
        </w:rPr>
        <mc:AlternateContent>
          <mc:Choice Requires="wps">
            <w:drawing>
              <wp:anchor distT="0" distB="0" distL="114300" distR="114300" simplePos="0" relativeHeight="251658241" behindDoc="0" locked="0" layoutInCell="1" allowOverlap="1" wp14:anchorId="64760CF9" wp14:editId="1FDC9FC6">
                <wp:simplePos x="0" y="0"/>
                <wp:positionH relativeFrom="margin">
                  <wp:align>right</wp:align>
                </wp:positionH>
                <wp:positionV relativeFrom="paragraph">
                  <wp:posOffset>19050</wp:posOffset>
                </wp:positionV>
                <wp:extent cx="4781550" cy="12668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4781550" cy="126682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3AB79DBB" w14:textId="77777777" w:rsidR="00B80AC7" w:rsidRDefault="00B80AC7" w:rsidP="006F3DA0">
                            <w:pPr>
                              <w:jc w:val="center"/>
                              <w:rPr>
                                <w:rFonts w:ascii="Arial" w:hAnsi="Arial" w:cs="Arial"/>
                                <w:b/>
                                <w:color w:val="EEECE1" w:themeColor="background2"/>
                                <w:sz w:val="48"/>
                                <w:szCs w:val="4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sidRPr="00F90271">
                              <w:rPr>
                                <w:rFonts w:ascii="Arial" w:hAnsi="Arial" w:cs="Arial"/>
                                <w:b/>
                                <w:color w:val="EEECE1" w:themeColor="background2"/>
                                <w:sz w:val="48"/>
                                <w:szCs w:val="4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Pension &amp; Fiduciary </w:t>
                            </w:r>
                            <w:r>
                              <w:rPr>
                                <w:rFonts w:ascii="Arial" w:hAnsi="Arial" w:cs="Arial"/>
                                <w:b/>
                                <w:color w:val="EEECE1" w:themeColor="background2"/>
                                <w:sz w:val="48"/>
                                <w:szCs w:val="4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Service</w:t>
                            </w:r>
                          </w:p>
                          <w:p w14:paraId="312AE6D3" w14:textId="77777777" w:rsidR="00B80AC7" w:rsidRPr="006F3DA0" w:rsidRDefault="00B80AC7" w:rsidP="006F3DA0">
                            <w:pPr>
                              <w:jc w:val="center"/>
                              <w:rPr>
                                <w:rFonts w:ascii="Arial" w:hAnsi="Arial" w:cs="Arial"/>
                                <w:b/>
                                <w:color w:val="EEECE1" w:themeColor="background2"/>
                                <w:sz w:val="40"/>
                                <w:szCs w:val="4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sidRPr="006F3DA0">
                              <w:rPr>
                                <w:rFonts w:ascii="Arial" w:hAnsi="Arial" w:cs="Arial"/>
                                <w:b/>
                                <w:color w:val="EEECE1" w:themeColor="background2"/>
                                <w:sz w:val="40"/>
                                <w:szCs w:val="4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Inquir</w:t>
                            </w:r>
                            <w:r>
                              <w:rPr>
                                <w:rFonts w:ascii="Arial" w:hAnsi="Arial" w:cs="Arial"/>
                                <w:b/>
                                <w:color w:val="EEECE1" w:themeColor="background2"/>
                                <w:sz w:val="40"/>
                                <w:szCs w:val="4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y Response Highlights</w:t>
                            </w:r>
                          </w:p>
                          <w:p w14:paraId="55E608F7" w14:textId="77777777" w:rsidR="00B80AC7" w:rsidRDefault="00B80AC7" w:rsidP="009B04C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760CF9" id="Rectangle 3" o:spid="_x0000_s1026" style="position:absolute;margin-left:325.3pt;margin-top:1.5pt;width:376.5pt;height:99.7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" fillcolor="white [3201]" strokecolor="#4f81bd [3204]" strokeweight="2pt">
                <v:textbox>
                  <w:txbxContent>
                    <w:p w14:paraId="3AB79DBB" w14:textId="77777777" w:rsidR="00B80AC7" w:rsidRDefault="00B80AC7" w:rsidP="006F3DA0">
                      <w:pPr>
                        <w:jc w:val="center"/>
                        <w:rPr>
                          <w:rFonts w:ascii="Arial" w:hAnsi="Arial" w:cs="Arial"/>
                          <w:b/>
                          <w:color w:val="EEECE1" w:themeColor="background2"/>
                          <w:sz w:val="48"/>
                          <w:szCs w:val="4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sidRPr="00F90271">
                        <w:rPr>
                          <w:rFonts w:ascii="Arial" w:hAnsi="Arial" w:cs="Arial"/>
                          <w:b/>
                          <w:color w:val="EEECE1" w:themeColor="background2"/>
                          <w:sz w:val="48"/>
                          <w:szCs w:val="4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Pension &amp; Fiduciary </w:t>
                      </w:r>
                      <w:r>
                        <w:rPr>
                          <w:rFonts w:ascii="Arial" w:hAnsi="Arial" w:cs="Arial"/>
                          <w:b/>
                          <w:color w:val="EEECE1" w:themeColor="background2"/>
                          <w:sz w:val="48"/>
                          <w:szCs w:val="4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Service</w:t>
                      </w:r>
                    </w:p>
                    <w:p w14:paraId="312AE6D3" w14:textId="77777777" w:rsidR="00B80AC7" w:rsidRPr="006F3DA0" w:rsidRDefault="00B80AC7" w:rsidP="006F3DA0">
                      <w:pPr>
                        <w:jc w:val="center"/>
                        <w:rPr>
                          <w:rFonts w:ascii="Arial" w:hAnsi="Arial" w:cs="Arial"/>
                          <w:b/>
                          <w:color w:val="EEECE1" w:themeColor="background2"/>
                          <w:sz w:val="40"/>
                          <w:szCs w:val="4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sidRPr="006F3DA0">
                        <w:rPr>
                          <w:rFonts w:ascii="Arial" w:hAnsi="Arial" w:cs="Arial"/>
                          <w:b/>
                          <w:color w:val="EEECE1" w:themeColor="background2"/>
                          <w:sz w:val="40"/>
                          <w:szCs w:val="4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Inquir</w:t>
                      </w:r>
                      <w:r>
                        <w:rPr>
                          <w:rFonts w:ascii="Arial" w:hAnsi="Arial" w:cs="Arial"/>
                          <w:b/>
                          <w:color w:val="EEECE1" w:themeColor="background2"/>
                          <w:sz w:val="40"/>
                          <w:szCs w:val="4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y Response Highlights</w:t>
                      </w:r>
                    </w:p>
                    <w:p w14:paraId="55E608F7" w14:textId="77777777" w:rsidR="00B80AC7" w:rsidRDefault="00B80AC7" w:rsidP="009B04C9">
                      <w:pPr>
                        <w:jc w:val="center"/>
                      </w:pPr>
                    </w:p>
                  </w:txbxContent>
                </v:textbox>
                <w10:wrap anchorx="margin"/>
              </v:rect>
            </w:pict>
          </mc:Fallback>
        </mc:AlternateContent>
      </w:r>
      <w:r w:rsidRPr="00B06081">
        <w:rPr>
          <w:rFonts w:ascii="Arial" w:hAnsi="Arial" w:cs="Arial"/>
          <w:noProof/>
          <w:szCs w:val="24"/>
        </w:rPr>
        <w:drawing>
          <wp:anchor distT="0" distB="0" distL="114300" distR="114300" simplePos="0" relativeHeight="251658240" behindDoc="1" locked="0" layoutInCell="1" allowOverlap="1" wp14:anchorId="6DEA374F" wp14:editId="4D58BD5F">
            <wp:simplePos x="0" y="0"/>
            <wp:positionH relativeFrom="column">
              <wp:posOffset>-85725</wp:posOffset>
            </wp:positionH>
            <wp:positionV relativeFrom="paragraph">
              <wp:posOffset>38100</wp:posOffset>
            </wp:positionV>
            <wp:extent cx="1209675" cy="1292860"/>
            <wp:effectExtent l="38100" t="38100" r="85725" b="78740"/>
            <wp:wrapTight wrapText="bothSides">
              <wp:wrapPolygon edited="0">
                <wp:start x="-680" y="-637"/>
                <wp:lineTo x="-680" y="22597"/>
                <wp:lineTo x="22791" y="22597"/>
                <wp:lineTo x="22791" y="-637"/>
                <wp:lineTo x="-680" y="-637"/>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9675" cy="1292860"/>
                    </a:xfrm>
                    <a:prstGeom prst="rect">
                      <a:avLst/>
                    </a:prstGeom>
                    <a:noFill/>
                    <a:ln w="28575">
                      <a:solidFill>
                        <a:srgbClr val="090EE9"/>
                      </a:solidFill>
                      <a:miter lim="800000"/>
                      <a:headEnd/>
                      <a:tailEnd/>
                    </a:ln>
                    <a:effectLst>
                      <a:outerShdw dist="35921" dir="2700000" algn="ctr" rotWithShape="0">
                        <a:srgbClr val="808080"/>
                      </a:outerShdw>
                    </a:effectLst>
                  </pic:spPr>
                </pic:pic>
              </a:graphicData>
            </a:graphic>
            <wp14:sizeRelH relativeFrom="page">
              <wp14:pctWidth>0</wp14:pctWidth>
            </wp14:sizeRelH>
            <wp14:sizeRelV relativeFrom="page">
              <wp14:pctHeight>0</wp14:pctHeight>
            </wp14:sizeRelV>
          </wp:anchor>
        </w:drawing>
      </w:r>
    </w:p>
    <w:p w14:paraId="03E7A6E2" w14:textId="77777777" w:rsidR="0008633D" w:rsidRPr="00B06081" w:rsidRDefault="0008633D" w:rsidP="004711E0">
      <w:pPr>
        <w:spacing w:line="276" w:lineRule="auto"/>
        <w:rPr>
          <w:rFonts w:ascii="Arial" w:hAnsi="Arial" w:cs="Arial"/>
          <w:szCs w:val="24"/>
        </w:rPr>
      </w:pPr>
    </w:p>
    <w:p w14:paraId="68F9EF16" w14:textId="77777777" w:rsidR="006E7875" w:rsidRPr="00B06081" w:rsidRDefault="006E7875" w:rsidP="004711E0">
      <w:pPr>
        <w:spacing w:line="276" w:lineRule="auto"/>
        <w:rPr>
          <w:rFonts w:ascii="Arial" w:hAnsi="Arial" w:cs="Arial"/>
          <w:szCs w:val="24"/>
        </w:rPr>
      </w:pPr>
    </w:p>
    <w:p w14:paraId="575607AA" w14:textId="77777777" w:rsidR="006E7875" w:rsidRPr="00B06081" w:rsidRDefault="009B04C9" w:rsidP="004711E0">
      <w:pPr>
        <w:spacing w:line="276" w:lineRule="auto"/>
        <w:rPr>
          <w:rFonts w:ascii="Arial" w:hAnsi="Arial" w:cs="Arial"/>
          <w:szCs w:val="24"/>
        </w:rPr>
      </w:pPr>
      <w:r w:rsidRPr="00B06081">
        <w:rPr>
          <w:rFonts w:ascii="Arial" w:hAnsi="Arial" w:cs="Arial"/>
          <w:noProof/>
          <w:szCs w:val="24"/>
        </w:rPr>
        <mc:AlternateContent>
          <mc:Choice Requires="wps">
            <w:drawing>
              <wp:anchor distT="0" distB="0" distL="114300" distR="114300" simplePos="0" relativeHeight="251658243" behindDoc="0" locked="0" layoutInCell="1" allowOverlap="1" wp14:anchorId="6065C019" wp14:editId="3A877013">
                <wp:simplePos x="0" y="0"/>
                <wp:positionH relativeFrom="margin">
                  <wp:posOffset>-104776</wp:posOffset>
                </wp:positionH>
                <wp:positionV relativeFrom="paragraph">
                  <wp:posOffset>328930</wp:posOffset>
                </wp:positionV>
                <wp:extent cx="6029325" cy="390525"/>
                <wp:effectExtent l="0" t="0" r="28575"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390525"/>
                        </a:xfrm>
                        <a:prstGeom prst="rect">
                          <a:avLst/>
                        </a:prstGeom>
                        <a:solidFill>
                          <a:srgbClr val="0226BE"/>
                        </a:solidFill>
                        <a:ln>
                          <a:headEnd/>
                          <a:tailEnd/>
                        </a:ln>
                      </wps:spPr>
                      <wps:style>
                        <a:lnRef idx="2">
                          <a:schemeClr val="accent1"/>
                        </a:lnRef>
                        <a:fillRef idx="1">
                          <a:schemeClr val="lt1"/>
                        </a:fillRef>
                        <a:effectRef idx="0">
                          <a:schemeClr val="accent1"/>
                        </a:effectRef>
                        <a:fontRef idx="minor">
                          <a:schemeClr val="dk1"/>
                        </a:fontRef>
                      </wps:style>
                      <wps:txbx>
                        <w:txbxContent>
                          <w:p w14:paraId="1F505233" w14:textId="1C7BF990" w:rsidR="00B80AC7" w:rsidRPr="009B04C9" w:rsidRDefault="00B80AC7" w:rsidP="006E7875">
                            <w:pPr>
                              <w:spacing w:before="120" w:after="120" w:line="240" w:lineRule="auto"/>
                              <w:jc w:val="right"/>
                              <w:rPr>
                                <w:rFonts w:ascii="Arial" w:hAnsi="Arial" w:cs="Arial"/>
                                <w:b/>
                                <w:color w:val="FFFFFF" w:themeColor="background1"/>
                                <w:sz w:val="28"/>
                                <w:szCs w:val="28"/>
                              </w:rPr>
                            </w:pPr>
                            <w:r>
                              <w:rPr>
                                <w:rFonts w:ascii="Arial" w:hAnsi="Arial" w:cs="Arial"/>
                                <w:b/>
                                <w:color w:val="FFFFFF" w:themeColor="background1"/>
                                <w:sz w:val="28"/>
                                <w:szCs w:val="28"/>
                              </w:rPr>
                              <w:t>June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65C019" id="_x0000_t202" coordsize="21600,21600" o:spt="202" path="m,l,21600r21600,l21600,xe">
                <v:stroke joinstyle="miter"/>
                <v:path gradientshapeok="t" o:connecttype="rect"/>
              </v:shapetype>
              <v:shape id="Text Box 2" o:spid="_x0000_s1027" type="#_x0000_t202" style="position:absolute;margin-left:-8.25pt;margin-top:25.9pt;width:474.75pt;height:30.7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" fillcolor="#0226be" strokecolor="#4f81bd [3204]" strokeweight="2pt">
                <v:textbox>
                  <w:txbxContent>
                    <w:p w14:paraId="1F505233" w14:textId="1C7BF990" w:rsidR="00B80AC7" w:rsidRPr="009B04C9" w:rsidRDefault="00B80AC7" w:rsidP="006E7875">
                      <w:pPr>
                        <w:spacing w:before="120" w:after="120" w:line="240" w:lineRule="auto"/>
                        <w:jc w:val="right"/>
                        <w:rPr>
                          <w:rFonts w:ascii="Arial" w:hAnsi="Arial" w:cs="Arial"/>
                          <w:b/>
                          <w:color w:val="FFFFFF" w:themeColor="background1"/>
                          <w:sz w:val="28"/>
                          <w:szCs w:val="28"/>
                        </w:rPr>
                      </w:pPr>
                      <w:r>
                        <w:rPr>
                          <w:rFonts w:ascii="Arial" w:hAnsi="Arial" w:cs="Arial"/>
                          <w:b/>
                          <w:color w:val="FFFFFF" w:themeColor="background1"/>
                          <w:sz w:val="28"/>
                          <w:szCs w:val="28"/>
                        </w:rPr>
                        <w:t>June 2020</w:t>
                      </w:r>
                    </w:p>
                  </w:txbxContent>
                </v:textbox>
                <w10:wrap anchorx="margin"/>
              </v:shape>
            </w:pict>
          </mc:Fallback>
        </mc:AlternateContent>
      </w:r>
    </w:p>
    <w:p w14:paraId="1A70FB72" w14:textId="77777777" w:rsidR="006E7875" w:rsidRPr="00B06081" w:rsidRDefault="006E7875" w:rsidP="004711E0">
      <w:pPr>
        <w:spacing w:line="276" w:lineRule="auto"/>
        <w:rPr>
          <w:rFonts w:ascii="Arial" w:hAnsi="Arial" w:cs="Arial"/>
          <w:szCs w:val="24"/>
        </w:rPr>
      </w:pPr>
    </w:p>
    <w:bookmarkStart w:id="0" w:name="_Toc45875955" w:displacedByCustomXml="next"/>
    <w:sdt>
      <w:sdtPr>
        <w:rPr>
          <w:rFonts w:ascii="Arial" w:eastAsia="Calibri" w:hAnsi="Arial" w:cs="Arial"/>
          <w:bCs/>
          <w:caps w:val="0"/>
          <w:noProof/>
          <w:color w:val="auto"/>
          <w:spacing w:val="0"/>
          <w:sz w:val="24"/>
          <w:szCs w:val="24"/>
        </w:rPr>
        <w:id w:val="1553883758"/>
        <w:docPartObj>
          <w:docPartGallery w:val="Table of Contents"/>
          <w:docPartUnique/>
        </w:docPartObj>
      </w:sdtPr>
      <w:sdtEndPr>
        <w:rPr>
          <w:rFonts w:eastAsiaTheme="majorEastAsia"/>
          <w:bCs w:val="0"/>
        </w:rPr>
      </w:sdtEndPr>
      <w:sdtContent>
        <w:p w14:paraId="7B6B1376" w14:textId="77777777" w:rsidR="00933CD4" w:rsidRPr="00B06081" w:rsidRDefault="00933CD4" w:rsidP="007B1400">
          <w:pPr>
            <w:pStyle w:val="Heading1"/>
            <w:pBdr>
              <w:bottom w:val="thinThickSmallGap" w:sz="12" w:space="0" w:color="943634" w:themeColor="accent2" w:themeShade="BF"/>
            </w:pBdr>
            <w:rPr>
              <w:rFonts w:ascii="Arial" w:hAnsi="Arial" w:cs="Arial"/>
              <w:sz w:val="24"/>
              <w:szCs w:val="24"/>
            </w:rPr>
          </w:pPr>
          <w:r w:rsidRPr="00B06081">
            <w:rPr>
              <w:rFonts w:ascii="Arial" w:hAnsi="Arial" w:cs="Arial"/>
              <w:sz w:val="24"/>
              <w:szCs w:val="24"/>
            </w:rPr>
            <w:t>Table of Contents</w:t>
          </w:r>
          <w:bookmarkEnd w:id="0"/>
        </w:p>
        <w:p w14:paraId="4ABDA735" w14:textId="675977BB" w:rsidR="005C652B" w:rsidRDefault="00933CD4">
          <w:pPr>
            <w:pStyle w:val="TOC1"/>
            <w:rPr>
              <w:rFonts w:asciiTheme="minorHAnsi" w:eastAsiaTheme="minorEastAsia" w:hAnsiTheme="minorHAnsi" w:cstheme="minorBidi"/>
              <w:sz w:val="22"/>
            </w:rPr>
          </w:pPr>
          <w:r w:rsidRPr="00B06081">
            <w:rPr>
              <w:szCs w:val="24"/>
            </w:rPr>
            <w:fldChar w:fldCharType="begin"/>
          </w:r>
          <w:r w:rsidRPr="00B06081">
            <w:rPr>
              <w:szCs w:val="24"/>
            </w:rPr>
            <w:instrText xml:space="preserve"> TOC \o "1-3" \h \z \u </w:instrText>
          </w:r>
          <w:r w:rsidRPr="00B06081">
            <w:rPr>
              <w:szCs w:val="24"/>
            </w:rPr>
            <w:fldChar w:fldCharType="separate"/>
          </w:r>
          <w:hyperlink w:anchor="_Toc45875955" w:history="1">
            <w:r w:rsidR="005C652B" w:rsidRPr="00982468">
              <w:rPr>
                <w:rStyle w:val="Hyperlink"/>
              </w:rPr>
              <w:t>Table of Contents</w:t>
            </w:r>
            <w:r w:rsidR="005C652B">
              <w:rPr>
                <w:webHidden/>
              </w:rPr>
              <w:tab/>
            </w:r>
            <w:r w:rsidR="005C652B">
              <w:rPr>
                <w:webHidden/>
              </w:rPr>
              <w:fldChar w:fldCharType="begin"/>
            </w:r>
            <w:r w:rsidR="005C652B">
              <w:rPr>
                <w:webHidden/>
              </w:rPr>
              <w:instrText xml:space="preserve"> PAGEREF _Toc45875955 \h </w:instrText>
            </w:r>
            <w:r w:rsidR="005C652B">
              <w:rPr>
                <w:webHidden/>
              </w:rPr>
            </w:r>
            <w:r w:rsidR="005C652B">
              <w:rPr>
                <w:webHidden/>
              </w:rPr>
              <w:fldChar w:fldCharType="separate"/>
            </w:r>
            <w:r w:rsidR="005C652B">
              <w:rPr>
                <w:webHidden/>
              </w:rPr>
              <w:t>1</w:t>
            </w:r>
            <w:r w:rsidR="005C652B">
              <w:rPr>
                <w:webHidden/>
              </w:rPr>
              <w:fldChar w:fldCharType="end"/>
            </w:r>
          </w:hyperlink>
        </w:p>
        <w:p w14:paraId="68C47A23" w14:textId="3FD6A82D" w:rsidR="005C652B" w:rsidRDefault="003D4601">
          <w:pPr>
            <w:pStyle w:val="TOC1"/>
            <w:rPr>
              <w:rFonts w:asciiTheme="minorHAnsi" w:eastAsiaTheme="minorEastAsia" w:hAnsiTheme="minorHAnsi" w:cstheme="minorBidi"/>
              <w:sz w:val="22"/>
            </w:rPr>
          </w:pPr>
          <w:hyperlink w:anchor="_Toc45875956" w:history="1">
            <w:r w:rsidR="005C652B" w:rsidRPr="00982468">
              <w:rPr>
                <w:rStyle w:val="Hyperlink"/>
                <w:b/>
              </w:rPr>
              <w:t>Pension Management Center Related Inquiries</w:t>
            </w:r>
            <w:r w:rsidR="005C652B">
              <w:rPr>
                <w:webHidden/>
              </w:rPr>
              <w:tab/>
            </w:r>
            <w:r w:rsidR="005C652B">
              <w:rPr>
                <w:webHidden/>
              </w:rPr>
              <w:fldChar w:fldCharType="begin"/>
            </w:r>
            <w:r w:rsidR="005C652B">
              <w:rPr>
                <w:webHidden/>
              </w:rPr>
              <w:instrText xml:space="preserve"> PAGEREF _Toc45875956 \h </w:instrText>
            </w:r>
            <w:r w:rsidR="005C652B">
              <w:rPr>
                <w:webHidden/>
              </w:rPr>
            </w:r>
            <w:r w:rsidR="005C652B">
              <w:rPr>
                <w:webHidden/>
              </w:rPr>
              <w:fldChar w:fldCharType="separate"/>
            </w:r>
            <w:r w:rsidR="005C652B">
              <w:rPr>
                <w:webHidden/>
              </w:rPr>
              <w:t>2</w:t>
            </w:r>
            <w:r w:rsidR="005C652B">
              <w:rPr>
                <w:webHidden/>
              </w:rPr>
              <w:fldChar w:fldCharType="end"/>
            </w:r>
          </w:hyperlink>
        </w:p>
        <w:p w14:paraId="548E8168" w14:textId="3A56F2FC" w:rsidR="005C652B" w:rsidRDefault="003D4601">
          <w:pPr>
            <w:pStyle w:val="TOC1"/>
            <w:rPr>
              <w:rFonts w:asciiTheme="minorHAnsi" w:eastAsiaTheme="minorEastAsia" w:hAnsiTheme="minorHAnsi" w:cstheme="minorBidi"/>
              <w:sz w:val="22"/>
            </w:rPr>
          </w:pPr>
          <w:hyperlink w:anchor="_Toc45875957" w:history="1">
            <w:r w:rsidR="005C652B" w:rsidRPr="00982468">
              <w:rPr>
                <w:rStyle w:val="Hyperlink"/>
              </w:rPr>
              <w:t>Last Expenses</w:t>
            </w:r>
            <w:r w:rsidR="005C652B">
              <w:rPr>
                <w:webHidden/>
              </w:rPr>
              <w:tab/>
            </w:r>
            <w:r w:rsidR="005C652B">
              <w:rPr>
                <w:webHidden/>
              </w:rPr>
              <w:fldChar w:fldCharType="begin"/>
            </w:r>
            <w:r w:rsidR="005C652B">
              <w:rPr>
                <w:webHidden/>
              </w:rPr>
              <w:instrText xml:space="preserve"> PAGEREF _Toc45875957 \h </w:instrText>
            </w:r>
            <w:r w:rsidR="005C652B">
              <w:rPr>
                <w:webHidden/>
              </w:rPr>
            </w:r>
            <w:r w:rsidR="005C652B">
              <w:rPr>
                <w:webHidden/>
              </w:rPr>
              <w:fldChar w:fldCharType="separate"/>
            </w:r>
            <w:r w:rsidR="005C652B">
              <w:rPr>
                <w:webHidden/>
              </w:rPr>
              <w:t>2</w:t>
            </w:r>
            <w:r w:rsidR="005C652B">
              <w:rPr>
                <w:webHidden/>
              </w:rPr>
              <w:fldChar w:fldCharType="end"/>
            </w:r>
          </w:hyperlink>
        </w:p>
        <w:p w14:paraId="7A0753CF" w14:textId="6434CFAB" w:rsidR="005C652B" w:rsidRDefault="003D4601">
          <w:pPr>
            <w:pStyle w:val="TOC1"/>
            <w:rPr>
              <w:rFonts w:asciiTheme="minorHAnsi" w:eastAsiaTheme="minorEastAsia" w:hAnsiTheme="minorHAnsi" w:cstheme="minorBidi"/>
              <w:sz w:val="22"/>
            </w:rPr>
          </w:pPr>
          <w:hyperlink w:anchor="_Toc45875958" w:history="1">
            <w:r w:rsidR="005C652B" w:rsidRPr="00982468">
              <w:rPr>
                <w:rStyle w:val="Hyperlink"/>
              </w:rPr>
              <w:t>Quality Call Topic Solicitation</w:t>
            </w:r>
            <w:r w:rsidR="005C652B">
              <w:rPr>
                <w:webHidden/>
              </w:rPr>
              <w:tab/>
            </w:r>
            <w:r w:rsidR="005C652B">
              <w:rPr>
                <w:webHidden/>
              </w:rPr>
              <w:fldChar w:fldCharType="begin"/>
            </w:r>
            <w:r w:rsidR="005C652B">
              <w:rPr>
                <w:webHidden/>
              </w:rPr>
              <w:instrText xml:space="preserve"> PAGEREF _Toc45875958 \h </w:instrText>
            </w:r>
            <w:r w:rsidR="005C652B">
              <w:rPr>
                <w:webHidden/>
              </w:rPr>
            </w:r>
            <w:r w:rsidR="005C652B">
              <w:rPr>
                <w:webHidden/>
              </w:rPr>
              <w:fldChar w:fldCharType="separate"/>
            </w:r>
            <w:r w:rsidR="005C652B">
              <w:rPr>
                <w:webHidden/>
              </w:rPr>
              <w:t>2</w:t>
            </w:r>
            <w:r w:rsidR="005C652B">
              <w:rPr>
                <w:webHidden/>
              </w:rPr>
              <w:fldChar w:fldCharType="end"/>
            </w:r>
          </w:hyperlink>
        </w:p>
        <w:p w14:paraId="06273506" w14:textId="606DF4AB" w:rsidR="005C652B" w:rsidRDefault="003D4601">
          <w:pPr>
            <w:pStyle w:val="TOC1"/>
            <w:rPr>
              <w:rFonts w:asciiTheme="minorHAnsi" w:eastAsiaTheme="minorEastAsia" w:hAnsiTheme="minorHAnsi" w:cstheme="minorBidi"/>
              <w:sz w:val="22"/>
            </w:rPr>
          </w:pPr>
          <w:hyperlink w:anchor="_Toc45875959" w:history="1">
            <w:r w:rsidR="005C652B" w:rsidRPr="00982468">
              <w:rPr>
                <w:rStyle w:val="Hyperlink"/>
              </w:rPr>
              <w:t>CARES Act Unemployment Income</w:t>
            </w:r>
            <w:r w:rsidR="005C652B">
              <w:rPr>
                <w:webHidden/>
              </w:rPr>
              <w:tab/>
            </w:r>
            <w:r w:rsidR="005C652B">
              <w:rPr>
                <w:webHidden/>
              </w:rPr>
              <w:fldChar w:fldCharType="begin"/>
            </w:r>
            <w:r w:rsidR="005C652B">
              <w:rPr>
                <w:webHidden/>
              </w:rPr>
              <w:instrText xml:space="preserve"> PAGEREF _Toc45875959 \h </w:instrText>
            </w:r>
            <w:r w:rsidR="005C652B">
              <w:rPr>
                <w:webHidden/>
              </w:rPr>
            </w:r>
            <w:r w:rsidR="005C652B">
              <w:rPr>
                <w:webHidden/>
              </w:rPr>
              <w:fldChar w:fldCharType="separate"/>
            </w:r>
            <w:r w:rsidR="005C652B">
              <w:rPr>
                <w:webHidden/>
              </w:rPr>
              <w:t>4</w:t>
            </w:r>
            <w:r w:rsidR="005C652B">
              <w:rPr>
                <w:webHidden/>
              </w:rPr>
              <w:fldChar w:fldCharType="end"/>
            </w:r>
          </w:hyperlink>
        </w:p>
        <w:p w14:paraId="2929CE5E" w14:textId="43BB3A4E" w:rsidR="005C652B" w:rsidRDefault="003D4601">
          <w:pPr>
            <w:pStyle w:val="TOC1"/>
            <w:rPr>
              <w:rFonts w:asciiTheme="minorHAnsi" w:eastAsiaTheme="minorEastAsia" w:hAnsiTheme="minorHAnsi" w:cstheme="minorBidi"/>
              <w:sz w:val="22"/>
            </w:rPr>
          </w:pPr>
          <w:hyperlink w:anchor="_Toc45875960" w:history="1">
            <w:r w:rsidR="005C652B" w:rsidRPr="00982468">
              <w:rPr>
                <w:rStyle w:val="Hyperlink"/>
              </w:rPr>
              <w:t>DOC for Novel Coronavirus (COVID-19) Claims</w:t>
            </w:r>
            <w:r w:rsidR="005C652B">
              <w:rPr>
                <w:webHidden/>
              </w:rPr>
              <w:tab/>
            </w:r>
            <w:r w:rsidR="005C652B">
              <w:rPr>
                <w:webHidden/>
              </w:rPr>
              <w:fldChar w:fldCharType="begin"/>
            </w:r>
            <w:r w:rsidR="005C652B">
              <w:rPr>
                <w:webHidden/>
              </w:rPr>
              <w:instrText xml:space="preserve"> PAGEREF _Toc45875960 \h </w:instrText>
            </w:r>
            <w:r w:rsidR="005C652B">
              <w:rPr>
                <w:webHidden/>
              </w:rPr>
            </w:r>
            <w:r w:rsidR="005C652B">
              <w:rPr>
                <w:webHidden/>
              </w:rPr>
              <w:fldChar w:fldCharType="separate"/>
            </w:r>
            <w:r w:rsidR="005C652B">
              <w:rPr>
                <w:webHidden/>
              </w:rPr>
              <w:t>4</w:t>
            </w:r>
            <w:r w:rsidR="005C652B">
              <w:rPr>
                <w:webHidden/>
              </w:rPr>
              <w:fldChar w:fldCharType="end"/>
            </w:r>
          </w:hyperlink>
        </w:p>
        <w:p w14:paraId="43DEC5EA" w14:textId="7CAD300C" w:rsidR="005C652B" w:rsidRDefault="003D4601">
          <w:pPr>
            <w:pStyle w:val="TOC1"/>
            <w:rPr>
              <w:rFonts w:asciiTheme="minorHAnsi" w:eastAsiaTheme="minorEastAsia" w:hAnsiTheme="minorHAnsi" w:cstheme="minorBidi"/>
              <w:sz w:val="22"/>
            </w:rPr>
          </w:pPr>
          <w:hyperlink w:anchor="_Toc45875961" w:history="1">
            <w:r w:rsidR="005C652B" w:rsidRPr="00982468">
              <w:rPr>
                <w:rStyle w:val="Hyperlink"/>
              </w:rPr>
              <w:t>Question regarding survivor pension HLRs</w:t>
            </w:r>
            <w:r w:rsidR="005C652B">
              <w:rPr>
                <w:webHidden/>
              </w:rPr>
              <w:tab/>
            </w:r>
            <w:r w:rsidR="005C652B">
              <w:rPr>
                <w:webHidden/>
              </w:rPr>
              <w:fldChar w:fldCharType="begin"/>
            </w:r>
            <w:r w:rsidR="005C652B">
              <w:rPr>
                <w:webHidden/>
              </w:rPr>
              <w:instrText xml:space="preserve"> PAGEREF _Toc45875961 \h </w:instrText>
            </w:r>
            <w:r w:rsidR="005C652B">
              <w:rPr>
                <w:webHidden/>
              </w:rPr>
            </w:r>
            <w:r w:rsidR="005C652B">
              <w:rPr>
                <w:webHidden/>
              </w:rPr>
              <w:fldChar w:fldCharType="separate"/>
            </w:r>
            <w:r w:rsidR="005C652B">
              <w:rPr>
                <w:webHidden/>
              </w:rPr>
              <w:t>5</w:t>
            </w:r>
            <w:r w:rsidR="005C652B">
              <w:rPr>
                <w:webHidden/>
              </w:rPr>
              <w:fldChar w:fldCharType="end"/>
            </w:r>
          </w:hyperlink>
        </w:p>
        <w:p w14:paraId="545B6CB6" w14:textId="05E9BD5D" w:rsidR="005C652B" w:rsidRDefault="003D4601">
          <w:pPr>
            <w:pStyle w:val="TOC1"/>
            <w:rPr>
              <w:rFonts w:asciiTheme="minorHAnsi" w:eastAsiaTheme="minorEastAsia" w:hAnsiTheme="minorHAnsi" w:cstheme="minorBidi"/>
              <w:sz w:val="22"/>
            </w:rPr>
          </w:pPr>
          <w:hyperlink w:anchor="_Toc45875962" w:history="1">
            <w:r w:rsidR="005C652B" w:rsidRPr="00982468">
              <w:rPr>
                <w:rStyle w:val="Hyperlink"/>
              </w:rPr>
              <w:t>Question Regarding Hearings and EP Control</w:t>
            </w:r>
            <w:r w:rsidR="005C652B">
              <w:rPr>
                <w:webHidden/>
              </w:rPr>
              <w:tab/>
            </w:r>
            <w:r w:rsidR="005C652B">
              <w:rPr>
                <w:webHidden/>
              </w:rPr>
              <w:fldChar w:fldCharType="begin"/>
            </w:r>
            <w:r w:rsidR="005C652B">
              <w:rPr>
                <w:webHidden/>
              </w:rPr>
              <w:instrText xml:space="preserve"> PAGEREF _Toc45875962 \h </w:instrText>
            </w:r>
            <w:r w:rsidR="005C652B">
              <w:rPr>
                <w:webHidden/>
              </w:rPr>
            </w:r>
            <w:r w:rsidR="005C652B">
              <w:rPr>
                <w:webHidden/>
              </w:rPr>
              <w:fldChar w:fldCharType="separate"/>
            </w:r>
            <w:r w:rsidR="005C652B">
              <w:rPr>
                <w:webHidden/>
              </w:rPr>
              <w:t>6</w:t>
            </w:r>
            <w:r w:rsidR="005C652B">
              <w:rPr>
                <w:webHidden/>
              </w:rPr>
              <w:fldChar w:fldCharType="end"/>
            </w:r>
          </w:hyperlink>
        </w:p>
        <w:p w14:paraId="52665FA0" w14:textId="79C58E48" w:rsidR="005C652B" w:rsidRDefault="003D4601">
          <w:pPr>
            <w:pStyle w:val="TOC1"/>
            <w:rPr>
              <w:rFonts w:asciiTheme="minorHAnsi" w:eastAsiaTheme="minorEastAsia" w:hAnsiTheme="minorHAnsi" w:cstheme="minorBidi"/>
              <w:sz w:val="22"/>
            </w:rPr>
          </w:pPr>
          <w:hyperlink w:anchor="_Toc45875963" w:history="1">
            <w:r w:rsidR="005C652B" w:rsidRPr="00982468">
              <w:rPr>
                <w:rStyle w:val="Hyperlink"/>
              </w:rPr>
              <w:t>Question Regarding Reduction in Net Worth</w:t>
            </w:r>
            <w:r w:rsidR="005C652B">
              <w:rPr>
                <w:webHidden/>
              </w:rPr>
              <w:tab/>
            </w:r>
            <w:r w:rsidR="005C652B">
              <w:rPr>
                <w:webHidden/>
              </w:rPr>
              <w:fldChar w:fldCharType="begin"/>
            </w:r>
            <w:r w:rsidR="005C652B">
              <w:rPr>
                <w:webHidden/>
              </w:rPr>
              <w:instrText xml:space="preserve"> PAGEREF _Toc45875963 \h </w:instrText>
            </w:r>
            <w:r w:rsidR="005C652B">
              <w:rPr>
                <w:webHidden/>
              </w:rPr>
            </w:r>
            <w:r w:rsidR="005C652B">
              <w:rPr>
                <w:webHidden/>
              </w:rPr>
              <w:fldChar w:fldCharType="separate"/>
            </w:r>
            <w:r w:rsidR="005C652B">
              <w:rPr>
                <w:webHidden/>
              </w:rPr>
              <w:t>8</w:t>
            </w:r>
            <w:r w:rsidR="005C652B">
              <w:rPr>
                <w:webHidden/>
              </w:rPr>
              <w:fldChar w:fldCharType="end"/>
            </w:r>
          </w:hyperlink>
        </w:p>
        <w:p w14:paraId="3C6F7157" w14:textId="6B82FB0F" w:rsidR="005C652B" w:rsidRDefault="003D4601">
          <w:pPr>
            <w:pStyle w:val="TOC1"/>
            <w:rPr>
              <w:rFonts w:asciiTheme="minorHAnsi" w:eastAsiaTheme="minorEastAsia" w:hAnsiTheme="minorHAnsi" w:cstheme="minorBidi"/>
              <w:sz w:val="22"/>
            </w:rPr>
          </w:pPr>
          <w:hyperlink w:anchor="_Toc45875964" w:history="1">
            <w:r w:rsidR="005C652B" w:rsidRPr="00982468">
              <w:rPr>
                <w:rStyle w:val="Hyperlink"/>
              </w:rPr>
              <w:t>DEA Clarification Request</w:t>
            </w:r>
            <w:r w:rsidR="005C652B">
              <w:rPr>
                <w:webHidden/>
              </w:rPr>
              <w:tab/>
            </w:r>
            <w:r w:rsidR="005C652B">
              <w:rPr>
                <w:webHidden/>
              </w:rPr>
              <w:fldChar w:fldCharType="begin"/>
            </w:r>
            <w:r w:rsidR="005C652B">
              <w:rPr>
                <w:webHidden/>
              </w:rPr>
              <w:instrText xml:space="preserve"> PAGEREF _Toc45875964 \h </w:instrText>
            </w:r>
            <w:r w:rsidR="005C652B">
              <w:rPr>
                <w:webHidden/>
              </w:rPr>
            </w:r>
            <w:r w:rsidR="005C652B">
              <w:rPr>
                <w:webHidden/>
              </w:rPr>
              <w:fldChar w:fldCharType="separate"/>
            </w:r>
            <w:r w:rsidR="005C652B">
              <w:rPr>
                <w:webHidden/>
              </w:rPr>
              <w:t>8</w:t>
            </w:r>
            <w:r w:rsidR="005C652B">
              <w:rPr>
                <w:webHidden/>
              </w:rPr>
              <w:fldChar w:fldCharType="end"/>
            </w:r>
          </w:hyperlink>
        </w:p>
        <w:p w14:paraId="1A5BE5E2" w14:textId="63BA10BE" w:rsidR="005C652B" w:rsidRDefault="003D4601">
          <w:pPr>
            <w:pStyle w:val="TOC1"/>
            <w:rPr>
              <w:rFonts w:asciiTheme="minorHAnsi" w:eastAsiaTheme="minorEastAsia" w:hAnsiTheme="minorHAnsi" w:cstheme="minorBidi"/>
              <w:sz w:val="22"/>
            </w:rPr>
          </w:pPr>
          <w:hyperlink w:anchor="_Toc45875965" w:history="1">
            <w:r w:rsidR="005C652B" w:rsidRPr="00982468">
              <w:rPr>
                <w:rStyle w:val="Hyperlink"/>
              </w:rPr>
              <w:t>Question on Policy Letter 20-02</w:t>
            </w:r>
            <w:r w:rsidR="005C652B">
              <w:rPr>
                <w:webHidden/>
              </w:rPr>
              <w:tab/>
            </w:r>
            <w:r w:rsidR="005C652B">
              <w:rPr>
                <w:webHidden/>
              </w:rPr>
              <w:fldChar w:fldCharType="begin"/>
            </w:r>
            <w:r w:rsidR="005C652B">
              <w:rPr>
                <w:webHidden/>
              </w:rPr>
              <w:instrText xml:space="preserve"> PAGEREF _Toc45875965 \h </w:instrText>
            </w:r>
            <w:r w:rsidR="005C652B">
              <w:rPr>
                <w:webHidden/>
              </w:rPr>
            </w:r>
            <w:r w:rsidR="005C652B">
              <w:rPr>
                <w:webHidden/>
              </w:rPr>
              <w:fldChar w:fldCharType="separate"/>
            </w:r>
            <w:r w:rsidR="005C652B">
              <w:rPr>
                <w:webHidden/>
              </w:rPr>
              <w:t>12</w:t>
            </w:r>
            <w:r w:rsidR="005C652B">
              <w:rPr>
                <w:webHidden/>
              </w:rPr>
              <w:fldChar w:fldCharType="end"/>
            </w:r>
          </w:hyperlink>
        </w:p>
        <w:p w14:paraId="528EC952" w14:textId="0D22F9D0" w:rsidR="005C652B" w:rsidRDefault="003D4601">
          <w:pPr>
            <w:pStyle w:val="TOC1"/>
            <w:rPr>
              <w:rFonts w:asciiTheme="minorHAnsi" w:eastAsiaTheme="minorEastAsia" w:hAnsiTheme="minorHAnsi" w:cstheme="minorBidi"/>
              <w:sz w:val="22"/>
            </w:rPr>
          </w:pPr>
          <w:hyperlink w:anchor="_Toc45875966" w:history="1">
            <w:r w:rsidR="005C652B" w:rsidRPr="00982468">
              <w:rPr>
                <w:rStyle w:val="Hyperlink"/>
                <w:b/>
              </w:rPr>
              <w:t>Fiduciary HUB Related Inquiries</w:t>
            </w:r>
            <w:r w:rsidR="005C652B">
              <w:rPr>
                <w:webHidden/>
              </w:rPr>
              <w:tab/>
            </w:r>
            <w:r w:rsidR="005C652B">
              <w:rPr>
                <w:webHidden/>
              </w:rPr>
              <w:fldChar w:fldCharType="begin"/>
            </w:r>
            <w:r w:rsidR="005C652B">
              <w:rPr>
                <w:webHidden/>
              </w:rPr>
              <w:instrText xml:space="preserve"> PAGEREF _Toc45875966 \h </w:instrText>
            </w:r>
            <w:r w:rsidR="005C652B">
              <w:rPr>
                <w:webHidden/>
              </w:rPr>
            </w:r>
            <w:r w:rsidR="005C652B">
              <w:rPr>
                <w:webHidden/>
              </w:rPr>
              <w:fldChar w:fldCharType="separate"/>
            </w:r>
            <w:r w:rsidR="005C652B">
              <w:rPr>
                <w:webHidden/>
              </w:rPr>
              <w:t>13</w:t>
            </w:r>
            <w:r w:rsidR="005C652B">
              <w:rPr>
                <w:webHidden/>
              </w:rPr>
              <w:fldChar w:fldCharType="end"/>
            </w:r>
          </w:hyperlink>
        </w:p>
        <w:p w14:paraId="4ACE2DCC" w14:textId="3D1AB40A" w:rsidR="005C652B" w:rsidRDefault="003D4601">
          <w:pPr>
            <w:pStyle w:val="TOC1"/>
            <w:rPr>
              <w:rFonts w:asciiTheme="minorHAnsi" w:eastAsiaTheme="minorEastAsia" w:hAnsiTheme="minorHAnsi" w:cstheme="minorBidi"/>
              <w:sz w:val="22"/>
            </w:rPr>
          </w:pPr>
          <w:hyperlink w:anchor="_Toc45875967" w:history="1">
            <w:r w:rsidR="005C652B" w:rsidRPr="00982468">
              <w:rPr>
                <w:rStyle w:val="Hyperlink"/>
              </w:rPr>
              <w:t>Policy Question</w:t>
            </w:r>
            <w:r w:rsidR="005C652B">
              <w:rPr>
                <w:webHidden/>
              </w:rPr>
              <w:tab/>
            </w:r>
            <w:r w:rsidR="005C652B">
              <w:rPr>
                <w:webHidden/>
              </w:rPr>
              <w:fldChar w:fldCharType="begin"/>
            </w:r>
            <w:r w:rsidR="005C652B">
              <w:rPr>
                <w:webHidden/>
              </w:rPr>
              <w:instrText xml:space="preserve"> PAGEREF _Toc45875967 \h </w:instrText>
            </w:r>
            <w:r w:rsidR="005C652B">
              <w:rPr>
                <w:webHidden/>
              </w:rPr>
            </w:r>
            <w:r w:rsidR="005C652B">
              <w:rPr>
                <w:webHidden/>
              </w:rPr>
              <w:fldChar w:fldCharType="separate"/>
            </w:r>
            <w:r w:rsidR="005C652B">
              <w:rPr>
                <w:webHidden/>
              </w:rPr>
              <w:t>13</w:t>
            </w:r>
            <w:r w:rsidR="005C652B">
              <w:rPr>
                <w:webHidden/>
              </w:rPr>
              <w:fldChar w:fldCharType="end"/>
            </w:r>
          </w:hyperlink>
        </w:p>
        <w:p w14:paraId="62BFD13C" w14:textId="22EEA940" w:rsidR="005C652B" w:rsidRDefault="003D4601">
          <w:pPr>
            <w:pStyle w:val="TOC1"/>
            <w:rPr>
              <w:rFonts w:asciiTheme="minorHAnsi" w:eastAsiaTheme="minorEastAsia" w:hAnsiTheme="minorHAnsi" w:cstheme="minorBidi"/>
              <w:sz w:val="22"/>
            </w:rPr>
          </w:pPr>
          <w:hyperlink w:anchor="_Toc45875968" w:history="1">
            <w:r w:rsidR="005C652B" w:rsidRPr="00982468">
              <w:rPr>
                <w:rStyle w:val="Hyperlink"/>
              </w:rPr>
              <w:t>Advanced Find Criteria</w:t>
            </w:r>
            <w:r w:rsidR="005C652B">
              <w:rPr>
                <w:webHidden/>
              </w:rPr>
              <w:tab/>
            </w:r>
            <w:r w:rsidR="005C652B">
              <w:rPr>
                <w:webHidden/>
              </w:rPr>
              <w:fldChar w:fldCharType="begin"/>
            </w:r>
            <w:r w:rsidR="005C652B">
              <w:rPr>
                <w:webHidden/>
              </w:rPr>
              <w:instrText xml:space="preserve"> PAGEREF _Toc45875968 \h </w:instrText>
            </w:r>
            <w:r w:rsidR="005C652B">
              <w:rPr>
                <w:webHidden/>
              </w:rPr>
            </w:r>
            <w:r w:rsidR="005C652B">
              <w:rPr>
                <w:webHidden/>
              </w:rPr>
              <w:fldChar w:fldCharType="separate"/>
            </w:r>
            <w:r w:rsidR="005C652B">
              <w:rPr>
                <w:webHidden/>
              </w:rPr>
              <w:t>13</w:t>
            </w:r>
            <w:r w:rsidR="005C652B">
              <w:rPr>
                <w:webHidden/>
              </w:rPr>
              <w:fldChar w:fldCharType="end"/>
            </w:r>
          </w:hyperlink>
        </w:p>
        <w:p w14:paraId="73CADABD" w14:textId="6C3B8BD6" w:rsidR="005C652B" w:rsidRDefault="003D4601">
          <w:pPr>
            <w:pStyle w:val="TOC1"/>
            <w:rPr>
              <w:rFonts w:asciiTheme="minorHAnsi" w:eastAsiaTheme="minorEastAsia" w:hAnsiTheme="minorHAnsi" w:cstheme="minorBidi"/>
              <w:sz w:val="22"/>
            </w:rPr>
          </w:pPr>
          <w:hyperlink w:anchor="_Toc45875969" w:history="1">
            <w:r w:rsidR="005C652B" w:rsidRPr="00982468">
              <w:rPr>
                <w:rStyle w:val="Hyperlink"/>
              </w:rPr>
              <w:t>Fiduciary Program Manual Updates</w:t>
            </w:r>
            <w:r w:rsidR="005C652B">
              <w:rPr>
                <w:webHidden/>
              </w:rPr>
              <w:tab/>
            </w:r>
            <w:r w:rsidR="005C652B">
              <w:rPr>
                <w:webHidden/>
              </w:rPr>
              <w:fldChar w:fldCharType="begin"/>
            </w:r>
            <w:r w:rsidR="005C652B">
              <w:rPr>
                <w:webHidden/>
              </w:rPr>
              <w:instrText xml:space="preserve"> PAGEREF _Toc45875969 \h </w:instrText>
            </w:r>
            <w:r w:rsidR="005C652B">
              <w:rPr>
                <w:webHidden/>
              </w:rPr>
            </w:r>
            <w:r w:rsidR="005C652B">
              <w:rPr>
                <w:webHidden/>
              </w:rPr>
              <w:fldChar w:fldCharType="separate"/>
            </w:r>
            <w:r w:rsidR="005C652B">
              <w:rPr>
                <w:webHidden/>
              </w:rPr>
              <w:t>14</w:t>
            </w:r>
            <w:r w:rsidR="005C652B">
              <w:rPr>
                <w:webHidden/>
              </w:rPr>
              <w:fldChar w:fldCharType="end"/>
            </w:r>
          </w:hyperlink>
        </w:p>
        <w:p w14:paraId="48366CBC" w14:textId="01CFE8DC" w:rsidR="005C652B" w:rsidRDefault="003D4601">
          <w:pPr>
            <w:pStyle w:val="TOC1"/>
            <w:rPr>
              <w:rFonts w:asciiTheme="minorHAnsi" w:eastAsiaTheme="minorEastAsia" w:hAnsiTheme="minorHAnsi" w:cstheme="minorBidi"/>
              <w:sz w:val="22"/>
            </w:rPr>
          </w:pPr>
          <w:hyperlink w:anchor="_Toc45875970" w:history="1">
            <w:r w:rsidR="005C652B" w:rsidRPr="00982468">
              <w:rPr>
                <w:rStyle w:val="Hyperlink"/>
              </w:rPr>
              <w:t>Question Regarding Foreign Field Exams</w:t>
            </w:r>
            <w:r w:rsidR="005C652B">
              <w:rPr>
                <w:webHidden/>
              </w:rPr>
              <w:tab/>
            </w:r>
            <w:r w:rsidR="005C652B">
              <w:rPr>
                <w:webHidden/>
              </w:rPr>
              <w:fldChar w:fldCharType="begin"/>
            </w:r>
            <w:r w:rsidR="005C652B">
              <w:rPr>
                <w:webHidden/>
              </w:rPr>
              <w:instrText xml:space="preserve"> PAGEREF _Toc45875970 \h </w:instrText>
            </w:r>
            <w:r w:rsidR="005C652B">
              <w:rPr>
                <w:webHidden/>
              </w:rPr>
            </w:r>
            <w:r w:rsidR="005C652B">
              <w:rPr>
                <w:webHidden/>
              </w:rPr>
              <w:fldChar w:fldCharType="separate"/>
            </w:r>
            <w:r w:rsidR="005C652B">
              <w:rPr>
                <w:webHidden/>
              </w:rPr>
              <w:t>15</w:t>
            </w:r>
            <w:r w:rsidR="005C652B">
              <w:rPr>
                <w:webHidden/>
              </w:rPr>
              <w:fldChar w:fldCharType="end"/>
            </w:r>
          </w:hyperlink>
        </w:p>
        <w:p w14:paraId="6AF64DAC" w14:textId="7CA8F338" w:rsidR="005C652B" w:rsidRDefault="003D4601">
          <w:pPr>
            <w:pStyle w:val="TOC1"/>
            <w:rPr>
              <w:rFonts w:asciiTheme="minorHAnsi" w:eastAsiaTheme="minorEastAsia" w:hAnsiTheme="minorHAnsi" w:cstheme="minorBidi"/>
              <w:sz w:val="22"/>
            </w:rPr>
          </w:pPr>
          <w:hyperlink w:anchor="_Toc45875971" w:history="1">
            <w:r w:rsidR="005C652B" w:rsidRPr="00982468">
              <w:rPr>
                <w:rStyle w:val="Hyperlink"/>
                <w:b/>
              </w:rPr>
              <w:t>P&amp;F Service Information</w:t>
            </w:r>
            <w:r w:rsidR="005C652B">
              <w:rPr>
                <w:webHidden/>
              </w:rPr>
              <w:tab/>
            </w:r>
            <w:r w:rsidR="005C652B">
              <w:rPr>
                <w:webHidden/>
              </w:rPr>
              <w:fldChar w:fldCharType="begin"/>
            </w:r>
            <w:r w:rsidR="005C652B">
              <w:rPr>
                <w:webHidden/>
              </w:rPr>
              <w:instrText xml:space="preserve"> PAGEREF _Toc45875971 \h </w:instrText>
            </w:r>
            <w:r w:rsidR="005C652B">
              <w:rPr>
                <w:webHidden/>
              </w:rPr>
            </w:r>
            <w:r w:rsidR="005C652B">
              <w:rPr>
                <w:webHidden/>
              </w:rPr>
              <w:fldChar w:fldCharType="separate"/>
            </w:r>
            <w:r w:rsidR="005C652B">
              <w:rPr>
                <w:webHidden/>
              </w:rPr>
              <w:t>17</w:t>
            </w:r>
            <w:r w:rsidR="005C652B">
              <w:rPr>
                <w:webHidden/>
              </w:rPr>
              <w:fldChar w:fldCharType="end"/>
            </w:r>
          </w:hyperlink>
        </w:p>
        <w:p w14:paraId="060EB679" w14:textId="1F6C4303" w:rsidR="005C652B" w:rsidRDefault="003D4601">
          <w:pPr>
            <w:pStyle w:val="TOC1"/>
            <w:rPr>
              <w:rFonts w:asciiTheme="minorHAnsi" w:eastAsiaTheme="minorEastAsia" w:hAnsiTheme="minorHAnsi" w:cstheme="minorBidi"/>
              <w:sz w:val="22"/>
            </w:rPr>
          </w:pPr>
          <w:hyperlink w:anchor="_Toc45875972" w:history="1">
            <w:r w:rsidR="005C652B" w:rsidRPr="00982468">
              <w:rPr>
                <w:rStyle w:val="Hyperlink"/>
              </w:rPr>
              <w:t>P&amp;F Service Contact Information</w:t>
            </w:r>
            <w:r w:rsidR="005C652B">
              <w:rPr>
                <w:webHidden/>
              </w:rPr>
              <w:tab/>
            </w:r>
            <w:r w:rsidR="005C652B">
              <w:rPr>
                <w:webHidden/>
              </w:rPr>
              <w:fldChar w:fldCharType="begin"/>
            </w:r>
            <w:r w:rsidR="005C652B">
              <w:rPr>
                <w:webHidden/>
              </w:rPr>
              <w:instrText xml:space="preserve"> PAGEREF _Toc45875972 \h </w:instrText>
            </w:r>
            <w:r w:rsidR="005C652B">
              <w:rPr>
                <w:webHidden/>
              </w:rPr>
            </w:r>
            <w:r w:rsidR="005C652B">
              <w:rPr>
                <w:webHidden/>
              </w:rPr>
              <w:fldChar w:fldCharType="separate"/>
            </w:r>
            <w:r w:rsidR="005C652B">
              <w:rPr>
                <w:webHidden/>
              </w:rPr>
              <w:t>17</w:t>
            </w:r>
            <w:r w:rsidR="005C652B">
              <w:rPr>
                <w:webHidden/>
              </w:rPr>
              <w:fldChar w:fldCharType="end"/>
            </w:r>
          </w:hyperlink>
        </w:p>
        <w:p w14:paraId="7D7B0483" w14:textId="17A47C21" w:rsidR="005C652B" w:rsidRDefault="003D4601">
          <w:pPr>
            <w:pStyle w:val="TOC1"/>
            <w:rPr>
              <w:rFonts w:asciiTheme="minorHAnsi" w:eastAsiaTheme="minorEastAsia" w:hAnsiTheme="minorHAnsi" w:cstheme="minorBidi"/>
              <w:sz w:val="22"/>
            </w:rPr>
          </w:pPr>
          <w:hyperlink w:anchor="_Toc45875973" w:history="1">
            <w:r w:rsidR="005C652B" w:rsidRPr="00982468">
              <w:rPr>
                <w:rStyle w:val="Hyperlink"/>
              </w:rPr>
              <w:t>Disclaimer</w:t>
            </w:r>
            <w:r w:rsidR="005C652B">
              <w:rPr>
                <w:webHidden/>
              </w:rPr>
              <w:tab/>
            </w:r>
            <w:r w:rsidR="005C652B">
              <w:rPr>
                <w:webHidden/>
              </w:rPr>
              <w:fldChar w:fldCharType="begin"/>
            </w:r>
            <w:r w:rsidR="005C652B">
              <w:rPr>
                <w:webHidden/>
              </w:rPr>
              <w:instrText xml:space="preserve"> PAGEREF _Toc45875973 \h </w:instrText>
            </w:r>
            <w:r w:rsidR="005C652B">
              <w:rPr>
                <w:webHidden/>
              </w:rPr>
            </w:r>
            <w:r w:rsidR="005C652B">
              <w:rPr>
                <w:webHidden/>
              </w:rPr>
              <w:fldChar w:fldCharType="separate"/>
            </w:r>
            <w:r w:rsidR="005C652B">
              <w:rPr>
                <w:webHidden/>
              </w:rPr>
              <w:t>17</w:t>
            </w:r>
            <w:r w:rsidR="005C652B">
              <w:rPr>
                <w:webHidden/>
              </w:rPr>
              <w:fldChar w:fldCharType="end"/>
            </w:r>
          </w:hyperlink>
        </w:p>
        <w:p w14:paraId="22097C67" w14:textId="22D11920" w:rsidR="00933CD4" w:rsidRPr="00B06081" w:rsidRDefault="00933CD4" w:rsidP="00165958">
          <w:pPr>
            <w:pStyle w:val="TOC1"/>
            <w:rPr>
              <w:szCs w:val="24"/>
            </w:rPr>
            <w:sectPr w:rsidR="00933CD4" w:rsidRPr="00B06081" w:rsidSect="00192F69">
              <w:footerReference w:type="default" r:id="rId1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r w:rsidRPr="00B06081">
            <w:rPr>
              <w:bCs/>
              <w:szCs w:val="24"/>
            </w:rPr>
            <w:fldChar w:fldCharType="end"/>
          </w:r>
        </w:p>
      </w:sdtContent>
    </w:sdt>
    <w:bookmarkStart w:id="1" w:name="_Toc358792455" w:displacedByCustomXml="prev"/>
    <w:bookmarkStart w:id="2" w:name="_Toc358794014" w:displacedByCustomXml="prev"/>
    <w:bookmarkStart w:id="3" w:name="_Toc358797197" w:displacedByCustomXml="prev"/>
    <w:bookmarkStart w:id="4" w:name="_Toc358798235" w:displacedByCustomXml="prev"/>
    <w:bookmarkStart w:id="5" w:name="_Toc358798484" w:displacedByCustomXml="prev"/>
    <w:p w14:paraId="7D37D5BC" w14:textId="23854737" w:rsidR="005A1643" w:rsidRDefault="005A1643">
      <w:pPr>
        <w:rPr>
          <w:rFonts w:ascii="Arial" w:hAnsi="Arial" w:cs="Arial"/>
          <w:b/>
          <w:caps/>
          <w:spacing w:val="20"/>
          <w:sz w:val="36"/>
          <w:szCs w:val="28"/>
        </w:rPr>
      </w:pPr>
      <w:bookmarkStart w:id="6" w:name="_Toc11231410"/>
      <w:bookmarkEnd w:id="5"/>
      <w:bookmarkEnd w:id="4"/>
      <w:bookmarkEnd w:id="3"/>
      <w:bookmarkEnd w:id="2"/>
      <w:bookmarkEnd w:id="1"/>
      <w:r>
        <w:rPr>
          <w:rFonts w:ascii="Arial" w:hAnsi="Arial" w:cs="Arial"/>
          <w:b/>
          <w:sz w:val="36"/>
        </w:rPr>
        <w:br w:type="page"/>
      </w:r>
    </w:p>
    <w:p w14:paraId="60F64692" w14:textId="23653891" w:rsidR="00AA74F6" w:rsidRPr="00900D56" w:rsidRDefault="00AA74F6" w:rsidP="00AA74F6">
      <w:pPr>
        <w:pStyle w:val="Heading1"/>
        <w:rPr>
          <w:rFonts w:ascii="Arial" w:hAnsi="Arial" w:cs="Arial"/>
          <w:b/>
          <w:color w:val="auto"/>
          <w:sz w:val="36"/>
        </w:rPr>
      </w:pPr>
      <w:bookmarkStart w:id="7" w:name="_Toc45875956"/>
      <w:r w:rsidRPr="00900D56">
        <w:rPr>
          <w:rFonts w:ascii="Arial" w:hAnsi="Arial" w:cs="Arial"/>
          <w:b/>
          <w:color w:val="auto"/>
          <w:sz w:val="36"/>
        </w:rPr>
        <w:lastRenderedPageBreak/>
        <w:t>Pension Management Center Related Inquiries</w:t>
      </w:r>
      <w:bookmarkEnd w:id="6"/>
      <w:bookmarkEnd w:id="7"/>
    </w:p>
    <w:p w14:paraId="7F1CE1DB" w14:textId="1AFECF21" w:rsidR="00B06081" w:rsidRPr="00824543" w:rsidRDefault="00131BD5" w:rsidP="00824543">
      <w:pPr>
        <w:pStyle w:val="Heading1"/>
        <w:rPr>
          <w:rFonts w:ascii="Arial" w:hAnsi="Arial" w:cs="Arial"/>
        </w:rPr>
      </w:pPr>
      <w:bookmarkStart w:id="8" w:name="_Toc45875957"/>
      <w:r>
        <w:rPr>
          <w:rFonts w:ascii="Arial" w:hAnsi="Arial" w:cs="Arial"/>
        </w:rPr>
        <w:t>Last Expenses</w:t>
      </w:r>
      <w:bookmarkEnd w:id="8"/>
    </w:p>
    <w:p w14:paraId="12119AC1" w14:textId="77777777" w:rsidR="00B06081" w:rsidRPr="003334F9" w:rsidRDefault="00B06081" w:rsidP="00975DE1">
      <w:pPr>
        <w:spacing w:after="0" w:line="240" w:lineRule="auto"/>
        <w:rPr>
          <w:rFonts w:ascii="Arial" w:eastAsia="Times New Roman" w:hAnsi="Arial" w:cs="Arial"/>
          <w:szCs w:val="24"/>
        </w:rPr>
      </w:pPr>
      <w:r w:rsidRPr="003334F9">
        <w:rPr>
          <w:rFonts w:ascii="Arial" w:hAnsi="Arial" w:cs="Arial"/>
          <w:b/>
          <w:szCs w:val="24"/>
        </w:rPr>
        <w:t>Target Audience</w:t>
      </w:r>
      <w:r w:rsidRPr="003334F9">
        <w:rPr>
          <w:rFonts w:ascii="Arial" w:hAnsi="Arial" w:cs="Arial"/>
          <w:szCs w:val="24"/>
        </w:rPr>
        <w:t>:</w:t>
      </w:r>
      <w:r w:rsidRPr="003334F9">
        <w:rPr>
          <w:rFonts w:ascii="Arial" w:eastAsia="Times New Roman" w:hAnsi="Arial" w:cs="Arial"/>
          <w:szCs w:val="24"/>
        </w:rPr>
        <w:t xml:space="preserve"> </w:t>
      </w:r>
      <w:r w:rsidR="00830568" w:rsidRPr="003334F9">
        <w:rPr>
          <w:rFonts w:ascii="Arial" w:hAnsi="Arial" w:cs="Arial"/>
        </w:rPr>
        <w:t>PMC Claims Processors</w:t>
      </w:r>
    </w:p>
    <w:p w14:paraId="486A8BE5" w14:textId="715DF273" w:rsidR="00161EB9" w:rsidRDefault="00161EB9" w:rsidP="00975DE1">
      <w:pPr>
        <w:spacing w:after="0" w:line="240" w:lineRule="auto"/>
        <w:rPr>
          <w:rFonts w:ascii="Arial" w:hAnsi="Arial" w:cs="Arial"/>
        </w:rPr>
      </w:pPr>
    </w:p>
    <w:p w14:paraId="15FD64D7" w14:textId="03202928" w:rsidR="00131BD5" w:rsidRPr="00131BD5" w:rsidRDefault="003C7AC3" w:rsidP="00131BD5">
      <w:pPr>
        <w:spacing w:after="0" w:line="240" w:lineRule="auto"/>
        <w:rPr>
          <w:rFonts w:ascii="Arial" w:hAnsi="Arial" w:cs="Arial"/>
        </w:rPr>
      </w:pPr>
      <w:r w:rsidRPr="003334F9">
        <w:rPr>
          <w:rFonts w:ascii="Arial" w:hAnsi="Arial" w:cs="Arial"/>
          <w:b/>
        </w:rPr>
        <w:t>Questio</w:t>
      </w:r>
      <w:r w:rsidR="00B044E7">
        <w:rPr>
          <w:rFonts w:ascii="Arial" w:hAnsi="Arial" w:cs="Arial"/>
          <w:b/>
        </w:rPr>
        <w:t>n 1</w:t>
      </w:r>
      <w:r w:rsidR="00131BD5" w:rsidRPr="00131BD5">
        <w:rPr>
          <w:rFonts w:ascii="Arial" w:hAnsi="Arial" w:cs="Arial"/>
        </w:rPr>
        <w:t>: Do LEs need to be claimed on a prescribed form? Or can we use burial expenses claimed along with a VAF 530 as LEs?</w:t>
      </w:r>
    </w:p>
    <w:p w14:paraId="35123C5C" w14:textId="77777777" w:rsidR="00131BD5" w:rsidRPr="00131BD5" w:rsidRDefault="00131BD5" w:rsidP="00131BD5">
      <w:pPr>
        <w:spacing w:after="0" w:line="240" w:lineRule="auto"/>
        <w:rPr>
          <w:rFonts w:ascii="Arial" w:hAnsi="Arial" w:cs="Arial"/>
        </w:rPr>
      </w:pPr>
      <w:r w:rsidRPr="00131BD5">
        <w:rPr>
          <w:rFonts w:ascii="Arial" w:hAnsi="Arial" w:cs="Arial"/>
        </w:rPr>
        <w:t xml:space="preserve"> </w:t>
      </w:r>
    </w:p>
    <w:p w14:paraId="17A26E5D" w14:textId="77777777" w:rsidR="00131BD5" w:rsidRPr="00131BD5" w:rsidRDefault="00131BD5" w:rsidP="00131BD5">
      <w:pPr>
        <w:spacing w:after="0" w:line="240" w:lineRule="auto"/>
        <w:rPr>
          <w:rFonts w:ascii="Arial" w:hAnsi="Arial" w:cs="Arial"/>
        </w:rPr>
      </w:pPr>
      <w:r w:rsidRPr="00B044E7">
        <w:rPr>
          <w:rFonts w:ascii="Arial" w:hAnsi="Arial" w:cs="Arial"/>
          <w:b/>
          <w:bCs/>
        </w:rPr>
        <w:t>Response 1</w:t>
      </w:r>
      <w:r w:rsidRPr="00131BD5">
        <w:rPr>
          <w:rFonts w:ascii="Arial" w:hAnsi="Arial" w:cs="Arial"/>
        </w:rPr>
        <w:t>: Per 38 CFR 3.152, VA must receive at least one standard form for the pension benefit to increase pension benefits due to payment of last expenses. VA Form 21P-530, Application for Burial Benefits, submitted without a claim for survivors pension is not sufficient as a claim for last expenses. Burial benefits are considered a separate benefit from Survivors Pension.</w:t>
      </w:r>
    </w:p>
    <w:p w14:paraId="4D70B090" w14:textId="77777777" w:rsidR="00131BD5" w:rsidRPr="00131BD5" w:rsidRDefault="00131BD5" w:rsidP="00131BD5">
      <w:pPr>
        <w:spacing w:after="0" w:line="240" w:lineRule="auto"/>
        <w:rPr>
          <w:rFonts w:ascii="Arial" w:hAnsi="Arial" w:cs="Arial"/>
        </w:rPr>
      </w:pPr>
      <w:r w:rsidRPr="00131BD5">
        <w:rPr>
          <w:rFonts w:ascii="Arial" w:hAnsi="Arial" w:cs="Arial"/>
        </w:rPr>
        <w:t xml:space="preserve"> </w:t>
      </w:r>
    </w:p>
    <w:p w14:paraId="773268CA" w14:textId="4D3D02A3" w:rsidR="00131BD5" w:rsidRPr="00131BD5" w:rsidRDefault="00131BD5" w:rsidP="00131BD5">
      <w:pPr>
        <w:spacing w:after="0" w:line="240" w:lineRule="auto"/>
        <w:rPr>
          <w:rFonts w:ascii="Arial" w:hAnsi="Arial" w:cs="Arial"/>
        </w:rPr>
      </w:pPr>
      <w:r w:rsidRPr="00131BD5">
        <w:rPr>
          <w:rFonts w:ascii="Arial" w:hAnsi="Arial" w:cs="Arial"/>
        </w:rPr>
        <w:t xml:space="preserve">Per M21-1 </w:t>
      </w:r>
      <w:r w:rsidR="000573C0">
        <w:rPr>
          <w:rFonts w:ascii="Arial" w:hAnsi="Arial" w:cs="Arial"/>
        </w:rPr>
        <w:t xml:space="preserve">Part </w:t>
      </w:r>
      <w:r w:rsidRPr="00131BD5">
        <w:rPr>
          <w:rFonts w:ascii="Arial" w:hAnsi="Arial" w:cs="Arial"/>
        </w:rPr>
        <w:t>V</w:t>
      </w:r>
      <w:r w:rsidR="000573C0">
        <w:rPr>
          <w:rFonts w:ascii="Arial" w:hAnsi="Arial" w:cs="Arial"/>
        </w:rPr>
        <w:t xml:space="preserve">, Subpart </w:t>
      </w:r>
      <w:r w:rsidRPr="00131BD5">
        <w:rPr>
          <w:rFonts w:ascii="Arial" w:hAnsi="Arial" w:cs="Arial"/>
        </w:rPr>
        <w:t>i</w:t>
      </w:r>
      <w:r w:rsidR="000573C0">
        <w:rPr>
          <w:rFonts w:ascii="Arial" w:hAnsi="Arial" w:cs="Arial"/>
        </w:rPr>
        <w:t xml:space="preserve">, </w:t>
      </w:r>
      <w:r w:rsidRPr="00131BD5">
        <w:rPr>
          <w:rFonts w:ascii="Arial" w:hAnsi="Arial" w:cs="Arial"/>
        </w:rPr>
        <w:t>3.D.3.j, Survivors Pension application forms, VA Form 21P-534, Application for Dependency and Indemnity Compensation, Death Pension and Accrued Benefits by a Surviving Spouse or Child (Including Death Compensation If Applicable), and VA Form 21P-534EZ, Application for DIC, Death Pension, and/or Accrued Benefits, provide space for reporting final expenses. When developing for final expenses, use VA Form 21-8049, Request for Details of Expenses.</w:t>
      </w:r>
    </w:p>
    <w:p w14:paraId="63EAFD79" w14:textId="77777777" w:rsidR="00131BD5" w:rsidRPr="00131BD5" w:rsidRDefault="00131BD5" w:rsidP="00131BD5">
      <w:pPr>
        <w:spacing w:after="0" w:line="240" w:lineRule="auto"/>
        <w:rPr>
          <w:rFonts w:ascii="Arial" w:hAnsi="Arial" w:cs="Arial"/>
        </w:rPr>
      </w:pPr>
      <w:r w:rsidRPr="00131BD5">
        <w:rPr>
          <w:rFonts w:ascii="Arial" w:hAnsi="Arial" w:cs="Arial"/>
        </w:rPr>
        <w:t xml:space="preserve"> </w:t>
      </w:r>
    </w:p>
    <w:p w14:paraId="490B00F8" w14:textId="77777777" w:rsidR="00131BD5" w:rsidRPr="00131BD5" w:rsidRDefault="00131BD5" w:rsidP="00131BD5">
      <w:pPr>
        <w:spacing w:after="0" w:line="240" w:lineRule="auto"/>
        <w:rPr>
          <w:rFonts w:ascii="Arial" w:hAnsi="Arial" w:cs="Arial"/>
        </w:rPr>
      </w:pPr>
      <w:r w:rsidRPr="00B044E7">
        <w:rPr>
          <w:rFonts w:ascii="Arial" w:hAnsi="Arial" w:cs="Arial"/>
          <w:b/>
          <w:bCs/>
        </w:rPr>
        <w:t>Question 2</w:t>
      </w:r>
      <w:r w:rsidRPr="00131BD5">
        <w:rPr>
          <w:rFonts w:ascii="Arial" w:hAnsi="Arial" w:cs="Arial"/>
        </w:rPr>
        <w:t>:  When an expense is not explicitly claimed, can we assume the expense was not reimbursed?</w:t>
      </w:r>
    </w:p>
    <w:p w14:paraId="46310728" w14:textId="77777777" w:rsidR="00131BD5" w:rsidRPr="00131BD5" w:rsidRDefault="00131BD5" w:rsidP="00131BD5">
      <w:pPr>
        <w:spacing w:after="0" w:line="240" w:lineRule="auto"/>
        <w:rPr>
          <w:rFonts w:ascii="Arial" w:hAnsi="Arial" w:cs="Arial"/>
        </w:rPr>
      </w:pPr>
      <w:r w:rsidRPr="00131BD5">
        <w:rPr>
          <w:rFonts w:ascii="Arial" w:hAnsi="Arial" w:cs="Arial"/>
        </w:rPr>
        <w:t xml:space="preserve"> </w:t>
      </w:r>
    </w:p>
    <w:p w14:paraId="6744BC67" w14:textId="303628B9" w:rsidR="00606DD3" w:rsidRDefault="00131BD5" w:rsidP="00131BD5">
      <w:pPr>
        <w:spacing w:after="0" w:line="240" w:lineRule="auto"/>
        <w:rPr>
          <w:rFonts w:ascii="Arial" w:hAnsi="Arial" w:cs="Arial"/>
        </w:rPr>
      </w:pPr>
      <w:r w:rsidRPr="00B044E7">
        <w:rPr>
          <w:rFonts w:ascii="Arial" w:hAnsi="Arial" w:cs="Arial"/>
          <w:b/>
          <w:bCs/>
        </w:rPr>
        <w:t>Response 2</w:t>
      </w:r>
      <w:r w:rsidRPr="00131BD5">
        <w:rPr>
          <w:rFonts w:ascii="Arial" w:hAnsi="Arial" w:cs="Arial"/>
        </w:rPr>
        <w:t xml:space="preserve">: Determine if the evidence of record indicates that a paid expense was not reimbursed. Adjudicators may development to resolve a questionable situation. Refer to M21-1 </w:t>
      </w:r>
      <w:r w:rsidR="000573C0">
        <w:rPr>
          <w:rFonts w:ascii="Arial" w:hAnsi="Arial" w:cs="Arial"/>
        </w:rPr>
        <w:t xml:space="preserve">Part </w:t>
      </w:r>
      <w:r w:rsidRPr="00131BD5">
        <w:rPr>
          <w:rFonts w:ascii="Arial" w:hAnsi="Arial" w:cs="Arial"/>
        </w:rPr>
        <w:t>III</w:t>
      </w:r>
      <w:r w:rsidR="000573C0">
        <w:rPr>
          <w:rFonts w:ascii="Arial" w:hAnsi="Arial" w:cs="Arial"/>
        </w:rPr>
        <w:t xml:space="preserve">, Subpart </w:t>
      </w:r>
      <w:r w:rsidRPr="00131BD5">
        <w:rPr>
          <w:rFonts w:ascii="Arial" w:hAnsi="Arial" w:cs="Arial"/>
        </w:rPr>
        <w:t>ii</w:t>
      </w:r>
      <w:r w:rsidR="000573C0">
        <w:rPr>
          <w:rFonts w:ascii="Arial" w:hAnsi="Arial" w:cs="Arial"/>
        </w:rPr>
        <w:t xml:space="preserve">, </w:t>
      </w:r>
      <w:r w:rsidRPr="00131BD5">
        <w:rPr>
          <w:rFonts w:ascii="Arial" w:hAnsi="Arial" w:cs="Arial"/>
        </w:rPr>
        <w:t>2.B.1.f for more information about processing additional correspondence with a prescribed form</w:t>
      </w:r>
      <w:r>
        <w:rPr>
          <w:rFonts w:ascii="Arial" w:hAnsi="Arial" w:cs="Arial"/>
        </w:rPr>
        <w:t>.</w:t>
      </w:r>
    </w:p>
    <w:p w14:paraId="2151DAB0" w14:textId="77777777" w:rsidR="00131BD5" w:rsidRDefault="00131BD5" w:rsidP="00131BD5">
      <w:pPr>
        <w:spacing w:after="0" w:line="240" w:lineRule="auto"/>
        <w:rPr>
          <w:rFonts w:ascii="Arial" w:hAnsi="Arial" w:cs="Arial"/>
          <w:b/>
        </w:rPr>
      </w:pPr>
    </w:p>
    <w:p w14:paraId="1899C4EB" w14:textId="59CF0E0B" w:rsidR="00606DD3" w:rsidRDefault="003C7AC3" w:rsidP="0093205E">
      <w:pPr>
        <w:spacing w:after="0" w:line="240" w:lineRule="auto"/>
        <w:rPr>
          <w:rFonts w:ascii="Arial" w:hAnsi="Arial" w:cs="Arial"/>
        </w:rPr>
      </w:pPr>
      <w:r w:rsidRPr="009F75C3">
        <w:rPr>
          <w:rFonts w:ascii="Arial" w:hAnsi="Arial" w:cs="Arial"/>
          <w:b/>
        </w:rPr>
        <w:t>Result:</w:t>
      </w:r>
      <w:r w:rsidRPr="009F75C3">
        <w:rPr>
          <w:rFonts w:ascii="Arial" w:hAnsi="Arial" w:cs="Arial"/>
        </w:rPr>
        <w:t xml:space="preserve"> </w:t>
      </w:r>
      <w:r w:rsidR="00830568" w:rsidRPr="009F75C3">
        <w:rPr>
          <w:rFonts w:ascii="Arial" w:hAnsi="Arial" w:cs="Arial"/>
        </w:rPr>
        <w:t xml:space="preserve"> </w:t>
      </w:r>
      <w:r w:rsidR="00EA3EDD" w:rsidRPr="009F75C3">
        <w:rPr>
          <w:rFonts w:ascii="Arial" w:hAnsi="Arial" w:cs="Arial"/>
        </w:rPr>
        <w:t>Clarification provided</w:t>
      </w:r>
      <w:r w:rsidR="009F75C3" w:rsidRPr="009F75C3">
        <w:rPr>
          <w:rFonts w:ascii="Arial" w:hAnsi="Arial" w:cs="Arial"/>
        </w:rPr>
        <w:t>.</w:t>
      </w:r>
    </w:p>
    <w:p w14:paraId="3F7BC980" w14:textId="77777777" w:rsidR="009F75C3" w:rsidRPr="00824543" w:rsidRDefault="009F75C3" w:rsidP="009F75C3">
      <w:pPr>
        <w:pStyle w:val="Heading1"/>
        <w:rPr>
          <w:rFonts w:ascii="Arial" w:hAnsi="Arial" w:cs="Arial"/>
        </w:rPr>
      </w:pPr>
      <w:bookmarkStart w:id="9" w:name="_Toc45875958"/>
      <w:r w:rsidRPr="008868F9">
        <w:rPr>
          <w:rFonts w:ascii="Arial" w:hAnsi="Arial" w:cs="Arial"/>
        </w:rPr>
        <w:t>Quality Call Topic Solicitation</w:t>
      </w:r>
      <w:bookmarkEnd w:id="9"/>
    </w:p>
    <w:p w14:paraId="0AEE1895" w14:textId="77777777" w:rsidR="009F75C3" w:rsidRPr="003334F9" w:rsidRDefault="009F75C3" w:rsidP="009F75C3">
      <w:pPr>
        <w:spacing w:after="0" w:line="240" w:lineRule="auto"/>
        <w:rPr>
          <w:rFonts w:ascii="Arial" w:eastAsia="Times New Roman" w:hAnsi="Arial" w:cs="Arial"/>
          <w:szCs w:val="24"/>
        </w:rPr>
      </w:pPr>
      <w:r w:rsidRPr="003334F9">
        <w:rPr>
          <w:rFonts w:ascii="Arial" w:hAnsi="Arial" w:cs="Arial"/>
          <w:b/>
          <w:szCs w:val="24"/>
        </w:rPr>
        <w:t>Target Audience</w:t>
      </w:r>
      <w:r w:rsidRPr="003334F9">
        <w:rPr>
          <w:rFonts w:ascii="Arial" w:hAnsi="Arial" w:cs="Arial"/>
          <w:szCs w:val="24"/>
        </w:rPr>
        <w:t>:</w:t>
      </w:r>
      <w:r w:rsidRPr="003334F9">
        <w:rPr>
          <w:rFonts w:ascii="Arial" w:eastAsia="Times New Roman" w:hAnsi="Arial" w:cs="Arial"/>
          <w:szCs w:val="24"/>
        </w:rPr>
        <w:t xml:space="preserve"> </w:t>
      </w:r>
      <w:r w:rsidRPr="00ED5825">
        <w:rPr>
          <w:rFonts w:ascii="Arial" w:hAnsi="Arial" w:cs="Arial"/>
        </w:rPr>
        <w:t>PMC claims processors</w:t>
      </w:r>
    </w:p>
    <w:p w14:paraId="6B31C0E0" w14:textId="77777777" w:rsidR="009F75C3" w:rsidRPr="00ED5825" w:rsidRDefault="009F75C3" w:rsidP="009F75C3">
      <w:pPr>
        <w:spacing w:after="0" w:line="240" w:lineRule="auto"/>
        <w:rPr>
          <w:rFonts w:ascii="Arial" w:hAnsi="Arial" w:cs="Arial"/>
          <w:szCs w:val="24"/>
        </w:rPr>
      </w:pPr>
    </w:p>
    <w:p w14:paraId="6EC14CC8" w14:textId="77777777" w:rsidR="009F75C3" w:rsidRPr="008868F9" w:rsidRDefault="009F75C3" w:rsidP="009F75C3">
      <w:pPr>
        <w:pStyle w:val="PlainText"/>
        <w:rPr>
          <w:rFonts w:ascii="Arial" w:hAnsi="Arial" w:cs="Arial"/>
          <w:sz w:val="24"/>
          <w:szCs w:val="24"/>
        </w:rPr>
      </w:pPr>
      <w:r w:rsidRPr="00DB362F">
        <w:rPr>
          <w:rFonts w:ascii="Arial" w:hAnsi="Arial" w:cs="Arial"/>
          <w:b/>
          <w:sz w:val="24"/>
          <w:szCs w:val="28"/>
        </w:rPr>
        <w:t xml:space="preserve">Question:  </w:t>
      </w:r>
      <w:r w:rsidRPr="008868F9">
        <w:rPr>
          <w:rFonts w:ascii="Arial" w:hAnsi="Arial" w:cs="Arial"/>
          <w:sz w:val="24"/>
          <w:szCs w:val="24"/>
        </w:rPr>
        <w:t xml:space="preserve">It would be helpful to receive guidance on, including having the manual updated, to include all eligible burial expenses.  This is especially critical when considering last expenses for survivor claimants to reduce their income on survivor pension claims.  A further explanation and current guidance being followed in Milwaukee is below:  </w:t>
      </w:r>
    </w:p>
    <w:p w14:paraId="08AB74CB" w14:textId="77777777" w:rsidR="009F75C3" w:rsidRPr="008868F9" w:rsidRDefault="009F75C3" w:rsidP="009F75C3">
      <w:pPr>
        <w:spacing w:after="0" w:line="240" w:lineRule="auto"/>
        <w:rPr>
          <w:rFonts w:ascii="Arial" w:hAnsi="Arial" w:cs="Arial"/>
        </w:rPr>
      </w:pPr>
    </w:p>
    <w:p w14:paraId="34AC4505" w14:textId="77777777" w:rsidR="009F75C3" w:rsidRPr="008868F9" w:rsidRDefault="009F75C3" w:rsidP="009F75C3">
      <w:pPr>
        <w:spacing w:after="0" w:line="240" w:lineRule="auto"/>
        <w:rPr>
          <w:rFonts w:ascii="Arial" w:hAnsi="Arial" w:cs="Arial"/>
        </w:rPr>
      </w:pPr>
      <w:r w:rsidRPr="008868F9">
        <w:rPr>
          <w:rFonts w:ascii="Arial" w:hAnsi="Arial" w:cs="Arial"/>
        </w:rPr>
        <w:lastRenderedPageBreak/>
        <w:t xml:space="preserve">Per </w:t>
      </w:r>
      <w:hyperlink r:id="rId13" w:anchor="3" w:history="1">
        <w:r w:rsidRPr="008868F9">
          <w:rPr>
            <w:rStyle w:val="Hyperlink"/>
            <w:rFonts w:ascii="Arial" w:hAnsi="Arial" w:cs="Arial"/>
          </w:rPr>
          <w:t>M21-1, Part V, Subpart i, 3.D.3.d</w:t>
        </w:r>
      </w:hyperlink>
      <w:r w:rsidRPr="008868F9">
        <w:rPr>
          <w:rFonts w:ascii="Arial" w:hAnsi="Arial" w:cs="Arial"/>
        </w:rPr>
        <w:t xml:space="preserve">, the term burial expenses includes all normal expenses incident to disposition of the remains of deceased persons.  Per a response from P&amp;F, the reference should be interpreted to mean only expenses related to the disposition of the deceased person, such as casket and grave opening.  However, funeral home statements include many expenses that could be related to the disposition of the remains of deceased persons.  </w:t>
      </w:r>
    </w:p>
    <w:p w14:paraId="4FE0B046" w14:textId="77777777" w:rsidR="009F75C3" w:rsidRPr="008868F9" w:rsidRDefault="009F75C3" w:rsidP="009F75C3">
      <w:pPr>
        <w:spacing w:after="0" w:line="240" w:lineRule="auto"/>
        <w:rPr>
          <w:rFonts w:ascii="Arial" w:hAnsi="Arial" w:cs="Arial"/>
        </w:rPr>
      </w:pPr>
    </w:p>
    <w:p w14:paraId="79D75700" w14:textId="77777777" w:rsidR="009F75C3" w:rsidRPr="008868F9" w:rsidRDefault="009F75C3" w:rsidP="009F75C3">
      <w:pPr>
        <w:spacing w:after="0" w:line="240" w:lineRule="auto"/>
        <w:rPr>
          <w:rFonts w:ascii="Arial" w:hAnsi="Arial" w:cs="Arial"/>
        </w:rPr>
      </w:pPr>
      <w:r w:rsidRPr="008868F9">
        <w:rPr>
          <w:rFonts w:ascii="Arial" w:hAnsi="Arial" w:cs="Arial"/>
        </w:rPr>
        <w:t xml:space="preserve">Per </w:t>
      </w:r>
      <w:hyperlink r:id="rId14" w:anchor="3" w:history="1">
        <w:r w:rsidRPr="008868F9">
          <w:rPr>
            <w:rStyle w:val="Hyperlink"/>
            <w:rFonts w:ascii="Arial" w:hAnsi="Arial" w:cs="Arial"/>
          </w:rPr>
          <w:t>M21-1, Part V, Subpart i, 3.D.3.d</w:t>
        </w:r>
      </w:hyperlink>
      <w:r w:rsidRPr="008868F9">
        <w:rPr>
          <w:rFonts w:ascii="Arial" w:hAnsi="Arial" w:cs="Arial"/>
        </w:rPr>
        <w:t>, the term burial expenses includes all normal expenses incident to disposition of the remains of deceased persons.  The reference should be interpreted to mean only expenses related to the disposition of the deceased person such as casket and grave opening.  This does not mean we would develop for a receipt for the sole purpose of verifying the expense, unless there is a suspicion of fraud.  When reducing income due to unreimbursed last expenses or paying burial benefits, the claims processor can continue to accept the reported amounts unless a non-burial expense is noted by the evidence of record.   This means the acceptable burial expenses countable as last expenses need to be related to the actual burial/internment of the deceased’s remains.  As it stands, we do not accept flowers, death certificates, etc. as last expenses.  We will take the amount reported directly by the claimant, unless the claimant submits a funeral statement.  If a funeral statement is submitted, VSRs should review to accept only burial-related expenses.</w:t>
      </w:r>
    </w:p>
    <w:p w14:paraId="55319894" w14:textId="77777777" w:rsidR="009F75C3" w:rsidRPr="008868F9" w:rsidRDefault="009F75C3" w:rsidP="009F75C3">
      <w:pPr>
        <w:spacing w:after="0" w:line="240" w:lineRule="auto"/>
        <w:rPr>
          <w:rFonts w:ascii="Arial" w:hAnsi="Arial" w:cs="Arial"/>
        </w:rPr>
      </w:pPr>
    </w:p>
    <w:p w14:paraId="6AB75016" w14:textId="77777777" w:rsidR="009F75C3" w:rsidRPr="008868F9" w:rsidRDefault="009F75C3" w:rsidP="009F75C3">
      <w:pPr>
        <w:spacing w:after="0" w:line="240" w:lineRule="auto"/>
        <w:rPr>
          <w:rFonts w:ascii="Arial" w:hAnsi="Arial" w:cs="Arial"/>
        </w:rPr>
      </w:pPr>
      <w:r w:rsidRPr="008868F9">
        <w:rPr>
          <w:rFonts w:ascii="Arial" w:hAnsi="Arial" w:cs="Arial"/>
        </w:rPr>
        <w:t>Based</w:t>
      </w:r>
      <w:r w:rsidRPr="008868F9">
        <w:rPr>
          <w:rFonts w:ascii="Arial" w:hAnsi="Arial" w:cs="Arial"/>
          <w:b/>
          <w:bCs/>
        </w:rPr>
        <w:t xml:space="preserve"> </w:t>
      </w:r>
      <w:r w:rsidRPr="008868F9">
        <w:rPr>
          <w:rFonts w:ascii="Arial" w:hAnsi="Arial" w:cs="Arial"/>
        </w:rPr>
        <w:t xml:space="preserve">on our current guidance, these were our thoughts on some of the itemized expenses that what we should count/not count.  It would be very helpful to have a full understanding of what is acceptable, or perhaps would NOT be acceptable, in terms of allowable burial expenses.  </w:t>
      </w:r>
    </w:p>
    <w:p w14:paraId="15885288" w14:textId="77777777" w:rsidR="009F75C3" w:rsidRPr="008868F9" w:rsidRDefault="009F75C3" w:rsidP="009F75C3">
      <w:pPr>
        <w:spacing w:after="0" w:line="240" w:lineRule="auto"/>
        <w:rPr>
          <w:rFonts w:ascii="Arial" w:hAnsi="Arial" w:cs="Arial"/>
        </w:rPr>
      </w:pPr>
    </w:p>
    <w:p w14:paraId="29D2EC85" w14:textId="77777777" w:rsidR="009F75C3" w:rsidRPr="008868F9" w:rsidRDefault="009F75C3" w:rsidP="009F75C3">
      <w:pPr>
        <w:spacing w:after="0" w:line="240" w:lineRule="auto"/>
        <w:rPr>
          <w:rFonts w:ascii="Arial" w:hAnsi="Arial" w:cs="Arial"/>
          <w:color w:val="FF0000"/>
        </w:rPr>
      </w:pPr>
      <w:r w:rsidRPr="008868F9">
        <w:rPr>
          <w:rFonts w:ascii="Arial" w:hAnsi="Arial" w:cs="Arial"/>
        </w:rPr>
        <w:t xml:space="preserve">Embalming? </w:t>
      </w:r>
      <w:r w:rsidRPr="008868F9">
        <w:rPr>
          <w:rFonts w:ascii="Arial" w:hAnsi="Arial" w:cs="Arial"/>
          <w:color w:val="FF0000"/>
        </w:rPr>
        <w:t>Yes</w:t>
      </w:r>
    </w:p>
    <w:p w14:paraId="1BC87E3D" w14:textId="77777777" w:rsidR="009F75C3" w:rsidRPr="008868F9" w:rsidRDefault="009F75C3" w:rsidP="009F75C3">
      <w:pPr>
        <w:spacing w:after="0" w:line="240" w:lineRule="auto"/>
        <w:rPr>
          <w:rFonts w:ascii="Arial" w:hAnsi="Arial" w:cs="Arial"/>
          <w:color w:val="FF0000"/>
        </w:rPr>
      </w:pPr>
      <w:r w:rsidRPr="008868F9">
        <w:rPr>
          <w:rFonts w:ascii="Arial" w:hAnsi="Arial" w:cs="Arial"/>
        </w:rPr>
        <w:t xml:space="preserve">Other preparation of the body for viewing? </w:t>
      </w:r>
      <w:r w:rsidRPr="008868F9">
        <w:rPr>
          <w:rFonts w:ascii="Arial" w:hAnsi="Arial" w:cs="Arial"/>
          <w:color w:val="FF0000"/>
        </w:rPr>
        <w:t>Yes</w:t>
      </w:r>
    </w:p>
    <w:p w14:paraId="759FAE6B" w14:textId="77777777" w:rsidR="009F75C3" w:rsidRPr="008868F9" w:rsidRDefault="009F75C3" w:rsidP="009F75C3">
      <w:pPr>
        <w:spacing w:after="0" w:line="240" w:lineRule="auto"/>
        <w:rPr>
          <w:rFonts w:ascii="Arial" w:hAnsi="Arial" w:cs="Arial"/>
          <w:color w:val="FF0000"/>
        </w:rPr>
      </w:pPr>
      <w:r w:rsidRPr="008868F9">
        <w:rPr>
          <w:rFonts w:ascii="Arial" w:hAnsi="Arial" w:cs="Arial"/>
        </w:rPr>
        <w:t xml:space="preserve">Funeral ceremony? </w:t>
      </w:r>
      <w:r w:rsidRPr="008868F9">
        <w:rPr>
          <w:rFonts w:ascii="Arial" w:hAnsi="Arial" w:cs="Arial"/>
          <w:color w:val="FF0000"/>
        </w:rPr>
        <w:t>No</w:t>
      </w:r>
    </w:p>
    <w:p w14:paraId="09F32AEC" w14:textId="77777777" w:rsidR="009F75C3" w:rsidRPr="008868F9" w:rsidRDefault="009F75C3" w:rsidP="009F75C3">
      <w:pPr>
        <w:spacing w:after="0" w:line="240" w:lineRule="auto"/>
        <w:rPr>
          <w:rFonts w:ascii="Arial" w:hAnsi="Arial" w:cs="Arial"/>
          <w:color w:val="FF0000"/>
        </w:rPr>
      </w:pPr>
      <w:r w:rsidRPr="008868F9">
        <w:rPr>
          <w:rFonts w:ascii="Arial" w:hAnsi="Arial" w:cs="Arial"/>
        </w:rPr>
        <w:t xml:space="preserve">Visitation/viewing time?  </w:t>
      </w:r>
      <w:r w:rsidRPr="008868F9">
        <w:rPr>
          <w:rFonts w:ascii="Arial" w:hAnsi="Arial" w:cs="Arial"/>
          <w:color w:val="FF0000"/>
        </w:rPr>
        <w:t>No</w:t>
      </w:r>
    </w:p>
    <w:p w14:paraId="50C25083" w14:textId="77777777" w:rsidR="009F75C3" w:rsidRPr="008868F9" w:rsidRDefault="009F75C3" w:rsidP="009F75C3">
      <w:pPr>
        <w:spacing w:after="0" w:line="240" w:lineRule="auto"/>
        <w:rPr>
          <w:rFonts w:ascii="Arial" w:hAnsi="Arial" w:cs="Arial"/>
          <w:color w:val="FF0000"/>
        </w:rPr>
      </w:pPr>
      <w:r w:rsidRPr="008868F9">
        <w:rPr>
          <w:rFonts w:ascii="Arial" w:hAnsi="Arial" w:cs="Arial"/>
        </w:rPr>
        <w:t xml:space="preserve">Facilities and Equipment? </w:t>
      </w:r>
      <w:r w:rsidRPr="008868F9">
        <w:rPr>
          <w:rFonts w:ascii="Arial" w:hAnsi="Arial" w:cs="Arial"/>
          <w:color w:val="FF0000"/>
        </w:rPr>
        <w:t>Yes</w:t>
      </w:r>
    </w:p>
    <w:p w14:paraId="499794F2" w14:textId="77777777" w:rsidR="009F75C3" w:rsidRPr="008868F9" w:rsidRDefault="009F75C3" w:rsidP="009F75C3">
      <w:pPr>
        <w:spacing w:after="0" w:line="240" w:lineRule="auto"/>
        <w:rPr>
          <w:rFonts w:ascii="Arial" w:hAnsi="Arial" w:cs="Arial"/>
          <w:color w:val="FF0000"/>
        </w:rPr>
      </w:pPr>
      <w:r w:rsidRPr="008868F9">
        <w:rPr>
          <w:rFonts w:ascii="Arial" w:hAnsi="Arial" w:cs="Arial"/>
        </w:rPr>
        <w:t xml:space="preserve">Graveside service? </w:t>
      </w:r>
      <w:r w:rsidRPr="008868F9">
        <w:rPr>
          <w:rFonts w:ascii="Arial" w:hAnsi="Arial" w:cs="Arial"/>
          <w:color w:val="FF0000"/>
        </w:rPr>
        <w:t>No</w:t>
      </w:r>
    </w:p>
    <w:p w14:paraId="5739DC35" w14:textId="77777777" w:rsidR="009F75C3" w:rsidRPr="008868F9" w:rsidRDefault="009F75C3" w:rsidP="009F75C3">
      <w:pPr>
        <w:spacing w:after="0" w:line="240" w:lineRule="auto"/>
        <w:rPr>
          <w:rFonts w:ascii="Arial" w:hAnsi="Arial" w:cs="Arial"/>
          <w:color w:val="FF0000"/>
        </w:rPr>
      </w:pPr>
      <w:r w:rsidRPr="008868F9">
        <w:rPr>
          <w:rFonts w:ascii="Arial" w:hAnsi="Arial" w:cs="Arial"/>
        </w:rPr>
        <w:t xml:space="preserve">Stationary/programs for funeral service? </w:t>
      </w:r>
      <w:r w:rsidRPr="008868F9">
        <w:rPr>
          <w:rFonts w:ascii="Arial" w:hAnsi="Arial" w:cs="Arial"/>
          <w:color w:val="FF0000"/>
        </w:rPr>
        <w:t>No</w:t>
      </w:r>
    </w:p>
    <w:p w14:paraId="61C1C45A" w14:textId="77777777" w:rsidR="009F75C3" w:rsidRPr="008868F9" w:rsidRDefault="009F75C3" w:rsidP="009F75C3">
      <w:pPr>
        <w:spacing w:after="0" w:line="240" w:lineRule="auto"/>
        <w:rPr>
          <w:rFonts w:ascii="Arial" w:hAnsi="Arial" w:cs="Arial"/>
          <w:color w:val="FF0000"/>
        </w:rPr>
      </w:pPr>
      <w:r w:rsidRPr="008868F9">
        <w:rPr>
          <w:rFonts w:ascii="Arial" w:hAnsi="Arial" w:cs="Arial"/>
        </w:rPr>
        <w:t xml:space="preserve">Visitor register book? </w:t>
      </w:r>
      <w:r w:rsidRPr="008868F9">
        <w:rPr>
          <w:rFonts w:ascii="Arial" w:hAnsi="Arial" w:cs="Arial"/>
          <w:color w:val="FF0000"/>
        </w:rPr>
        <w:t>No</w:t>
      </w:r>
    </w:p>
    <w:p w14:paraId="6196AE80" w14:textId="77777777" w:rsidR="009F75C3" w:rsidRPr="008868F9" w:rsidRDefault="009F75C3" w:rsidP="009F75C3">
      <w:pPr>
        <w:spacing w:after="0" w:line="240" w:lineRule="auto"/>
        <w:rPr>
          <w:rFonts w:ascii="Arial" w:hAnsi="Arial" w:cs="Arial"/>
          <w:color w:val="FF0000"/>
        </w:rPr>
      </w:pPr>
      <w:r w:rsidRPr="008868F9">
        <w:rPr>
          <w:rFonts w:ascii="Arial" w:hAnsi="Arial" w:cs="Arial"/>
        </w:rPr>
        <w:t xml:space="preserve">Clergy? </w:t>
      </w:r>
      <w:r w:rsidRPr="008868F9">
        <w:rPr>
          <w:rFonts w:ascii="Arial" w:hAnsi="Arial" w:cs="Arial"/>
          <w:color w:val="FF0000"/>
        </w:rPr>
        <w:t>No</w:t>
      </w:r>
    </w:p>
    <w:p w14:paraId="6CB13D5D" w14:textId="77777777" w:rsidR="009F75C3" w:rsidRPr="008868F9" w:rsidRDefault="009F75C3" w:rsidP="009F75C3">
      <w:pPr>
        <w:spacing w:after="0" w:line="240" w:lineRule="auto"/>
        <w:rPr>
          <w:rFonts w:ascii="Arial" w:hAnsi="Arial" w:cs="Arial"/>
          <w:color w:val="FF0000"/>
        </w:rPr>
      </w:pPr>
      <w:r w:rsidRPr="008868F9">
        <w:rPr>
          <w:rFonts w:ascii="Arial" w:hAnsi="Arial" w:cs="Arial"/>
        </w:rPr>
        <w:t xml:space="preserve">Organist/soloist? </w:t>
      </w:r>
      <w:r w:rsidRPr="008868F9">
        <w:rPr>
          <w:rFonts w:ascii="Arial" w:hAnsi="Arial" w:cs="Arial"/>
          <w:color w:val="FF0000"/>
        </w:rPr>
        <w:t>No</w:t>
      </w:r>
    </w:p>
    <w:p w14:paraId="668C02F5" w14:textId="77777777" w:rsidR="009F75C3" w:rsidRPr="008868F9" w:rsidRDefault="009F75C3" w:rsidP="009F75C3">
      <w:pPr>
        <w:spacing w:after="0" w:line="240" w:lineRule="auto"/>
        <w:rPr>
          <w:rFonts w:ascii="Arial" w:hAnsi="Arial" w:cs="Arial"/>
          <w:color w:val="FF0000"/>
        </w:rPr>
      </w:pPr>
      <w:r w:rsidRPr="008868F9">
        <w:rPr>
          <w:rFonts w:ascii="Arial" w:hAnsi="Arial" w:cs="Arial"/>
        </w:rPr>
        <w:t xml:space="preserve">Funeral home weekend service fee? </w:t>
      </w:r>
      <w:r w:rsidRPr="008868F9">
        <w:rPr>
          <w:rFonts w:ascii="Arial" w:hAnsi="Arial" w:cs="Arial"/>
          <w:color w:val="FF0000"/>
        </w:rPr>
        <w:t>No</w:t>
      </w:r>
    </w:p>
    <w:p w14:paraId="245A59AE" w14:textId="77777777" w:rsidR="009F75C3" w:rsidRPr="008868F9" w:rsidRDefault="009F75C3" w:rsidP="009F75C3">
      <w:pPr>
        <w:spacing w:after="0" w:line="240" w:lineRule="auto"/>
        <w:rPr>
          <w:rFonts w:ascii="Arial" w:hAnsi="Arial" w:cs="Arial"/>
          <w:color w:val="FF0000"/>
        </w:rPr>
      </w:pPr>
      <w:r w:rsidRPr="008868F9">
        <w:rPr>
          <w:rFonts w:ascii="Arial" w:hAnsi="Arial" w:cs="Arial"/>
        </w:rPr>
        <w:t xml:space="preserve">Coroner’s office/Medical Examiner’s fee? </w:t>
      </w:r>
      <w:r w:rsidRPr="008868F9">
        <w:rPr>
          <w:rFonts w:ascii="Arial" w:hAnsi="Arial" w:cs="Arial"/>
          <w:color w:val="FF0000"/>
        </w:rPr>
        <w:t>Yes</w:t>
      </w:r>
    </w:p>
    <w:p w14:paraId="392F3889" w14:textId="77777777" w:rsidR="009F75C3" w:rsidRPr="008868F9" w:rsidRDefault="009F75C3" w:rsidP="009F75C3">
      <w:pPr>
        <w:spacing w:after="0" w:line="240" w:lineRule="auto"/>
        <w:rPr>
          <w:rFonts w:ascii="Arial" w:hAnsi="Arial" w:cs="Arial"/>
          <w:color w:val="FF0000"/>
        </w:rPr>
      </w:pPr>
      <w:r w:rsidRPr="008868F9">
        <w:rPr>
          <w:rFonts w:ascii="Arial" w:hAnsi="Arial" w:cs="Arial"/>
        </w:rPr>
        <w:t xml:space="preserve">Obituary/funeral service announcements? </w:t>
      </w:r>
      <w:r w:rsidRPr="008868F9">
        <w:rPr>
          <w:rFonts w:ascii="Arial" w:hAnsi="Arial" w:cs="Arial"/>
          <w:color w:val="FF0000"/>
        </w:rPr>
        <w:t>No</w:t>
      </w:r>
    </w:p>
    <w:p w14:paraId="6398AED1" w14:textId="77777777" w:rsidR="009F75C3" w:rsidRDefault="009F75C3" w:rsidP="009F75C3">
      <w:pPr>
        <w:pStyle w:val="PlainText"/>
        <w:rPr>
          <w:rFonts w:ascii="Arial" w:hAnsi="Arial" w:cs="Arial"/>
          <w:bCs/>
          <w:sz w:val="24"/>
          <w:szCs w:val="28"/>
        </w:rPr>
      </w:pPr>
    </w:p>
    <w:p w14:paraId="737779F7" w14:textId="77777777" w:rsidR="009F75C3" w:rsidRDefault="009F75C3" w:rsidP="009F75C3">
      <w:pPr>
        <w:spacing w:after="0" w:line="240" w:lineRule="auto"/>
        <w:rPr>
          <w:rFonts w:ascii="Arial" w:hAnsi="Arial" w:cs="Arial"/>
          <w:szCs w:val="24"/>
        </w:rPr>
      </w:pPr>
      <w:r>
        <w:rPr>
          <w:rFonts w:ascii="Arial" w:hAnsi="Arial" w:cs="Arial"/>
          <w:b/>
          <w:bCs/>
          <w:szCs w:val="24"/>
        </w:rPr>
        <w:t>Response</w:t>
      </w:r>
      <w:r w:rsidRPr="00990696">
        <w:rPr>
          <w:rFonts w:ascii="Arial" w:hAnsi="Arial" w:cs="Arial"/>
          <w:szCs w:val="24"/>
        </w:rPr>
        <w:t xml:space="preserve">: </w:t>
      </w:r>
      <w:r>
        <w:rPr>
          <w:rFonts w:ascii="Arial" w:hAnsi="Arial" w:cs="Arial"/>
          <w:szCs w:val="24"/>
        </w:rPr>
        <w:t xml:space="preserve"> The M21-1 is a set of general guidelines and it is not designed to provide policies or procedures for every possible scenario.  Claims processors should use sound judgment based on the law and basic adjudication principles. </w:t>
      </w:r>
    </w:p>
    <w:p w14:paraId="498EE41A" w14:textId="77777777" w:rsidR="009F75C3" w:rsidRDefault="009F75C3" w:rsidP="009F75C3">
      <w:pPr>
        <w:spacing w:after="0" w:line="240" w:lineRule="auto"/>
        <w:rPr>
          <w:rFonts w:ascii="Arial" w:hAnsi="Arial" w:cs="Arial"/>
          <w:szCs w:val="24"/>
        </w:rPr>
      </w:pPr>
    </w:p>
    <w:p w14:paraId="09D19E87" w14:textId="28C4FCA0" w:rsidR="009F75C3" w:rsidRDefault="009F75C3" w:rsidP="009F75C3">
      <w:pPr>
        <w:spacing w:after="0" w:line="240" w:lineRule="auto"/>
        <w:rPr>
          <w:rFonts w:ascii="Arial" w:hAnsi="Arial" w:cs="Arial"/>
          <w:szCs w:val="24"/>
        </w:rPr>
      </w:pPr>
      <w:r>
        <w:rPr>
          <w:rFonts w:ascii="Arial" w:hAnsi="Arial" w:cs="Arial"/>
          <w:szCs w:val="24"/>
        </w:rPr>
        <w:t xml:space="preserve">A previous </w:t>
      </w:r>
      <w:r w:rsidR="000573C0">
        <w:rPr>
          <w:rFonts w:ascii="Arial" w:hAnsi="Arial" w:cs="Arial"/>
          <w:szCs w:val="24"/>
        </w:rPr>
        <w:t xml:space="preserve">P&amp;F </w:t>
      </w:r>
      <w:r>
        <w:rPr>
          <w:rFonts w:ascii="Arial" w:hAnsi="Arial" w:cs="Arial"/>
          <w:szCs w:val="24"/>
        </w:rPr>
        <w:t xml:space="preserve">response </w:t>
      </w:r>
      <w:r w:rsidR="000573C0">
        <w:rPr>
          <w:rFonts w:ascii="Arial" w:hAnsi="Arial" w:cs="Arial"/>
          <w:szCs w:val="24"/>
        </w:rPr>
        <w:t xml:space="preserve">(Burial Expense Definition, April 2020 Field Inquiry Response </w:t>
      </w:r>
      <w:r w:rsidR="00AB0B01">
        <w:rPr>
          <w:rFonts w:ascii="Arial" w:hAnsi="Arial" w:cs="Arial"/>
          <w:szCs w:val="24"/>
        </w:rPr>
        <w:t>Highlights</w:t>
      </w:r>
      <w:r w:rsidR="000573C0">
        <w:rPr>
          <w:rFonts w:ascii="Arial" w:hAnsi="Arial" w:cs="Arial"/>
          <w:szCs w:val="24"/>
        </w:rPr>
        <w:t xml:space="preserve"> released on June 2, 2020)</w:t>
      </w:r>
      <w:r>
        <w:rPr>
          <w:rFonts w:ascii="Arial" w:hAnsi="Arial" w:cs="Arial"/>
          <w:szCs w:val="24"/>
        </w:rPr>
        <w:t xml:space="preserve"> clarified the burial expense definition under </w:t>
      </w:r>
      <w:hyperlink r:id="rId15" w:anchor="3" w:history="1">
        <w:r>
          <w:rPr>
            <w:rStyle w:val="Hyperlink"/>
            <w:rFonts w:ascii="Arial" w:hAnsi="Arial" w:cs="Arial"/>
            <w:szCs w:val="24"/>
          </w:rPr>
          <w:t xml:space="preserve">M21-1, </w:t>
        </w:r>
        <w:r>
          <w:rPr>
            <w:rStyle w:val="Hyperlink"/>
            <w:rFonts w:ascii="Arial" w:hAnsi="Arial" w:cs="Arial"/>
            <w:szCs w:val="24"/>
          </w:rPr>
          <w:lastRenderedPageBreak/>
          <w:t>Part V, Subpart i, 3.D.3.d</w:t>
        </w:r>
      </w:hyperlink>
      <w:r>
        <w:rPr>
          <w:rFonts w:ascii="Arial" w:hAnsi="Arial" w:cs="Arial"/>
          <w:color w:val="0563C1"/>
          <w:szCs w:val="24"/>
          <w:u w:val="single"/>
        </w:rPr>
        <w:t xml:space="preserve">, </w:t>
      </w:r>
      <w:r>
        <w:rPr>
          <w:rFonts w:ascii="Arial" w:hAnsi="Arial" w:cs="Arial"/>
          <w:szCs w:val="24"/>
        </w:rPr>
        <w:t xml:space="preserve">should be interpreted to mean only expenses related to the disposition of the deceased person such as casket and grave opening.  Therefore, all expenses related to the burial/internment are acceptable. </w:t>
      </w:r>
    </w:p>
    <w:p w14:paraId="49BB55CB" w14:textId="77777777" w:rsidR="009F75C3" w:rsidRDefault="009F75C3" w:rsidP="009F75C3">
      <w:pPr>
        <w:spacing w:after="0" w:line="240" w:lineRule="auto"/>
        <w:rPr>
          <w:rFonts w:ascii="Arial" w:hAnsi="Arial" w:cs="Arial"/>
          <w:szCs w:val="24"/>
        </w:rPr>
      </w:pPr>
    </w:p>
    <w:p w14:paraId="32D721CA" w14:textId="77777777" w:rsidR="009F75C3" w:rsidRDefault="009F75C3" w:rsidP="009F75C3">
      <w:pPr>
        <w:spacing w:after="0" w:line="240" w:lineRule="auto"/>
        <w:rPr>
          <w:rFonts w:ascii="Arial" w:hAnsi="Arial" w:cs="Arial"/>
          <w:szCs w:val="24"/>
        </w:rPr>
      </w:pPr>
      <w:r>
        <w:rPr>
          <w:rFonts w:ascii="Arial" w:hAnsi="Arial" w:cs="Arial"/>
          <w:szCs w:val="24"/>
        </w:rPr>
        <w:t xml:space="preserve">Per </w:t>
      </w:r>
      <w:hyperlink r:id="rId16" w:history="1">
        <w:r>
          <w:rPr>
            <w:rStyle w:val="Hyperlink"/>
            <w:rFonts w:ascii="Arial" w:hAnsi="Arial" w:cs="Arial"/>
            <w:szCs w:val="24"/>
          </w:rPr>
          <w:t>M21-1, Part V, Subpart iii,1.K.1.c</w:t>
        </w:r>
      </w:hyperlink>
      <w:r>
        <w:rPr>
          <w:rFonts w:ascii="Arial" w:hAnsi="Arial" w:cs="Arial"/>
          <w:szCs w:val="24"/>
        </w:rPr>
        <w:t xml:space="preserve">- if the expense is allowable for purposes of paying VA burial benefits, consider it a burial expense for purposes of the final expense deduction.  A funeral bill is not required for consideration of last expenses.  However, when the evidence of record exists and includes non-burial expenses, the claims processor should review and accept cost related to the disposition of the deceased person.  In the example above any of the expenses related to burial should be accepted.  VA Pension pays a subsistence level of benefits to Veterans and survivors with limited income and net worth, claims processors should be liberal in accepting expenses related to burial.   </w:t>
      </w:r>
    </w:p>
    <w:p w14:paraId="02382272" w14:textId="77777777" w:rsidR="009F75C3" w:rsidRDefault="009F75C3" w:rsidP="009F75C3">
      <w:pPr>
        <w:pStyle w:val="PlainText"/>
        <w:rPr>
          <w:rFonts w:ascii="Arial" w:hAnsi="Arial" w:cs="Arial"/>
          <w:sz w:val="24"/>
          <w:szCs w:val="24"/>
        </w:rPr>
      </w:pPr>
    </w:p>
    <w:p w14:paraId="3E8E1DA5" w14:textId="77777777" w:rsidR="009F75C3" w:rsidRDefault="009F75C3" w:rsidP="009F75C3">
      <w:pPr>
        <w:spacing w:after="0" w:line="240" w:lineRule="auto"/>
        <w:rPr>
          <w:rFonts w:ascii="Arial" w:hAnsi="Arial" w:cs="Arial"/>
          <w:szCs w:val="24"/>
        </w:rPr>
      </w:pPr>
      <w:r w:rsidRPr="003334F9">
        <w:rPr>
          <w:rFonts w:ascii="Arial" w:hAnsi="Arial" w:cs="Arial"/>
          <w:b/>
        </w:rPr>
        <w:t>Result:</w:t>
      </w:r>
      <w:r w:rsidRPr="003334F9">
        <w:rPr>
          <w:rFonts w:ascii="Arial" w:hAnsi="Arial" w:cs="Arial"/>
        </w:rPr>
        <w:t xml:space="preserve">  </w:t>
      </w:r>
      <w:r>
        <w:rPr>
          <w:rFonts w:ascii="Arial" w:hAnsi="Arial" w:cs="Arial"/>
          <w:szCs w:val="24"/>
        </w:rPr>
        <w:t xml:space="preserve">Clarification provided. </w:t>
      </w:r>
    </w:p>
    <w:p w14:paraId="1E958986" w14:textId="693B1960" w:rsidR="008A465E" w:rsidRPr="003C7AC3" w:rsidRDefault="001E5C26" w:rsidP="008A465E">
      <w:pPr>
        <w:pStyle w:val="Heading1"/>
        <w:rPr>
          <w:rFonts w:ascii="Arial" w:hAnsi="Arial" w:cs="Arial"/>
        </w:rPr>
      </w:pPr>
      <w:bookmarkStart w:id="10" w:name="_Toc45875959"/>
      <w:r w:rsidRPr="001E5C26">
        <w:rPr>
          <w:rFonts w:ascii="Arial" w:hAnsi="Arial" w:cs="Arial"/>
        </w:rPr>
        <w:t>CARES Act Unemployment Income</w:t>
      </w:r>
      <w:bookmarkEnd w:id="10"/>
    </w:p>
    <w:p w14:paraId="69C9AC06" w14:textId="77777777" w:rsidR="008A465E" w:rsidRPr="00B06081" w:rsidRDefault="008A465E" w:rsidP="00C32D30">
      <w:pPr>
        <w:spacing w:after="0" w:line="240" w:lineRule="auto"/>
        <w:rPr>
          <w:rFonts w:ascii="Arial" w:hAnsi="Arial" w:cs="Arial"/>
          <w:szCs w:val="24"/>
        </w:rPr>
      </w:pPr>
      <w:r w:rsidRPr="00824543">
        <w:rPr>
          <w:rFonts w:ascii="Arial" w:hAnsi="Arial" w:cs="Arial"/>
          <w:b/>
          <w:szCs w:val="24"/>
        </w:rPr>
        <w:t>Target Audience</w:t>
      </w:r>
      <w:r w:rsidRPr="00824543">
        <w:rPr>
          <w:rFonts w:ascii="Arial" w:hAnsi="Arial" w:cs="Arial"/>
          <w:szCs w:val="24"/>
        </w:rPr>
        <w:t xml:space="preserve">: </w:t>
      </w:r>
      <w:r w:rsidR="00171D09">
        <w:rPr>
          <w:rFonts w:ascii="Arial" w:hAnsi="Arial" w:cs="Arial"/>
          <w:szCs w:val="24"/>
        </w:rPr>
        <w:t xml:space="preserve"> </w:t>
      </w:r>
      <w:r w:rsidR="00171D09">
        <w:rPr>
          <w:rFonts w:ascii="Arial" w:hAnsi="Arial" w:cs="Arial"/>
        </w:rPr>
        <w:t>PMC Claims Processors</w:t>
      </w:r>
    </w:p>
    <w:p w14:paraId="78D953EB" w14:textId="71B96C51" w:rsidR="008A465E" w:rsidRDefault="008A465E" w:rsidP="006C4971">
      <w:pPr>
        <w:spacing w:after="0" w:line="240" w:lineRule="auto"/>
        <w:rPr>
          <w:rFonts w:ascii="Arial" w:hAnsi="Arial" w:cs="Arial"/>
          <w:szCs w:val="24"/>
        </w:rPr>
      </w:pPr>
    </w:p>
    <w:p w14:paraId="2FC72EF7" w14:textId="77ACB319" w:rsidR="001E5C26" w:rsidRPr="001E5C26" w:rsidRDefault="008A760B" w:rsidP="001E5C26">
      <w:pPr>
        <w:spacing w:after="0" w:line="240" w:lineRule="auto"/>
        <w:rPr>
          <w:rFonts w:ascii="Arial" w:hAnsi="Arial" w:cs="Arial"/>
          <w:szCs w:val="24"/>
        </w:rPr>
      </w:pPr>
      <w:r w:rsidRPr="00EA3EDD">
        <w:rPr>
          <w:rFonts w:ascii="Arial" w:hAnsi="Arial" w:cs="Arial"/>
          <w:b/>
        </w:rPr>
        <w:t xml:space="preserve">Question:  </w:t>
      </w:r>
      <w:r w:rsidR="009F75C3">
        <w:rPr>
          <w:rFonts w:ascii="Arial" w:hAnsi="Arial" w:cs="Arial"/>
          <w:szCs w:val="24"/>
        </w:rPr>
        <w:t>T</w:t>
      </w:r>
      <w:r w:rsidR="001E5C26" w:rsidRPr="001E5C26">
        <w:rPr>
          <w:rFonts w:ascii="Arial" w:hAnsi="Arial" w:cs="Arial"/>
          <w:szCs w:val="24"/>
        </w:rPr>
        <w:t xml:space="preserve">he CARES Act stimulus package also includes a $600 weekly increase to those registered as unemployed.  Unemployment income is normally considered countable income for VA Pension purposes (M21-1 </w:t>
      </w:r>
      <w:r w:rsidR="000573C0">
        <w:rPr>
          <w:rFonts w:ascii="Arial" w:hAnsi="Arial" w:cs="Arial"/>
          <w:szCs w:val="24"/>
        </w:rPr>
        <w:t xml:space="preserve">Part </w:t>
      </w:r>
      <w:r w:rsidR="001E5C26" w:rsidRPr="001E5C26">
        <w:rPr>
          <w:rFonts w:ascii="Arial" w:hAnsi="Arial" w:cs="Arial"/>
          <w:szCs w:val="24"/>
        </w:rPr>
        <w:t>V</w:t>
      </w:r>
      <w:r w:rsidR="000573C0">
        <w:rPr>
          <w:rFonts w:ascii="Arial" w:hAnsi="Arial" w:cs="Arial"/>
          <w:szCs w:val="24"/>
        </w:rPr>
        <w:t xml:space="preserve">, Subpart </w:t>
      </w:r>
      <w:r w:rsidR="001E5C26" w:rsidRPr="001E5C26">
        <w:rPr>
          <w:rFonts w:ascii="Arial" w:hAnsi="Arial" w:cs="Arial"/>
          <w:szCs w:val="24"/>
        </w:rPr>
        <w:t>iii</w:t>
      </w:r>
      <w:r w:rsidR="000573C0">
        <w:rPr>
          <w:rFonts w:ascii="Arial" w:hAnsi="Arial" w:cs="Arial"/>
          <w:szCs w:val="24"/>
        </w:rPr>
        <w:t xml:space="preserve">, </w:t>
      </w:r>
      <w:r w:rsidR="001E5C26" w:rsidRPr="001E5C26">
        <w:rPr>
          <w:rFonts w:ascii="Arial" w:hAnsi="Arial" w:cs="Arial"/>
          <w:szCs w:val="24"/>
        </w:rPr>
        <w:t xml:space="preserve">1.l.1.a.).  However, M21-1 </w:t>
      </w:r>
      <w:r w:rsidR="000573C0">
        <w:rPr>
          <w:rFonts w:ascii="Arial" w:hAnsi="Arial" w:cs="Arial"/>
          <w:szCs w:val="24"/>
        </w:rPr>
        <w:t xml:space="preserve">Part </w:t>
      </w:r>
      <w:r w:rsidR="001E5C26" w:rsidRPr="001E5C26">
        <w:rPr>
          <w:rFonts w:ascii="Arial" w:hAnsi="Arial" w:cs="Arial"/>
          <w:szCs w:val="24"/>
        </w:rPr>
        <w:t>V</w:t>
      </w:r>
      <w:r w:rsidR="000573C0">
        <w:rPr>
          <w:rFonts w:ascii="Arial" w:hAnsi="Arial" w:cs="Arial"/>
          <w:szCs w:val="24"/>
        </w:rPr>
        <w:t xml:space="preserve">, Subpart </w:t>
      </w:r>
      <w:r w:rsidR="001E5C26" w:rsidRPr="001E5C26">
        <w:rPr>
          <w:rFonts w:ascii="Arial" w:hAnsi="Arial" w:cs="Arial"/>
          <w:szCs w:val="24"/>
        </w:rPr>
        <w:t>iii</w:t>
      </w:r>
      <w:r w:rsidR="000573C0">
        <w:rPr>
          <w:rFonts w:ascii="Arial" w:hAnsi="Arial" w:cs="Arial"/>
          <w:szCs w:val="24"/>
        </w:rPr>
        <w:t xml:space="preserve">, </w:t>
      </w:r>
      <w:r w:rsidR="001E5C26" w:rsidRPr="001E5C26">
        <w:rPr>
          <w:rFonts w:ascii="Arial" w:hAnsi="Arial" w:cs="Arial"/>
          <w:szCs w:val="24"/>
        </w:rPr>
        <w:t xml:space="preserve">1.l.3.y. Payments Under the CARES Act of 2020, tells us not to count any payments received from the Coronavirus Aid, Relief, and Economic Security (CARES) Act of 2020.  This $600 increase in unemployment income has  characteristics of income that is normally excluded for VA Pension purposes, as well as characteristics of income that is normally included as countable income for VA Pension purposes.  </w:t>
      </w:r>
    </w:p>
    <w:p w14:paraId="07617A19" w14:textId="77777777" w:rsidR="001E5C26" w:rsidRPr="001E5C26" w:rsidRDefault="001E5C26" w:rsidP="001E5C26">
      <w:pPr>
        <w:spacing w:after="0" w:line="240" w:lineRule="auto"/>
        <w:rPr>
          <w:rFonts w:ascii="Arial" w:hAnsi="Arial" w:cs="Arial"/>
          <w:szCs w:val="24"/>
        </w:rPr>
      </w:pPr>
    </w:p>
    <w:p w14:paraId="372CA065" w14:textId="29CD91AF" w:rsidR="00EA3EDD" w:rsidRDefault="001E5C26" w:rsidP="001E5C26">
      <w:pPr>
        <w:spacing w:after="0" w:line="240" w:lineRule="auto"/>
        <w:rPr>
          <w:rFonts w:ascii="Arial" w:hAnsi="Arial" w:cs="Arial"/>
          <w:szCs w:val="24"/>
        </w:rPr>
      </w:pPr>
      <w:r w:rsidRPr="001E5C26">
        <w:rPr>
          <w:rFonts w:ascii="Arial" w:hAnsi="Arial" w:cs="Arial"/>
          <w:szCs w:val="24"/>
        </w:rPr>
        <w:t xml:space="preserve">Is the additional $600 weekly unemployment income paid under the CARES Act countable for VA Pension purposes?  If this income is not countable because it is part of the CARES act, could you please clarify if the portion the claimant’s state pays as unemployment benefits will still be countable as income for VA Pension purposes?  </w:t>
      </w:r>
    </w:p>
    <w:p w14:paraId="04C85C00" w14:textId="77777777" w:rsidR="00C32D30" w:rsidRPr="00EA3EDD" w:rsidRDefault="00C32D30" w:rsidP="00EA3EDD">
      <w:pPr>
        <w:spacing w:after="0" w:line="240" w:lineRule="auto"/>
        <w:rPr>
          <w:rFonts w:ascii="Arial" w:hAnsi="Arial" w:cs="Arial"/>
        </w:rPr>
      </w:pPr>
    </w:p>
    <w:p w14:paraId="46591175" w14:textId="223C50CB" w:rsidR="001E5C26" w:rsidRDefault="008A760B" w:rsidP="00EA3EDD">
      <w:pPr>
        <w:spacing w:after="0" w:line="240" w:lineRule="auto"/>
        <w:rPr>
          <w:rFonts w:ascii="Arial" w:hAnsi="Arial" w:cs="Arial"/>
        </w:rPr>
      </w:pPr>
      <w:r w:rsidRPr="00EA3EDD">
        <w:rPr>
          <w:rFonts w:ascii="Arial" w:hAnsi="Arial" w:cs="Arial"/>
          <w:b/>
        </w:rPr>
        <w:t>Response</w:t>
      </w:r>
      <w:r w:rsidRPr="00EA3EDD">
        <w:rPr>
          <w:rFonts w:ascii="Arial" w:hAnsi="Arial" w:cs="Arial"/>
        </w:rPr>
        <w:t xml:space="preserve">: </w:t>
      </w:r>
      <w:r w:rsidR="006C4971" w:rsidRPr="00EA3EDD">
        <w:rPr>
          <w:rFonts w:ascii="Arial" w:hAnsi="Arial" w:cs="Arial"/>
        </w:rPr>
        <w:t xml:space="preserve"> </w:t>
      </w:r>
      <w:r w:rsidR="001E5C26">
        <w:rPr>
          <w:rFonts w:ascii="Arial" w:hAnsi="Arial" w:cs="Arial"/>
        </w:rPr>
        <w:t>Yes, t</w:t>
      </w:r>
      <w:r w:rsidR="001E5C26" w:rsidRPr="001E5C26">
        <w:rPr>
          <w:rFonts w:ascii="Arial" w:hAnsi="Arial" w:cs="Arial"/>
        </w:rPr>
        <w:t xml:space="preserve">he additional $600 weekly unemployment income paid under the CARES Act is countable for VA Pension purposes.  Although the CARES Act includes the 2020 Recovery Rebate, unemployment benefits are separate from the 2020 Recovery Rebate, and are countable.  </w:t>
      </w:r>
    </w:p>
    <w:p w14:paraId="25CBC1E4" w14:textId="77777777" w:rsidR="001E5C26" w:rsidRDefault="001E5C26" w:rsidP="00EA3EDD">
      <w:pPr>
        <w:spacing w:after="0" w:line="240" w:lineRule="auto"/>
        <w:rPr>
          <w:rFonts w:ascii="Arial" w:hAnsi="Arial" w:cs="Arial"/>
        </w:rPr>
      </w:pPr>
    </w:p>
    <w:p w14:paraId="00D000AE" w14:textId="634399B9" w:rsidR="003C7AC3" w:rsidRDefault="003C7AC3" w:rsidP="00EA3EDD">
      <w:pPr>
        <w:spacing w:after="0" w:line="240" w:lineRule="auto"/>
        <w:rPr>
          <w:rFonts w:ascii="Arial" w:hAnsi="Arial" w:cs="Arial"/>
          <w:szCs w:val="24"/>
        </w:rPr>
      </w:pPr>
      <w:r w:rsidRPr="00EA3EDD">
        <w:rPr>
          <w:rFonts w:ascii="Arial" w:hAnsi="Arial" w:cs="Arial"/>
          <w:b/>
          <w:szCs w:val="24"/>
        </w:rPr>
        <w:t>Result:</w:t>
      </w:r>
      <w:r w:rsidRPr="00EA3EDD">
        <w:rPr>
          <w:rFonts w:ascii="Arial" w:hAnsi="Arial" w:cs="Arial"/>
          <w:szCs w:val="24"/>
        </w:rPr>
        <w:t xml:space="preserve"> </w:t>
      </w:r>
      <w:r w:rsidR="00171D09" w:rsidRPr="00EA3EDD">
        <w:rPr>
          <w:rFonts w:ascii="Arial" w:hAnsi="Arial" w:cs="Arial"/>
          <w:szCs w:val="24"/>
        </w:rPr>
        <w:t xml:space="preserve"> </w:t>
      </w:r>
      <w:r w:rsidR="000B5D13" w:rsidRPr="00EA3EDD">
        <w:rPr>
          <w:rFonts w:ascii="Arial" w:hAnsi="Arial" w:cs="Arial"/>
          <w:szCs w:val="24"/>
        </w:rPr>
        <w:t>Clarification provided.</w:t>
      </w:r>
    </w:p>
    <w:p w14:paraId="46B6BA40" w14:textId="232D6E1E" w:rsidR="008B6CC9" w:rsidRPr="00824543" w:rsidRDefault="007A00DF" w:rsidP="008B6CC9">
      <w:pPr>
        <w:pStyle w:val="Heading1"/>
        <w:rPr>
          <w:rFonts w:ascii="Arial" w:hAnsi="Arial" w:cs="Arial"/>
        </w:rPr>
      </w:pPr>
      <w:bookmarkStart w:id="11" w:name="_Toc45875960"/>
      <w:bookmarkStart w:id="12" w:name="_Toc11231425"/>
      <w:r w:rsidRPr="007A00DF">
        <w:rPr>
          <w:rFonts w:ascii="Arial" w:hAnsi="Arial" w:cs="Arial"/>
        </w:rPr>
        <w:t>DOC for Novel Coronavirus (COVID-19) Claims</w:t>
      </w:r>
      <w:bookmarkEnd w:id="11"/>
    </w:p>
    <w:p w14:paraId="6B13F514" w14:textId="77777777" w:rsidR="008B6CC9" w:rsidRPr="003334F9" w:rsidRDefault="008B6CC9" w:rsidP="008B6CC9">
      <w:pPr>
        <w:spacing w:after="0" w:line="240" w:lineRule="auto"/>
        <w:rPr>
          <w:rFonts w:ascii="Arial" w:eastAsia="Times New Roman" w:hAnsi="Arial" w:cs="Arial"/>
          <w:szCs w:val="24"/>
        </w:rPr>
      </w:pPr>
      <w:r w:rsidRPr="003334F9">
        <w:rPr>
          <w:rFonts w:ascii="Arial" w:hAnsi="Arial" w:cs="Arial"/>
          <w:b/>
          <w:szCs w:val="24"/>
        </w:rPr>
        <w:t>Target Audience</w:t>
      </w:r>
      <w:r w:rsidRPr="003334F9">
        <w:rPr>
          <w:rFonts w:ascii="Arial" w:hAnsi="Arial" w:cs="Arial"/>
          <w:szCs w:val="24"/>
        </w:rPr>
        <w:t>:</w:t>
      </w:r>
      <w:r w:rsidRPr="003334F9">
        <w:rPr>
          <w:rFonts w:ascii="Arial" w:eastAsia="Times New Roman" w:hAnsi="Arial" w:cs="Arial"/>
          <w:szCs w:val="24"/>
        </w:rPr>
        <w:t xml:space="preserve"> </w:t>
      </w:r>
      <w:r w:rsidRPr="003334F9">
        <w:rPr>
          <w:rFonts w:ascii="Arial" w:hAnsi="Arial" w:cs="Arial"/>
        </w:rPr>
        <w:t>PMC Claims Processors</w:t>
      </w:r>
    </w:p>
    <w:p w14:paraId="77ADDEAC" w14:textId="77777777" w:rsidR="008B6CC9" w:rsidRPr="003334F9" w:rsidRDefault="008B6CC9" w:rsidP="005F42F8">
      <w:pPr>
        <w:spacing w:after="0" w:line="240" w:lineRule="auto"/>
        <w:rPr>
          <w:rFonts w:ascii="Arial" w:hAnsi="Arial" w:cs="Arial"/>
        </w:rPr>
      </w:pPr>
    </w:p>
    <w:p w14:paraId="2196E7A3" w14:textId="739F0CB4" w:rsidR="007A00DF" w:rsidRPr="007A00DF" w:rsidRDefault="005F42F8" w:rsidP="007A00DF">
      <w:pPr>
        <w:spacing w:after="0" w:line="240" w:lineRule="auto"/>
        <w:rPr>
          <w:rFonts w:ascii="Arial" w:hAnsi="Arial" w:cs="Arial"/>
          <w:szCs w:val="24"/>
        </w:rPr>
      </w:pPr>
      <w:r>
        <w:rPr>
          <w:rFonts w:ascii="Arial" w:hAnsi="Arial" w:cs="Arial"/>
          <w:b/>
          <w:bCs/>
          <w:szCs w:val="24"/>
        </w:rPr>
        <w:t>Question:</w:t>
      </w:r>
      <w:r>
        <w:rPr>
          <w:rFonts w:ascii="Arial" w:hAnsi="Arial" w:cs="Arial"/>
          <w:szCs w:val="24"/>
        </w:rPr>
        <w:t xml:space="preserve">  </w:t>
      </w:r>
      <w:r w:rsidR="007A00DF" w:rsidRPr="007A00DF">
        <w:rPr>
          <w:rFonts w:ascii="Arial" w:hAnsi="Arial" w:cs="Arial"/>
          <w:szCs w:val="24"/>
        </w:rPr>
        <w:t xml:space="preserve">Page 4 of Policy Letter 20-02 outlines if there is a postmark, then VA will consider the claim received on the date of the USPS postmark.  If there is no postmark but there is a VA date stamp or claims Center COVID 19 watermark, then the claim will be considered received no later than February 29, 2020. </w:t>
      </w:r>
    </w:p>
    <w:p w14:paraId="354116B5" w14:textId="77777777" w:rsidR="007A00DF" w:rsidRPr="007A00DF" w:rsidRDefault="007A00DF" w:rsidP="007A00DF">
      <w:pPr>
        <w:spacing w:after="0" w:line="240" w:lineRule="auto"/>
        <w:rPr>
          <w:rFonts w:ascii="Arial" w:hAnsi="Arial" w:cs="Arial"/>
          <w:szCs w:val="24"/>
        </w:rPr>
      </w:pPr>
    </w:p>
    <w:p w14:paraId="1D10E3F7" w14:textId="4DD6385C" w:rsidR="007A00DF" w:rsidRPr="007A00DF" w:rsidRDefault="007A00DF" w:rsidP="007A00DF">
      <w:pPr>
        <w:spacing w:after="0" w:line="240" w:lineRule="auto"/>
        <w:rPr>
          <w:rFonts w:ascii="Arial" w:hAnsi="Arial" w:cs="Arial"/>
          <w:szCs w:val="24"/>
        </w:rPr>
      </w:pPr>
      <w:r>
        <w:rPr>
          <w:rFonts w:ascii="Arial" w:hAnsi="Arial" w:cs="Arial"/>
          <w:szCs w:val="24"/>
        </w:rPr>
        <w:t xml:space="preserve">The </w:t>
      </w:r>
      <w:r w:rsidRPr="007A00DF">
        <w:rPr>
          <w:rFonts w:ascii="Arial" w:hAnsi="Arial" w:cs="Arial"/>
          <w:szCs w:val="24"/>
        </w:rPr>
        <w:t xml:space="preserve">PMC requests clarification on the Date of Claim (DOC) when there is no USPS postmark; however, there is a VA date stamp.  </w:t>
      </w:r>
    </w:p>
    <w:p w14:paraId="2C0635C7" w14:textId="77777777" w:rsidR="007A00DF" w:rsidRPr="007A00DF" w:rsidRDefault="007A00DF" w:rsidP="007A00DF">
      <w:pPr>
        <w:spacing w:after="0" w:line="240" w:lineRule="auto"/>
        <w:rPr>
          <w:rFonts w:ascii="Arial" w:hAnsi="Arial" w:cs="Arial"/>
          <w:szCs w:val="24"/>
        </w:rPr>
      </w:pPr>
    </w:p>
    <w:p w14:paraId="0549CBDE" w14:textId="77777777" w:rsidR="007A00DF" w:rsidRPr="007A00DF" w:rsidRDefault="007A00DF" w:rsidP="007A00DF">
      <w:pPr>
        <w:spacing w:after="0" w:line="240" w:lineRule="auto"/>
        <w:rPr>
          <w:rFonts w:ascii="Arial" w:hAnsi="Arial" w:cs="Arial"/>
          <w:szCs w:val="24"/>
        </w:rPr>
      </w:pPr>
      <w:r w:rsidRPr="007A00DF">
        <w:rPr>
          <w:rFonts w:ascii="Arial" w:hAnsi="Arial" w:cs="Arial"/>
          <w:szCs w:val="24"/>
        </w:rPr>
        <w:t>Example:</w:t>
      </w:r>
    </w:p>
    <w:p w14:paraId="7B1EBC71" w14:textId="163732E8" w:rsidR="007A00DF" w:rsidRPr="007A00DF" w:rsidRDefault="007A00DF" w:rsidP="007A00DF">
      <w:pPr>
        <w:pStyle w:val="ListParagraph"/>
        <w:numPr>
          <w:ilvl w:val="0"/>
          <w:numId w:val="36"/>
        </w:numPr>
        <w:spacing w:after="0" w:line="240" w:lineRule="auto"/>
        <w:rPr>
          <w:rFonts w:ascii="Arial" w:hAnsi="Arial" w:cs="Arial"/>
          <w:szCs w:val="24"/>
        </w:rPr>
      </w:pPr>
      <w:r w:rsidRPr="007A00DF">
        <w:rPr>
          <w:rFonts w:ascii="Arial" w:hAnsi="Arial" w:cs="Arial"/>
          <w:szCs w:val="24"/>
        </w:rPr>
        <w:t>Veteran passed away March 26, 2020</w:t>
      </w:r>
    </w:p>
    <w:p w14:paraId="65302F1D" w14:textId="071E77F8" w:rsidR="007A00DF" w:rsidRPr="007A00DF" w:rsidRDefault="007A00DF" w:rsidP="007A00DF">
      <w:pPr>
        <w:pStyle w:val="ListParagraph"/>
        <w:numPr>
          <w:ilvl w:val="0"/>
          <w:numId w:val="36"/>
        </w:numPr>
        <w:spacing w:after="0" w:line="240" w:lineRule="auto"/>
        <w:rPr>
          <w:rFonts w:ascii="Arial" w:hAnsi="Arial" w:cs="Arial"/>
          <w:szCs w:val="24"/>
        </w:rPr>
      </w:pPr>
      <w:r w:rsidRPr="007A00DF">
        <w:rPr>
          <w:rFonts w:ascii="Arial" w:hAnsi="Arial" w:cs="Arial"/>
          <w:szCs w:val="24"/>
        </w:rPr>
        <w:t>EP 190 is received with no USPS postmark</w:t>
      </w:r>
    </w:p>
    <w:p w14:paraId="048C5351" w14:textId="42E832C9" w:rsidR="007A00DF" w:rsidRPr="007A00DF" w:rsidRDefault="007A00DF" w:rsidP="007A00DF">
      <w:pPr>
        <w:pStyle w:val="ListParagraph"/>
        <w:numPr>
          <w:ilvl w:val="0"/>
          <w:numId w:val="36"/>
        </w:numPr>
        <w:spacing w:after="0" w:line="240" w:lineRule="auto"/>
        <w:rPr>
          <w:rFonts w:ascii="Arial" w:hAnsi="Arial" w:cs="Arial"/>
          <w:szCs w:val="24"/>
        </w:rPr>
      </w:pPr>
      <w:r w:rsidRPr="007A00DF">
        <w:rPr>
          <w:rFonts w:ascii="Arial" w:hAnsi="Arial" w:cs="Arial"/>
          <w:szCs w:val="24"/>
        </w:rPr>
        <w:t>VA date stamp is 04/16/2020</w:t>
      </w:r>
    </w:p>
    <w:p w14:paraId="1664ED7F" w14:textId="77777777" w:rsidR="007A00DF" w:rsidRPr="007A00DF" w:rsidRDefault="007A00DF" w:rsidP="007A00DF">
      <w:pPr>
        <w:spacing w:after="0" w:line="240" w:lineRule="auto"/>
        <w:rPr>
          <w:rFonts w:ascii="Arial" w:hAnsi="Arial" w:cs="Arial"/>
          <w:szCs w:val="24"/>
        </w:rPr>
      </w:pPr>
    </w:p>
    <w:p w14:paraId="605B1944" w14:textId="2E3CF651" w:rsidR="005F42F8" w:rsidRDefault="007A00DF" w:rsidP="007A00DF">
      <w:pPr>
        <w:spacing w:after="0" w:line="240" w:lineRule="auto"/>
        <w:rPr>
          <w:rFonts w:ascii="Arial" w:hAnsi="Arial" w:cs="Arial"/>
          <w:szCs w:val="24"/>
        </w:rPr>
      </w:pPr>
      <w:r w:rsidRPr="007A00DF">
        <w:rPr>
          <w:rFonts w:ascii="Arial" w:hAnsi="Arial" w:cs="Arial"/>
          <w:szCs w:val="24"/>
        </w:rPr>
        <w:t>If the DOC in the above example should be February 29, 2020, from which date would income and medical expenses be counted as it is after the Veteran’s date of death?</w:t>
      </w:r>
    </w:p>
    <w:p w14:paraId="73C2538B" w14:textId="77777777" w:rsidR="007A00DF" w:rsidRDefault="007A00DF" w:rsidP="007A00DF">
      <w:pPr>
        <w:spacing w:after="0" w:line="240" w:lineRule="auto"/>
        <w:rPr>
          <w:rFonts w:ascii="Arial" w:hAnsi="Arial" w:cs="Arial"/>
          <w:szCs w:val="24"/>
        </w:rPr>
      </w:pPr>
    </w:p>
    <w:p w14:paraId="709E94F2" w14:textId="55FEEFDE" w:rsidR="007A00DF" w:rsidRDefault="005F42F8" w:rsidP="007A00DF">
      <w:pPr>
        <w:spacing w:after="0" w:line="240" w:lineRule="auto"/>
        <w:rPr>
          <w:rFonts w:ascii="Arial" w:hAnsi="Arial" w:cs="Arial"/>
          <w:szCs w:val="24"/>
        </w:rPr>
      </w:pPr>
      <w:r>
        <w:rPr>
          <w:rFonts w:ascii="Arial" w:hAnsi="Arial" w:cs="Arial"/>
          <w:b/>
          <w:bCs/>
          <w:szCs w:val="24"/>
        </w:rPr>
        <w:t>Response:</w:t>
      </w:r>
      <w:r>
        <w:rPr>
          <w:rFonts w:ascii="Arial" w:hAnsi="Arial" w:cs="Arial"/>
          <w:szCs w:val="24"/>
        </w:rPr>
        <w:t xml:space="preserve">  </w:t>
      </w:r>
      <w:bookmarkStart w:id="13" w:name="_Hlk40958616"/>
      <w:r w:rsidR="007A00DF">
        <w:rPr>
          <w:rFonts w:ascii="Arial" w:hAnsi="Arial" w:cs="Arial"/>
          <w:szCs w:val="24"/>
        </w:rPr>
        <w:t xml:space="preserve">The guidance on page 4 of </w:t>
      </w:r>
      <w:hyperlink r:id="rId17" w:history="1">
        <w:r w:rsidR="007A00DF">
          <w:rPr>
            <w:rStyle w:val="Hyperlink"/>
            <w:rFonts w:ascii="Arial" w:hAnsi="Arial" w:cs="Arial"/>
            <w:szCs w:val="24"/>
          </w:rPr>
          <w:t>Policy Letter 20-02</w:t>
        </w:r>
      </w:hyperlink>
      <w:r w:rsidR="007A00DF">
        <w:rPr>
          <w:rFonts w:ascii="Arial" w:hAnsi="Arial" w:cs="Arial"/>
          <w:szCs w:val="24"/>
        </w:rPr>
        <w:t xml:space="preserve"> states that VA will consider any correspondence with a VA date stamp that does not have a USPS postmark as received no later than February 29, 2020. However, it also clarifies the note of “COVID-19 postmark accepted” is for informational purposes for claims processors and does not negate the requirement to consider other effective date policies that may apply.  In the scenario provided, the Veteran died March 26, 2020.  In this case, it would not be appropriate to use a date of claim that is earlier than the Veteran’s death.  The claims processor should use the Veteran’s date of death as the date of claim as it is the earliest date upon which a valid claim could have been filed. </w:t>
      </w:r>
      <w:r w:rsidR="00C838D6">
        <w:rPr>
          <w:rFonts w:ascii="Arial" w:hAnsi="Arial" w:cs="Arial"/>
          <w:szCs w:val="24"/>
        </w:rPr>
        <w:t xml:space="preserve">This guidance will be clarified in a forthcoming update to Policy Letter 20-02. </w:t>
      </w:r>
    </w:p>
    <w:bookmarkEnd w:id="13"/>
    <w:p w14:paraId="0EC4EBCC" w14:textId="77777777" w:rsidR="007A00DF" w:rsidRDefault="007A00DF" w:rsidP="007A00DF">
      <w:pPr>
        <w:spacing w:after="0" w:line="240" w:lineRule="auto"/>
        <w:rPr>
          <w:rFonts w:ascii="Arial" w:hAnsi="Arial" w:cs="Arial"/>
          <w:szCs w:val="24"/>
        </w:rPr>
      </w:pPr>
    </w:p>
    <w:p w14:paraId="3396A988" w14:textId="77777777" w:rsidR="007A00DF" w:rsidRDefault="007A00DF" w:rsidP="007A00DF">
      <w:pPr>
        <w:spacing w:after="0" w:line="240" w:lineRule="auto"/>
        <w:rPr>
          <w:rFonts w:ascii="Arial" w:hAnsi="Arial" w:cs="Arial"/>
          <w:szCs w:val="24"/>
        </w:rPr>
      </w:pPr>
      <w:r>
        <w:rPr>
          <w:rFonts w:ascii="Arial" w:hAnsi="Arial" w:cs="Arial"/>
          <w:szCs w:val="24"/>
        </w:rPr>
        <w:t xml:space="preserve">The widow applied within a year of the Veteran’s death, therefore income and medical expenses would be counted from the Veteran’s date of death per </w:t>
      </w:r>
      <w:hyperlink r:id="rId18" w:history="1">
        <w:r>
          <w:rPr>
            <w:rStyle w:val="Hyperlink"/>
            <w:rFonts w:ascii="Arial" w:hAnsi="Arial" w:cs="Arial"/>
            <w:szCs w:val="24"/>
          </w:rPr>
          <w:t>M21-1, Part V, Subpart i, 2.1.d.</w:t>
        </w:r>
      </w:hyperlink>
      <w:r>
        <w:rPr>
          <w:rFonts w:ascii="Arial" w:hAnsi="Arial" w:cs="Arial"/>
          <w:szCs w:val="24"/>
        </w:rPr>
        <w:t xml:space="preserve">  The reference says VA does not count income that a surviving spouse or child received before the Veteran’s death which means the claims processor cannot use a February 29, 2020, date of claim.  </w:t>
      </w:r>
      <w:hyperlink r:id="rId19" w:anchor="4" w:history="1">
        <w:r>
          <w:rPr>
            <w:rStyle w:val="Hyperlink"/>
            <w:rFonts w:ascii="Arial" w:hAnsi="Arial" w:cs="Arial"/>
            <w:szCs w:val="24"/>
          </w:rPr>
          <w:t>M21-1, Part V, Subpart iii,1.G.4.n</w:t>
        </w:r>
      </w:hyperlink>
      <w:r>
        <w:rPr>
          <w:rFonts w:ascii="Arial" w:hAnsi="Arial" w:cs="Arial"/>
          <w:szCs w:val="24"/>
        </w:rPr>
        <w:t xml:space="preserve"> also says medical expenses paid between the Veteran’s date of death and 12 months after can be applied against income for the initial year. </w:t>
      </w:r>
    </w:p>
    <w:p w14:paraId="6C970FD8" w14:textId="77777777" w:rsidR="007A00DF" w:rsidRDefault="007A00DF" w:rsidP="007A00DF">
      <w:pPr>
        <w:spacing w:after="0" w:line="240" w:lineRule="auto"/>
        <w:rPr>
          <w:rFonts w:ascii="Arial" w:hAnsi="Arial" w:cs="Arial"/>
          <w:szCs w:val="24"/>
        </w:rPr>
      </w:pPr>
    </w:p>
    <w:p w14:paraId="327EF57F" w14:textId="6EF3EDD2" w:rsidR="008B6CC9" w:rsidRDefault="008B6CC9" w:rsidP="005F42F8">
      <w:pPr>
        <w:spacing w:after="0" w:line="240" w:lineRule="auto"/>
        <w:rPr>
          <w:rFonts w:ascii="Arial" w:hAnsi="Arial" w:cs="Arial"/>
          <w:szCs w:val="24"/>
        </w:rPr>
      </w:pPr>
      <w:r w:rsidRPr="003334F9">
        <w:rPr>
          <w:rFonts w:ascii="Arial" w:hAnsi="Arial" w:cs="Arial"/>
          <w:b/>
        </w:rPr>
        <w:t>Result:</w:t>
      </w:r>
      <w:r w:rsidRPr="003334F9">
        <w:rPr>
          <w:rFonts w:ascii="Arial" w:hAnsi="Arial" w:cs="Arial"/>
        </w:rPr>
        <w:t xml:space="preserve">  </w:t>
      </w:r>
      <w:r w:rsidR="00513B94">
        <w:rPr>
          <w:rFonts w:ascii="Arial" w:hAnsi="Arial" w:cs="Arial"/>
        </w:rPr>
        <w:t>Clarification provide</w:t>
      </w:r>
      <w:r w:rsidR="007A00DF">
        <w:rPr>
          <w:rFonts w:ascii="Arial" w:hAnsi="Arial" w:cs="Arial"/>
        </w:rPr>
        <w:t>d</w:t>
      </w:r>
      <w:r w:rsidR="005F42F8">
        <w:rPr>
          <w:rFonts w:ascii="Arial" w:hAnsi="Arial" w:cs="Arial"/>
          <w:szCs w:val="24"/>
        </w:rPr>
        <w:t>.</w:t>
      </w:r>
    </w:p>
    <w:p w14:paraId="62DFDA78" w14:textId="73BB6567" w:rsidR="00424784" w:rsidRPr="00824543" w:rsidRDefault="001D3EE2" w:rsidP="00424784">
      <w:pPr>
        <w:pStyle w:val="Heading1"/>
        <w:rPr>
          <w:rFonts w:ascii="Arial" w:hAnsi="Arial" w:cs="Arial"/>
        </w:rPr>
      </w:pPr>
      <w:bookmarkStart w:id="14" w:name="_Toc45875961"/>
      <w:r w:rsidRPr="001D3EE2">
        <w:rPr>
          <w:rFonts w:ascii="Arial" w:hAnsi="Arial" w:cs="Arial"/>
        </w:rPr>
        <w:t>Question regarding survivor pension HLRs</w:t>
      </w:r>
      <w:bookmarkEnd w:id="14"/>
    </w:p>
    <w:p w14:paraId="40CD0A21" w14:textId="77777777" w:rsidR="00424784" w:rsidRPr="00CD5A9A" w:rsidRDefault="00424784" w:rsidP="00CD5A9A">
      <w:pPr>
        <w:spacing w:after="0" w:line="240" w:lineRule="auto"/>
        <w:rPr>
          <w:rFonts w:ascii="Arial" w:eastAsia="Times New Roman" w:hAnsi="Arial" w:cs="Arial"/>
          <w:szCs w:val="24"/>
        </w:rPr>
      </w:pPr>
      <w:r w:rsidRPr="00CD5A9A">
        <w:rPr>
          <w:rFonts w:ascii="Arial" w:hAnsi="Arial" w:cs="Arial"/>
          <w:b/>
          <w:szCs w:val="24"/>
        </w:rPr>
        <w:t>Target Audience</w:t>
      </w:r>
      <w:r w:rsidRPr="00CD5A9A">
        <w:rPr>
          <w:rFonts w:ascii="Arial" w:hAnsi="Arial" w:cs="Arial"/>
          <w:szCs w:val="24"/>
        </w:rPr>
        <w:t>:</w:t>
      </w:r>
      <w:r w:rsidRPr="00CD5A9A">
        <w:rPr>
          <w:rFonts w:ascii="Arial" w:eastAsia="Times New Roman" w:hAnsi="Arial" w:cs="Arial"/>
          <w:szCs w:val="24"/>
        </w:rPr>
        <w:t xml:space="preserve"> </w:t>
      </w:r>
      <w:r w:rsidRPr="00CD5A9A">
        <w:rPr>
          <w:rFonts w:ascii="Arial" w:hAnsi="Arial" w:cs="Arial"/>
          <w:szCs w:val="24"/>
        </w:rPr>
        <w:t>PMC Claims Processors</w:t>
      </w:r>
    </w:p>
    <w:p w14:paraId="150A7A58" w14:textId="77777777" w:rsidR="00424784" w:rsidRPr="00CD5A9A" w:rsidRDefault="00424784" w:rsidP="00CD5A9A">
      <w:pPr>
        <w:spacing w:after="0" w:line="240" w:lineRule="auto"/>
        <w:rPr>
          <w:rFonts w:ascii="Arial" w:hAnsi="Arial" w:cs="Arial"/>
          <w:szCs w:val="24"/>
        </w:rPr>
      </w:pPr>
    </w:p>
    <w:p w14:paraId="03D445A7" w14:textId="75CC3BD6" w:rsidR="001D3EE2" w:rsidRDefault="00424784" w:rsidP="001D3EE2">
      <w:pPr>
        <w:pStyle w:val="PlainText"/>
        <w:rPr>
          <w:rFonts w:ascii="Arial" w:hAnsi="Arial" w:cs="Arial"/>
          <w:sz w:val="24"/>
          <w:szCs w:val="24"/>
        </w:rPr>
      </w:pPr>
      <w:r w:rsidRPr="00CD5A9A">
        <w:rPr>
          <w:rFonts w:ascii="Arial" w:hAnsi="Arial" w:cs="Arial"/>
          <w:b/>
          <w:sz w:val="24"/>
          <w:szCs w:val="24"/>
        </w:rPr>
        <w:t xml:space="preserve">Question:  </w:t>
      </w:r>
      <w:r w:rsidR="001D3EE2" w:rsidRPr="001D3EE2">
        <w:rPr>
          <w:rFonts w:ascii="Arial" w:hAnsi="Arial" w:cs="Arial"/>
          <w:sz w:val="24"/>
          <w:szCs w:val="24"/>
        </w:rPr>
        <w:t xml:space="preserve">We have a question regarding Higher Level Review requests and Survivor Pension.  We recognize that when we receive a VA Form 21-534EZ, we must make a decision on all three benefits M21-1 III.ii.2.B.1.k.  There are times when required information for the Survivor Pension portion of the claim is not provided (particularly </w:t>
      </w:r>
      <w:r w:rsidR="001D3EE2" w:rsidRPr="001D3EE2">
        <w:rPr>
          <w:rFonts w:ascii="Arial" w:hAnsi="Arial" w:cs="Arial"/>
          <w:sz w:val="24"/>
          <w:szCs w:val="24"/>
        </w:rPr>
        <w:lastRenderedPageBreak/>
        <w:t xml:space="preserve">information regarding income, net worth and expenses).  In those cases, we would typically deny the Survivor Pension claim by noting the requested information was not provided to make a complete determination regarding entitlement to Survivor Pension and we would provide favorable findings as applicable.  These types of cases are often processed as 140s where the survivor may have even noted that he/she is only seeking DIC benefits.  </w:t>
      </w:r>
    </w:p>
    <w:p w14:paraId="37206931" w14:textId="77777777" w:rsidR="001D3EE2" w:rsidRPr="001D3EE2" w:rsidRDefault="001D3EE2" w:rsidP="001D3EE2">
      <w:pPr>
        <w:pStyle w:val="PlainText"/>
        <w:rPr>
          <w:rFonts w:ascii="Arial" w:hAnsi="Arial" w:cs="Arial"/>
          <w:sz w:val="24"/>
          <w:szCs w:val="24"/>
        </w:rPr>
      </w:pPr>
    </w:p>
    <w:p w14:paraId="3C88C49D" w14:textId="4462E319" w:rsidR="001240E6" w:rsidRDefault="001D3EE2" w:rsidP="001D3EE2">
      <w:pPr>
        <w:pStyle w:val="PlainText"/>
        <w:rPr>
          <w:rFonts w:ascii="Arial" w:hAnsi="Arial" w:cs="Arial"/>
          <w:sz w:val="24"/>
          <w:szCs w:val="24"/>
        </w:rPr>
      </w:pPr>
      <w:r w:rsidRPr="001D3EE2">
        <w:rPr>
          <w:rFonts w:ascii="Arial" w:hAnsi="Arial" w:cs="Arial"/>
          <w:sz w:val="24"/>
          <w:szCs w:val="24"/>
        </w:rPr>
        <w:t>The question we have is how should we address a higher level review for Survivor Pension that might come subsequent to this decision?  Should we simply uphold the Survivor Pension decision (denied/not considered because we did not receive income/net worth information with the original claim) or should this be considered a DTA error under M21-5 5.a?</w:t>
      </w:r>
    </w:p>
    <w:p w14:paraId="20AF07D5" w14:textId="77777777" w:rsidR="001D3EE2" w:rsidRPr="001240E6" w:rsidRDefault="001D3EE2" w:rsidP="001D3EE2">
      <w:pPr>
        <w:pStyle w:val="PlainText"/>
        <w:rPr>
          <w:rFonts w:ascii="Arial" w:hAnsi="Arial" w:cs="Arial"/>
          <w:szCs w:val="24"/>
        </w:rPr>
      </w:pPr>
    </w:p>
    <w:p w14:paraId="26E64ED8" w14:textId="77777777" w:rsidR="001D3EE2" w:rsidRDefault="00424784" w:rsidP="001D3EE2">
      <w:pPr>
        <w:pStyle w:val="NormalWeb"/>
        <w:spacing w:before="0" w:beforeAutospacing="0" w:after="0" w:afterAutospacing="0"/>
        <w:rPr>
          <w:rFonts w:ascii="Arial" w:hAnsi="Arial" w:cs="Arial"/>
          <w:color w:val="000000"/>
        </w:rPr>
      </w:pPr>
      <w:r w:rsidRPr="00CD5A9A">
        <w:rPr>
          <w:rFonts w:ascii="Arial" w:hAnsi="Arial" w:cs="Arial"/>
          <w:b/>
        </w:rPr>
        <w:t>Response</w:t>
      </w:r>
      <w:r w:rsidRPr="00CD5A9A">
        <w:rPr>
          <w:rFonts w:ascii="Arial" w:hAnsi="Arial" w:cs="Arial"/>
        </w:rPr>
        <w:t xml:space="preserve">:  </w:t>
      </w:r>
      <w:r w:rsidR="001D3EE2">
        <w:rPr>
          <w:rFonts w:ascii="Arial" w:hAnsi="Arial" w:cs="Arial"/>
          <w:color w:val="000000"/>
        </w:rPr>
        <w:t>In one of the scenarios you provided, a VA Form 21P-534, Application For Dependency And Indemnity Compensation (DIC), Survivors Pension and Accrued Benefits by a Surviving Spouse or Child (Including Death Compensation if Applicable), was received and on the application the claimant indicated the application was solely for DIC. In these instances, you indicated, typically, Survivors Pension is denied due to the claimant not providing information to make a complete determination regarding entitlement and in the decision letter, favorable findings regarding Survivors Pension are provided.</w:t>
      </w:r>
    </w:p>
    <w:p w14:paraId="6C6B870A" w14:textId="77777777" w:rsidR="001D3EE2" w:rsidRDefault="001D3EE2" w:rsidP="001D3EE2">
      <w:pPr>
        <w:pStyle w:val="NormalWeb"/>
        <w:spacing w:before="0" w:beforeAutospacing="0" w:after="0" w:afterAutospacing="0"/>
        <w:rPr>
          <w:rFonts w:ascii="Arial" w:hAnsi="Arial" w:cs="Arial"/>
          <w:color w:val="000000"/>
        </w:rPr>
      </w:pPr>
    </w:p>
    <w:p w14:paraId="74286AEA" w14:textId="77777777" w:rsidR="001D3EE2" w:rsidRDefault="001D3EE2" w:rsidP="001D3EE2">
      <w:pPr>
        <w:pStyle w:val="NormalWeb"/>
        <w:spacing w:before="0" w:beforeAutospacing="0" w:after="0" w:afterAutospacing="0"/>
        <w:rPr>
          <w:rFonts w:ascii="Arial" w:hAnsi="Arial" w:cs="Arial"/>
          <w:color w:val="000000"/>
        </w:rPr>
      </w:pPr>
      <w:r>
        <w:rPr>
          <w:rFonts w:ascii="Arial" w:hAnsi="Arial" w:cs="Arial"/>
          <w:color w:val="000000"/>
        </w:rPr>
        <w:t>In this instance where DIC is specifically claimed, this would not result in a higher-level review (HLR) Duty to Assist (DTA) error. M21-1, Part IV, Subpart iii, 1.B.1.c specifically denotes that no development should occur when a claimant alleges the death of the Veteran was service-connected and all income and net worth information was omitted. However, the decision notice should not include favorable findings for Survivors Pension, and instead the claimant should be informed that</w:t>
      </w:r>
    </w:p>
    <w:p w14:paraId="4D9A7C95" w14:textId="77777777" w:rsidR="001D3EE2" w:rsidRDefault="001D3EE2" w:rsidP="001D3EE2">
      <w:pPr>
        <w:pStyle w:val="NormalWeb"/>
        <w:spacing w:before="0" w:beforeAutospacing="0" w:after="0" w:afterAutospacing="0"/>
        <w:rPr>
          <w:rFonts w:ascii="Arial" w:hAnsi="Arial" w:cs="Arial"/>
          <w:color w:val="000000"/>
        </w:rPr>
      </w:pPr>
    </w:p>
    <w:p w14:paraId="3AAA376C" w14:textId="77777777" w:rsidR="001D3EE2" w:rsidRDefault="001D3EE2" w:rsidP="001D3EE2">
      <w:pPr>
        <w:numPr>
          <w:ilvl w:val="0"/>
          <w:numId w:val="37"/>
        </w:numPr>
        <w:spacing w:after="0" w:line="240" w:lineRule="auto"/>
        <w:rPr>
          <w:rFonts w:ascii="Arial" w:eastAsia="Times New Roman" w:hAnsi="Arial" w:cs="Arial"/>
          <w:color w:val="000000"/>
          <w:szCs w:val="24"/>
        </w:rPr>
      </w:pPr>
      <w:r>
        <w:rPr>
          <w:rFonts w:ascii="Arial" w:eastAsia="Times New Roman" w:hAnsi="Arial" w:cs="Arial"/>
          <w:color w:val="000000"/>
          <w:szCs w:val="24"/>
        </w:rPr>
        <w:t xml:space="preserve">because no income or net worth information was provided on the application, VA considers the pension portion of the claim to be incomplete </w:t>
      </w:r>
    </w:p>
    <w:p w14:paraId="2F1CF52A" w14:textId="77777777" w:rsidR="001D3EE2" w:rsidRDefault="001D3EE2" w:rsidP="001D3EE2">
      <w:pPr>
        <w:numPr>
          <w:ilvl w:val="0"/>
          <w:numId w:val="37"/>
        </w:numPr>
        <w:spacing w:after="0" w:line="240" w:lineRule="auto"/>
        <w:rPr>
          <w:rFonts w:ascii="Arial" w:eastAsia="Times New Roman" w:hAnsi="Arial" w:cs="Arial"/>
          <w:color w:val="000000"/>
          <w:szCs w:val="24"/>
        </w:rPr>
      </w:pPr>
      <w:r>
        <w:rPr>
          <w:rFonts w:ascii="Arial" w:eastAsia="Times New Roman" w:hAnsi="Arial" w:cs="Arial"/>
          <w:color w:val="000000"/>
          <w:szCs w:val="24"/>
        </w:rPr>
        <w:t>if they wish to claim pension, they should submit a completed VA Form 21P-534EZ within one year after the date of the letter, and</w:t>
      </w:r>
    </w:p>
    <w:p w14:paraId="04F61850" w14:textId="77777777" w:rsidR="001D3EE2" w:rsidRDefault="001D3EE2" w:rsidP="001D3EE2">
      <w:pPr>
        <w:numPr>
          <w:ilvl w:val="0"/>
          <w:numId w:val="37"/>
        </w:numPr>
        <w:spacing w:after="0" w:line="240" w:lineRule="auto"/>
        <w:rPr>
          <w:rFonts w:ascii="Arial" w:eastAsia="Times New Roman" w:hAnsi="Arial" w:cs="Arial"/>
          <w:color w:val="000000"/>
          <w:szCs w:val="24"/>
        </w:rPr>
      </w:pPr>
      <w:r>
        <w:rPr>
          <w:rFonts w:ascii="Arial" w:eastAsia="Times New Roman" w:hAnsi="Arial" w:cs="Arial"/>
          <w:color w:val="000000"/>
          <w:szCs w:val="24"/>
        </w:rPr>
        <w:t xml:space="preserve">if they do not wish to claim pension, no further action is needed. </w:t>
      </w:r>
    </w:p>
    <w:p w14:paraId="700F768C" w14:textId="77777777" w:rsidR="001D3EE2" w:rsidRDefault="001D3EE2" w:rsidP="001D3EE2">
      <w:pPr>
        <w:pStyle w:val="NormalWeb"/>
        <w:spacing w:before="0" w:beforeAutospacing="0" w:after="0" w:afterAutospacing="0"/>
        <w:ind w:left="720"/>
        <w:rPr>
          <w:rFonts w:ascii="Arial" w:hAnsi="Arial" w:cs="Arial"/>
          <w:color w:val="000000"/>
        </w:rPr>
      </w:pPr>
    </w:p>
    <w:p w14:paraId="1C43CFA0" w14:textId="77777777" w:rsidR="001D3EE2" w:rsidRDefault="001D3EE2" w:rsidP="001D3EE2">
      <w:pPr>
        <w:pStyle w:val="NormalWeb"/>
        <w:spacing w:before="0" w:beforeAutospacing="0" w:after="0" w:afterAutospacing="0"/>
        <w:rPr>
          <w:rFonts w:ascii="Arial" w:hAnsi="Arial" w:cs="Arial"/>
          <w:color w:val="000000"/>
        </w:rPr>
      </w:pPr>
      <w:r>
        <w:rPr>
          <w:rFonts w:ascii="Arial" w:hAnsi="Arial" w:cs="Arial"/>
          <w:color w:val="000000"/>
        </w:rPr>
        <w:t>In any other scenario where a VA Form 21P-534 is received, and the claimant has not specifically indicated that the application is solely service-connected death/DIC, and development for Survivors Pension does not occur, an HLR DTA error exists.</w:t>
      </w:r>
    </w:p>
    <w:p w14:paraId="6977DF06" w14:textId="77777777" w:rsidR="001D3EE2" w:rsidRPr="00CD5A9A" w:rsidRDefault="001D3EE2" w:rsidP="001D3EE2">
      <w:pPr>
        <w:spacing w:after="0" w:line="240" w:lineRule="auto"/>
        <w:rPr>
          <w:rFonts w:ascii="Arial" w:hAnsi="Arial" w:cs="Arial"/>
          <w:szCs w:val="24"/>
        </w:rPr>
      </w:pPr>
    </w:p>
    <w:p w14:paraId="49742693" w14:textId="4A12CC76" w:rsidR="00424784" w:rsidRPr="00CD5A9A" w:rsidRDefault="00424784" w:rsidP="00CD5A9A">
      <w:pPr>
        <w:spacing w:after="0" w:line="240" w:lineRule="auto"/>
        <w:rPr>
          <w:rFonts w:ascii="Arial" w:hAnsi="Arial" w:cs="Arial"/>
          <w:szCs w:val="24"/>
        </w:rPr>
      </w:pPr>
      <w:r w:rsidRPr="00CD5A9A">
        <w:rPr>
          <w:rFonts w:ascii="Arial" w:hAnsi="Arial" w:cs="Arial"/>
          <w:b/>
          <w:szCs w:val="24"/>
        </w:rPr>
        <w:t>Result:</w:t>
      </w:r>
      <w:r w:rsidRPr="00CD5A9A">
        <w:rPr>
          <w:rFonts w:ascii="Arial" w:hAnsi="Arial" w:cs="Arial"/>
          <w:szCs w:val="24"/>
        </w:rPr>
        <w:t xml:space="preserve">  </w:t>
      </w:r>
      <w:r w:rsidR="007725A7" w:rsidRPr="00CD5A9A">
        <w:rPr>
          <w:rFonts w:ascii="Arial" w:hAnsi="Arial" w:cs="Arial"/>
          <w:szCs w:val="24"/>
        </w:rPr>
        <w:t>Clarification provided</w:t>
      </w:r>
      <w:r w:rsidRPr="00CD5A9A">
        <w:rPr>
          <w:rFonts w:ascii="Arial" w:hAnsi="Arial" w:cs="Arial"/>
          <w:szCs w:val="24"/>
        </w:rPr>
        <w:t>.</w:t>
      </w:r>
    </w:p>
    <w:p w14:paraId="7D8593A7" w14:textId="0833AA31" w:rsidR="00CD5A9A" w:rsidRPr="00824543" w:rsidRDefault="00DB362F" w:rsidP="00CD5A9A">
      <w:pPr>
        <w:pStyle w:val="Heading1"/>
        <w:rPr>
          <w:rFonts w:ascii="Arial" w:hAnsi="Arial" w:cs="Arial"/>
        </w:rPr>
      </w:pPr>
      <w:bookmarkStart w:id="15" w:name="_Toc45875962"/>
      <w:r>
        <w:rPr>
          <w:rFonts w:ascii="Arial" w:hAnsi="Arial" w:cs="Arial"/>
        </w:rPr>
        <w:t>Question Regarding Hearings and EP Control</w:t>
      </w:r>
      <w:bookmarkEnd w:id="15"/>
    </w:p>
    <w:p w14:paraId="087E58F8" w14:textId="6BFBBEF3" w:rsidR="00CD5A9A" w:rsidRPr="003334F9" w:rsidRDefault="00CD5A9A" w:rsidP="00CD5A9A">
      <w:pPr>
        <w:spacing w:after="0" w:line="240" w:lineRule="auto"/>
        <w:rPr>
          <w:rFonts w:ascii="Arial" w:eastAsia="Times New Roman" w:hAnsi="Arial" w:cs="Arial"/>
          <w:szCs w:val="24"/>
        </w:rPr>
      </w:pPr>
      <w:r w:rsidRPr="003334F9">
        <w:rPr>
          <w:rFonts w:ascii="Arial" w:hAnsi="Arial" w:cs="Arial"/>
          <w:b/>
          <w:szCs w:val="24"/>
        </w:rPr>
        <w:t>Target Audience</w:t>
      </w:r>
      <w:r w:rsidRPr="003334F9">
        <w:rPr>
          <w:rFonts w:ascii="Arial" w:hAnsi="Arial" w:cs="Arial"/>
          <w:szCs w:val="24"/>
        </w:rPr>
        <w:t>:</w:t>
      </w:r>
      <w:r w:rsidRPr="003334F9">
        <w:rPr>
          <w:rFonts w:ascii="Arial" w:eastAsia="Times New Roman" w:hAnsi="Arial" w:cs="Arial"/>
          <w:szCs w:val="24"/>
        </w:rPr>
        <w:t xml:space="preserve"> </w:t>
      </w:r>
      <w:r w:rsidR="00ED5825" w:rsidRPr="00ED5825">
        <w:rPr>
          <w:rFonts w:ascii="Arial" w:hAnsi="Arial" w:cs="Arial"/>
        </w:rPr>
        <w:t>PMC claims processors</w:t>
      </w:r>
    </w:p>
    <w:p w14:paraId="7227D9C3" w14:textId="77777777" w:rsidR="00CD5A9A" w:rsidRPr="00ED5825" w:rsidRDefault="00CD5A9A" w:rsidP="00ED5825">
      <w:pPr>
        <w:spacing w:after="0" w:line="240" w:lineRule="auto"/>
        <w:rPr>
          <w:rFonts w:ascii="Arial" w:hAnsi="Arial" w:cs="Arial"/>
          <w:szCs w:val="24"/>
        </w:rPr>
      </w:pPr>
    </w:p>
    <w:p w14:paraId="74D3C092" w14:textId="2E61BE0B" w:rsidR="00DB362F" w:rsidRDefault="00CD5A9A" w:rsidP="00DB362F">
      <w:pPr>
        <w:pStyle w:val="PlainText"/>
        <w:rPr>
          <w:rFonts w:ascii="Arial" w:hAnsi="Arial" w:cs="Arial"/>
          <w:bCs/>
          <w:sz w:val="24"/>
          <w:szCs w:val="28"/>
        </w:rPr>
      </w:pPr>
      <w:r w:rsidRPr="00DB362F">
        <w:rPr>
          <w:rFonts w:ascii="Arial" w:hAnsi="Arial" w:cs="Arial"/>
          <w:b/>
          <w:sz w:val="24"/>
          <w:szCs w:val="28"/>
        </w:rPr>
        <w:lastRenderedPageBreak/>
        <w:t xml:space="preserve">Question:  </w:t>
      </w:r>
      <w:r w:rsidR="00DB362F" w:rsidRPr="00DB362F">
        <w:rPr>
          <w:rFonts w:ascii="Arial" w:hAnsi="Arial" w:cs="Arial"/>
          <w:bCs/>
          <w:sz w:val="24"/>
          <w:szCs w:val="28"/>
        </w:rPr>
        <w:t xml:space="preserve">We have a question regarding hearings and proper control of them.  We are specifically asking about non appeals related hearings.  M21-1 MR I.4.1.a states that post-determination or post- decisional hearings can be held on matters related to an adjudicated issue in connection with a proposed reduction or termination where the claimant or beneficiary requested a pre-decisional hearing but the hearing request was not timely.   M21-1 MR III.ii.3.D.4.a outlines the steps to control these requests, via a special issue and tracked item.   However step 3 states that if the issue is no longer pending as part of a legacy appeal or claim, we would follow the request for application process.  </w:t>
      </w:r>
    </w:p>
    <w:p w14:paraId="60455D0F" w14:textId="77777777" w:rsidR="00DB362F" w:rsidRPr="00DB362F" w:rsidRDefault="00DB362F" w:rsidP="00DB362F">
      <w:pPr>
        <w:pStyle w:val="PlainText"/>
        <w:rPr>
          <w:rFonts w:ascii="Arial" w:hAnsi="Arial" w:cs="Arial"/>
          <w:bCs/>
          <w:sz w:val="24"/>
          <w:szCs w:val="28"/>
        </w:rPr>
      </w:pPr>
    </w:p>
    <w:p w14:paraId="7A8FA80E" w14:textId="77777777" w:rsidR="00DB362F" w:rsidRPr="00DB362F" w:rsidRDefault="00DB362F" w:rsidP="00DB362F">
      <w:pPr>
        <w:pStyle w:val="PlainText"/>
        <w:rPr>
          <w:rFonts w:ascii="Arial" w:hAnsi="Arial" w:cs="Arial"/>
          <w:bCs/>
          <w:sz w:val="24"/>
          <w:szCs w:val="28"/>
        </w:rPr>
      </w:pPr>
      <w:r w:rsidRPr="00DB362F">
        <w:rPr>
          <w:rFonts w:ascii="Arial" w:hAnsi="Arial" w:cs="Arial"/>
          <w:bCs/>
          <w:sz w:val="24"/>
          <w:szCs w:val="28"/>
        </w:rPr>
        <w:t>Our question is, can someone have a hearing if they request it after VA has made the adverse decision?  Or can they only request and have hearings if submitted at some point within the due process period?   If they can have a hearing after VA has made an adverse decision, what is the proper method to control that (since the underlying EP will be cleared)?</w:t>
      </w:r>
    </w:p>
    <w:p w14:paraId="5F2C22BD" w14:textId="77777777" w:rsidR="00DB362F" w:rsidRDefault="00DB362F" w:rsidP="00DB362F">
      <w:pPr>
        <w:pStyle w:val="PlainText"/>
        <w:rPr>
          <w:rFonts w:ascii="Arial" w:hAnsi="Arial" w:cs="Arial"/>
          <w:bCs/>
          <w:sz w:val="24"/>
          <w:szCs w:val="28"/>
        </w:rPr>
      </w:pPr>
    </w:p>
    <w:p w14:paraId="7E3F1F1B" w14:textId="600FF4B8" w:rsidR="00DB362F" w:rsidRPr="00DB362F" w:rsidRDefault="00DB362F" w:rsidP="00DB362F">
      <w:pPr>
        <w:pStyle w:val="PlainText"/>
        <w:rPr>
          <w:rFonts w:ascii="Arial" w:hAnsi="Arial" w:cs="Arial"/>
          <w:bCs/>
          <w:sz w:val="24"/>
          <w:szCs w:val="28"/>
        </w:rPr>
      </w:pPr>
      <w:r w:rsidRPr="00DB362F">
        <w:rPr>
          <w:rFonts w:ascii="Arial" w:hAnsi="Arial" w:cs="Arial"/>
          <w:bCs/>
          <w:sz w:val="24"/>
          <w:szCs w:val="28"/>
        </w:rPr>
        <w:t xml:space="preserve">Example:  Veteran is provided due process to stop VA Pension due to Social Security on May 18, 2020.  If on June 1, 2020 we receive a hearing request, we would add tracked item/special issue, schedule hearing, and delay action until hearing is held (because request was within 30 days).  If on July 1, 2020 we receive a hearing request we would add tracked item/special issue, schedule hearing, but would take action prior to hearing being held (because request was not within 30 days) but continue EP to manage the hearing issue.  But what if we took action on July 30, 2020 (due process expired) and a hearing request was received August 1, 2020?  Is the Veteran not entitled to a hearing then?  If they are entitled to a hearing, how do we manage the case?  </w:t>
      </w:r>
    </w:p>
    <w:p w14:paraId="4FE0F5A3" w14:textId="77777777" w:rsidR="00DB362F" w:rsidRPr="00DB362F" w:rsidRDefault="00DB362F" w:rsidP="00990696">
      <w:pPr>
        <w:pStyle w:val="PlainText"/>
        <w:rPr>
          <w:rFonts w:ascii="Arial" w:hAnsi="Arial" w:cs="Arial"/>
          <w:b/>
          <w:sz w:val="24"/>
          <w:szCs w:val="28"/>
        </w:rPr>
      </w:pPr>
    </w:p>
    <w:p w14:paraId="698368E7" w14:textId="4804C56E" w:rsidR="00DB362F" w:rsidRDefault="00990696" w:rsidP="00DB362F">
      <w:pPr>
        <w:pStyle w:val="PlainText"/>
        <w:rPr>
          <w:rFonts w:ascii="Arial" w:hAnsi="Arial" w:cs="Arial"/>
          <w:sz w:val="24"/>
          <w:szCs w:val="24"/>
        </w:rPr>
      </w:pPr>
      <w:r>
        <w:rPr>
          <w:rFonts w:ascii="Arial" w:hAnsi="Arial" w:cs="Arial"/>
          <w:b/>
          <w:bCs/>
          <w:sz w:val="24"/>
          <w:szCs w:val="24"/>
        </w:rPr>
        <w:t>Response</w:t>
      </w:r>
      <w:r w:rsidRPr="00990696">
        <w:rPr>
          <w:rFonts w:ascii="Arial" w:hAnsi="Arial" w:cs="Arial"/>
          <w:sz w:val="24"/>
          <w:szCs w:val="24"/>
        </w:rPr>
        <w:t xml:space="preserve">: </w:t>
      </w:r>
      <w:r w:rsidR="00DB362F">
        <w:rPr>
          <w:rFonts w:ascii="Arial" w:hAnsi="Arial" w:cs="Arial"/>
          <w:sz w:val="24"/>
          <w:szCs w:val="24"/>
        </w:rPr>
        <w:t xml:space="preserve"> According to </w:t>
      </w:r>
      <w:bookmarkStart w:id="16" w:name="_Hlk41489748"/>
      <w:r w:rsidR="00DB362F">
        <w:rPr>
          <w:rFonts w:ascii="Arial" w:hAnsi="Arial" w:cs="Arial"/>
          <w:sz w:val="24"/>
          <w:szCs w:val="24"/>
        </w:rPr>
        <w:fldChar w:fldCharType="begin"/>
      </w:r>
      <w:r w:rsidR="00DB362F">
        <w:rPr>
          <w:rFonts w:ascii="Arial" w:hAnsi="Arial" w:cs="Arial"/>
          <w:sz w:val="24"/>
          <w:szCs w:val="24"/>
        </w:rPr>
        <w:instrText xml:space="preserve"> HYPERLINK "https://www.ecfr.gov/cgi-bin/retrieveECFR?gp=&amp;SID=8d438f42c7076eff0071d1c3c192a806&amp;mc=true&amp;n=pt38.1.3&amp;r=PART&amp;ty=HTML" \l "se38.1.3_1103" </w:instrText>
      </w:r>
      <w:r w:rsidR="00DB362F">
        <w:rPr>
          <w:rFonts w:ascii="Arial" w:hAnsi="Arial" w:cs="Arial"/>
          <w:sz w:val="24"/>
          <w:szCs w:val="24"/>
        </w:rPr>
        <w:fldChar w:fldCharType="separate"/>
      </w:r>
      <w:r w:rsidR="00DB362F">
        <w:rPr>
          <w:rStyle w:val="Hyperlink"/>
          <w:rFonts w:ascii="Arial" w:hAnsi="Arial" w:cs="Arial"/>
          <w:sz w:val="24"/>
          <w:szCs w:val="24"/>
        </w:rPr>
        <w:t>38 CFR 3.103(d)</w:t>
      </w:r>
      <w:r w:rsidR="00DB362F">
        <w:rPr>
          <w:rFonts w:ascii="Arial" w:hAnsi="Arial" w:cs="Arial"/>
          <w:sz w:val="24"/>
          <w:szCs w:val="24"/>
        </w:rPr>
        <w:fldChar w:fldCharType="end"/>
      </w:r>
      <w:bookmarkEnd w:id="16"/>
      <w:r w:rsidR="00DB362F">
        <w:rPr>
          <w:rFonts w:ascii="Arial" w:hAnsi="Arial" w:cs="Arial"/>
          <w:sz w:val="24"/>
          <w:szCs w:val="24"/>
        </w:rPr>
        <w:t xml:space="preserve"> a claimant is entitled to a hearing on any issue involved in a claim </w:t>
      </w:r>
      <w:r w:rsidR="00DB362F">
        <w:rPr>
          <w:rFonts w:ascii="Arial" w:hAnsi="Arial" w:cs="Arial"/>
          <w:i/>
          <w:iCs/>
          <w:sz w:val="24"/>
          <w:szCs w:val="24"/>
        </w:rPr>
        <w:t xml:space="preserve">before </w:t>
      </w:r>
      <w:r w:rsidR="00DB362F">
        <w:rPr>
          <w:rFonts w:ascii="Arial" w:hAnsi="Arial" w:cs="Arial"/>
          <w:sz w:val="24"/>
          <w:szCs w:val="24"/>
        </w:rPr>
        <w:t xml:space="preserve">VA issues a notice of a decision on an initial or supplemental claim.  </w:t>
      </w:r>
    </w:p>
    <w:p w14:paraId="715C63A5" w14:textId="77777777" w:rsidR="00DB362F" w:rsidRDefault="00DB362F" w:rsidP="00DB362F">
      <w:pPr>
        <w:spacing w:after="0" w:line="240" w:lineRule="auto"/>
        <w:rPr>
          <w:rFonts w:ascii="Arial" w:hAnsi="Arial" w:cs="Arial"/>
          <w:szCs w:val="24"/>
        </w:rPr>
      </w:pPr>
    </w:p>
    <w:p w14:paraId="0067A935" w14:textId="77777777" w:rsidR="00DB362F" w:rsidRDefault="00DB362F" w:rsidP="00DB362F">
      <w:pPr>
        <w:spacing w:after="0" w:line="240" w:lineRule="auto"/>
        <w:rPr>
          <w:rFonts w:ascii="Arial" w:hAnsi="Arial" w:cs="Arial"/>
          <w:szCs w:val="24"/>
        </w:rPr>
      </w:pPr>
      <w:r>
        <w:rPr>
          <w:rFonts w:ascii="Arial" w:hAnsi="Arial" w:cs="Arial"/>
          <w:szCs w:val="24"/>
        </w:rPr>
        <w:t xml:space="preserve">A claimant can request a hearing more than 30 days after a notice of proposed adverse action while the EP remains pending.  However, if the hearing is requested on an issue that is no longer pending, as part of a legacy appeal or claim, claims processors must follow </w:t>
      </w:r>
      <w:hyperlink r:id="rId20" w:anchor="4" w:history="1">
        <w:r>
          <w:rPr>
            <w:rStyle w:val="Hyperlink"/>
            <w:rFonts w:ascii="Arial" w:hAnsi="Arial" w:cs="Arial"/>
            <w:szCs w:val="24"/>
          </w:rPr>
          <w:t>M21-1, Part III, Subpart ii, 3.D.4.a</w:t>
        </w:r>
      </w:hyperlink>
      <w:r>
        <w:rPr>
          <w:rFonts w:ascii="Arial" w:hAnsi="Arial" w:cs="Arial"/>
          <w:szCs w:val="24"/>
        </w:rPr>
        <w:t xml:space="preserve">, specifically, Step 3,  and send the claimant a request for application letter. </w:t>
      </w:r>
    </w:p>
    <w:p w14:paraId="23D2F7E6" w14:textId="77777777" w:rsidR="00DB362F" w:rsidRDefault="00DB362F" w:rsidP="00DB362F">
      <w:pPr>
        <w:spacing w:after="0" w:line="240" w:lineRule="auto"/>
        <w:rPr>
          <w:rFonts w:ascii="Arial" w:hAnsi="Arial" w:cs="Arial"/>
          <w:szCs w:val="24"/>
        </w:rPr>
      </w:pPr>
    </w:p>
    <w:p w14:paraId="6F7CFB62" w14:textId="40189DB4" w:rsidR="00DB362F" w:rsidRDefault="00F43DDD" w:rsidP="00DB362F">
      <w:pPr>
        <w:spacing w:after="0" w:line="240" w:lineRule="auto"/>
        <w:rPr>
          <w:rFonts w:ascii="Arial" w:hAnsi="Arial" w:cs="Arial"/>
          <w:szCs w:val="24"/>
        </w:rPr>
      </w:pPr>
      <w:r>
        <w:rPr>
          <w:rFonts w:ascii="Arial" w:hAnsi="Arial" w:cs="Arial"/>
          <w:szCs w:val="24"/>
        </w:rPr>
        <w:t>Therefore,</w:t>
      </w:r>
      <w:r w:rsidR="00DB362F">
        <w:rPr>
          <w:rFonts w:ascii="Arial" w:hAnsi="Arial" w:cs="Arial"/>
          <w:szCs w:val="24"/>
        </w:rPr>
        <w:t xml:space="preserve"> in the example provided, on July 30, 2020 due process expired and a hearing request was received on August 1, 2020.  The Veteran is not entitled to a hearing and we would send him a request for application. </w:t>
      </w:r>
    </w:p>
    <w:p w14:paraId="28C4DC1C" w14:textId="77777777" w:rsidR="00DB362F" w:rsidRDefault="00DB362F" w:rsidP="00DB362F">
      <w:pPr>
        <w:spacing w:after="0" w:line="240" w:lineRule="auto"/>
        <w:rPr>
          <w:rFonts w:ascii="Arial" w:hAnsi="Arial" w:cs="Arial"/>
          <w:szCs w:val="24"/>
        </w:rPr>
      </w:pPr>
    </w:p>
    <w:p w14:paraId="233CDB3E" w14:textId="77777777" w:rsidR="00DB362F" w:rsidRDefault="00DB362F" w:rsidP="00DB362F">
      <w:pPr>
        <w:spacing w:after="0" w:line="240" w:lineRule="auto"/>
        <w:rPr>
          <w:rFonts w:ascii="Arial" w:hAnsi="Arial" w:cs="Arial"/>
          <w:szCs w:val="24"/>
        </w:rPr>
      </w:pPr>
      <w:r>
        <w:rPr>
          <w:rFonts w:ascii="Arial" w:hAnsi="Arial" w:cs="Arial"/>
          <w:szCs w:val="24"/>
        </w:rPr>
        <w:t>Additionally, please note that the Manual Rewrite (MR) was sunset in 2015.  The M21-1 is the current adjudication procedures manual.</w:t>
      </w:r>
    </w:p>
    <w:p w14:paraId="443AE0B3" w14:textId="77777777" w:rsidR="00DB362F" w:rsidRDefault="00DB362F" w:rsidP="00990696">
      <w:pPr>
        <w:pStyle w:val="PlainText"/>
        <w:rPr>
          <w:rFonts w:ascii="Arial" w:hAnsi="Arial" w:cs="Arial"/>
          <w:sz w:val="24"/>
          <w:szCs w:val="24"/>
        </w:rPr>
      </w:pPr>
    </w:p>
    <w:p w14:paraId="281A236C" w14:textId="5F319753" w:rsidR="00DB362F" w:rsidRDefault="00CD5A9A" w:rsidP="00DB362F">
      <w:pPr>
        <w:spacing w:after="0" w:line="240" w:lineRule="auto"/>
        <w:rPr>
          <w:rFonts w:ascii="Arial" w:hAnsi="Arial" w:cs="Arial"/>
          <w:szCs w:val="24"/>
        </w:rPr>
      </w:pPr>
      <w:r w:rsidRPr="003334F9">
        <w:rPr>
          <w:rFonts w:ascii="Arial" w:hAnsi="Arial" w:cs="Arial"/>
          <w:b/>
        </w:rPr>
        <w:t>Result:</w:t>
      </w:r>
      <w:r w:rsidRPr="003334F9">
        <w:rPr>
          <w:rFonts w:ascii="Arial" w:hAnsi="Arial" w:cs="Arial"/>
        </w:rPr>
        <w:t xml:space="preserve">  </w:t>
      </w:r>
      <w:hyperlink r:id="rId21" w:anchor="1" w:history="1">
        <w:r w:rsidR="006964D0" w:rsidRPr="00C838D6">
          <w:rPr>
            <w:rStyle w:val="Hyperlink"/>
            <w:rFonts w:ascii="Arial" w:hAnsi="Arial" w:cs="Arial"/>
            <w:szCs w:val="24"/>
          </w:rPr>
          <w:t>M21-1, Part I, 4.1.a</w:t>
        </w:r>
      </w:hyperlink>
      <w:r w:rsidR="006964D0">
        <w:rPr>
          <w:rFonts w:ascii="Arial" w:hAnsi="Arial" w:cs="Arial"/>
          <w:szCs w:val="24"/>
        </w:rPr>
        <w:t xml:space="preserve"> was updated on June 30, 2020</w:t>
      </w:r>
      <w:r w:rsidR="00DB362F">
        <w:rPr>
          <w:rFonts w:ascii="Arial" w:hAnsi="Arial" w:cs="Arial"/>
          <w:szCs w:val="24"/>
        </w:rPr>
        <w:t xml:space="preserve">. </w:t>
      </w:r>
    </w:p>
    <w:p w14:paraId="3E02F244" w14:textId="4FE632C6" w:rsidR="006A2E18" w:rsidRPr="00824543" w:rsidRDefault="006A2E18" w:rsidP="006A2E18">
      <w:pPr>
        <w:pStyle w:val="Heading1"/>
        <w:rPr>
          <w:rFonts w:ascii="Arial" w:hAnsi="Arial" w:cs="Arial"/>
        </w:rPr>
      </w:pPr>
      <w:bookmarkStart w:id="17" w:name="_Toc45875963"/>
      <w:r>
        <w:rPr>
          <w:rFonts w:ascii="Arial" w:hAnsi="Arial" w:cs="Arial"/>
        </w:rPr>
        <w:lastRenderedPageBreak/>
        <w:t>Question Regarding Reduction in Net Worth</w:t>
      </w:r>
      <w:bookmarkEnd w:id="17"/>
    </w:p>
    <w:p w14:paraId="1214F7EB" w14:textId="77777777" w:rsidR="006A2E18" w:rsidRPr="003334F9" w:rsidRDefault="006A2E18" w:rsidP="006A2E18">
      <w:pPr>
        <w:spacing w:after="0" w:line="240" w:lineRule="auto"/>
        <w:rPr>
          <w:rFonts w:ascii="Arial" w:eastAsia="Times New Roman" w:hAnsi="Arial" w:cs="Arial"/>
          <w:szCs w:val="24"/>
        </w:rPr>
      </w:pPr>
      <w:r w:rsidRPr="003334F9">
        <w:rPr>
          <w:rFonts w:ascii="Arial" w:hAnsi="Arial" w:cs="Arial"/>
          <w:b/>
          <w:szCs w:val="24"/>
        </w:rPr>
        <w:t>Target Audience</w:t>
      </w:r>
      <w:r w:rsidRPr="003334F9">
        <w:rPr>
          <w:rFonts w:ascii="Arial" w:hAnsi="Arial" w:cs="Arial"/>
          <w:szCs w:val="24"/>
        </w:rPr>
        <w:t>:</w:t>
      </w:r>
      <w:r w:rsidRPr="003334F9">
        <w:rPr>
          <w:rFonts w:ascii="Arial" w:eastAsia="Times New Roman" w:hAnsi="Arial" w:cs="Arial"/>
          <w:szCs w:val="24"/>
        </w:rPr>
        <w:t xml:space="preserve"> </w:t>
      </w:r>
      <w:r w:rsidRPr="00ED5825">
        <w:rPr>
          <w:rFonts w:ascii="Arial" w:hAnsi="Arial" w:cs="Arial"/>
        </w:rPr>
        <w:t>PMC claims processors</w:t>
      </w:r>
    </w:p>
    <w:p w14:paraId="4977A459" w14:textId="77777777" w:rsidR="006A2E18" w:rsidRPr="00ED5825" w:rsidRDefault="006A2E18" w:rsidP="006A2E18">
      <w:pPr>
        <w:spacing w:after="0" w:line="240" w:lineRule="auto"/>
        <w:rPr>
          <w:rFonts w:ascii="Arial" w:hAnsi="Arial" w:cs="Arial"/>
          <w:szCs w:val="24"/>
        </w:rPr>
      </w:pPr>
    </w:p>
    <w:p w14:paraId="454D4C0D" w14:textId="4DC2CE93" w:rsidR="006A2E18" w:rsidRDefault="006A2E18" w:rsidP="006A2E18">
      <w:pPr>
        <w:pStyle w:val="PlainText"/>
        <w:rPr>
          <w:rFonts w:ascii="Arial" w:hAnsi="Arial" w:cs="Arial"/>
          <w:bCs/>
          <w:sz w:val="24"/>
          <w:szCs w:val="28"/>
        </w:rPr>
      </w:pPr>
      <w:r w:rsidRPr="00DB362F">
        <w:rPr>
          <w:rFonts w:ascii="Arial" w:hAnsi="Arial" w:cs="Arial"/>
          <w:b/>
          <w:sz w:val="24"/>
          <w:szCs w:val="28"/>
        </w:rPr>
        <w:t xml:space="preserve">Question:  </w:t>
      </w:r>
      <w:r w:rsidRPr="006A2E18">
        <w:rPr>
          <w:rFonts w:ascii="Arial" w:hAnsi="Arial" w:cs="Arial"/>
          <w:bCs/>
          <w:sz w:val="24"/>
          <w:szCs w:val="28"/>
        </w:rPr>
        <w:t xml:space="preserve">We have come across several cases recently where a claimant has filed a supplemental claim with a prior denial for excess net worth.  They have alleged that due to depressed market conditions that have occurred recently, their net worth is now under the prescribed limit.  M21-1 MR V.iii.1.J.4.f states that net worth can be decreased 2 ways:  via spending them on products or services for fair market value, or via IVAP decreases due to decreased income or prospective expenses.  38 CFR 3.274(f) states something similar, noting that a “veteran, surviving spouse, or child, or someone acting on their behalf, may decrease assets by spending them on any item or service for which fair market value is received unless the item or items purchased are themselves part of net worth.”  </w:t>
      </w:r>
    </w:p>
    <w:p w14:paraId="457BB97D" w14:textId="77777777" w:rsidR="006A2E18" w:rsidRPr="006A2E18" w:rsidRDefault="006A2E18" w:rsidP="006A2E18">
      <w:pPr>
        <w:pStyle w:val="PlainText"/>
        <w:rPr>
          <w:rFonts w:ascii="Arial" w:hAnsi="Arial" w:cs="Arial"/>
          <w:bCs/>
          <w:sz w:val="24"/>
          <w:szCs w:val="28"/>
        </w:rPr>
      </w:pPr>
    </w:p>
    <w:p w14:paraId="369DB371" w14:textId="416B55AE" w:rsidR="006A2E18" w:rsidRPr="00DB362F" w:rsidRDefault="006A2E18" w:rsidP="006A2E18">
      <w:pPr>
        <w:pStyle w:val="PlainText"/>
        <w:rPr>
          <w:rFonts w:ascii="Arial" w:hAnsi="Arial" w:cs="Arial"/>
          <w:bCs/>
          <w:sz w:val="24"/>
          <w:szCs w:val="28"/>
        </w:rPr>
      </w:pPr>
      <w:r w:rsidRPr="006A2E18">
        <w:rPr>
          <w:rFonts w:ascii="Arial" w:hAnsi="Arial" w:cs="Arial"/>
          <w:bCs/>
          <w:sz w:val="24"/>
          <w:szCs w:val="28"/>
        </w:rPr>
        <w:t>Our question is does the loss in the value of investments qualify as a valid way to decrease assets?  Many investments are tied to the stock markets, which have shown significant losses since March 2020.</w:t>
      </w:r>
    </w:p>
    <w:p w14:paraId="13C29B47" w14:textId="77777777" w:rsidR="006A2E18" w:rsidRDefault="006A2E18" w:rsidP="006A2E18">
      <w:pPr>
        <w:pStyle w:val="PlainText"/>
        <w:rPr>
          <w:rFonts w:ascii="Arial" w:hAnsi="Arial" w:cs="Arial"/>
          <w:bCs/>
          <w:sz w:val="24"/>
          <w:szCs w:val="28"/>
        </w:rPr>
      </w:pPr>
    </w:p>
    <w:p w14:paraId="1E6835F1" w14:textId="0849F894" w:rsidR="006A2E18" w:rsidRDefault="006A2E18" w:rsidP="006A2E18">
      <w:pPr>
        <w:pStyle w:val="PlainText"/>
        <w:rPr>
          <w:rFonts w:ascii="Arial" w:hAnsi="Arial" w:cs="Arial"/>
          <w:sz w:val="24"/>
          <w:szCs w:val="24"/>
        </w:rPr>
      </w:pPr>
      <w:r>
        <w:rPr>
          <w:rFonts w:ascii="Arial" w:hAnsi="Arial" w:cs="Arial"/>
          <w:b/>
          <w:bCs/>
          <w:sz w:val="24"/>
          <w:szCs w:val="24"/>
        </w:rPr>
        <w:t>Response</w:t>
      </w:r>
      <w:r w:rsidRPr="00990696">
        <w:rPr>
          <w:rFonts w:ascii="Arial" w:hAnsi="Arial" w:cs="Arial"/>
          <w:sz w:val="24"/>
          <w:szCs w:val="24"/>
        </w:rPr>
        <w:t xml:space="preserve">: </w:t>
      </w:r>
      <w:r>
        <w:rPr>
          <w:rFonts w:ascii="Arial" w:hAnsi="Arial" w:cs="Arial"/>
          <w:sz w:val="24"/>
          <w:szCs w:val="24"/>
        </w:rPr>
        <w:t xml:space="preserve"> </w:t>
      </w:r>
      <w:r w:rsidRPr="006A2E18">
        <w:rPr>
          <w:rFonts w:ascii="Arial" w:hAnsi="Arial" w:cs="Arial"/>
          <w:sz w:val="24"/>
          <w:szCs w:val="24"/>
        </w:rPr>
        <w:t>Yes</w:t>
      </w:r>
      <w:r>
        <w:rPr>
          <w:rFonts w:ascii="Arial" w:hAnsi="Arial" w:cs="Arial"/>
          <w:sz w:val="24"/>
          <w:szCs w:val="24"/>
        </w:rPr>
        <w:t>, t</w:t>
      </w:r>
      <w:r w:rsidRPr="006A2E18">
        <w:rPr>
          <w:rFonts w:ascii="Arial" w:hAnsi="Arial" w:cs="Arial"/>
          <w:sz w:val="24"/>
          <w:szCs w:val="24"/>
        </w:rPr>
        <w:t xml:space="preserve">he loss in the value of investments does qualify as a valid way to decrease assets.  </w:t>
      </w:r>
    </w:p>
    <w:p w14:paraId="76D9CB66" w14:textId="77777777" w:rsidR="006A2E18" w:rsidRDefault="006A2E18" w:rsidP="006A2E18">
      <w:pPr>
        <w:pStyle w:val="PlainText"/>
        <w:rPr>
          <w:rFonts w:ascii="Arial" w:hAnsi="Arial" w:cs="Arial"/>
          <w:sz w:val="24"/>
          <w:szCs w:val="24"/>
        </w:rPr>
      </w:pPr>
    </w:p>
    <w:p w14:paraId="1C5CF4DA" w14:textId="43FFB84B" w:rsidR="006A2E18" w:rsidRDefault="006A2E18" w:rsidP="006A2E18">
      <w:pPr>
        <w:spacing w:after="0" w:line="240" w:lineRule="auto"/>
        <w:rPr>
          <w:rFonts w:ascii="Arial" w:hAnsi="Arial" w:cs="Arial"/>
          <w:szCs w:val="24"/>
        </w:rPr>
      </w:pPr>
      <w:r w:rsidRPr="003334F9">
        <w:rPr>
          <w:rFonts w:ascii="Arial" w:hAnsi="Arial" w:cs="Arial"/>
          <w:b/>
        </w:rPr>
        <w:t>Result:</w:t>
      </w:r>
      <w:r w:rsidRPr="003334F9">
        <w:rPr>
          <w:rFonts w:ascii="Arial" w:hAnsi="Arial" w:cs="Arial"/>
        </w:rPr>
        <w:t xml:space="preserve">  </w:t>
      </w:r>
      <w:r w:rsidRPr="006A2E18">
        <w:rPr>
          <w:rFonts w:ascii="Arial" w:hAnsi="Arial" w:cs="Arial"/>
          <w:szCs w:val="24"/>
        </w:rPr>
        <w:t>M21-1 Part V, Subpart iii, 1.J.4.f will be updated</w:t>
      </w:r>
      <w:r>
        <w:rPr>
          <w:rFonts w:ascii="Arial" w:hAnsi="Arial" w:cs="Arial"/>
          <w:szCs w:val="24"/>
        </w:rPr>
        <w:t xml:space="preserve">. </w:t>
      </w:r>
    </w:p>
    <w:p w14:paraId="4A35AF98" w14:textId="46263739" w:rsidR="00DB5503" w:rsidRPr="00824543" w:rsidRDefault="00DB5503" w:rsidP="00DB5503">
      <w:pPr>
        <w:pStyle w:val="Heading1"/>
        <w:rPr>
          <w:rFonts w:ascii="Arial" w:hAnsi="Arial" w:cs="Arial"/>
        </w:rPr>
      </w:pPr>
      <w:bookmarkStart w:id="18" w:name="_Toc45875964"/>
      <w:r>
        <w:rPr>
          <w:rFonts w:ascii="Arial" w:hAnsi="Arial" w:cs="Arial"/>
        </w:rPr>
        <w:t>DEA Clarification Request</w:t>
      </w:r>
      <w:bookmarkEnd w:id="18"/>
    </w:p>
    <w:p w14:paraId="089E2AD8" w14:textId="77777777" w:rsidR="00DB5503" w:rsidRPr="003334F9" w:rsidRDefault="00DB5503" w:rsidP="00DB5503">
      <w:pPr>
        <w:spacing w:after="0" w:line="240" w:lineRule="auto"/>
        <w:rPr>
          <w:rFonts w:ascii="Arial" w:eastAsia="Times New Roman" w:hAnsi="Arial" w:cs="Arial"/>
          <w:szCs w:val="24"/>
        </w:rPr>
      </w:pPr>
      <w:r w:rsidRPr="003334F9">
        <w:rPr>
          <w:rFonts w:ascii="Arial" w:hAnsi="Arial" w:cs="Arial"/>
          <w:b/>
          <w:szCs w:val="24"/>
        </w:rPr>
        <w:t>Target Audience</w:t>
      </w:r>
      <w:r w:rsidRPr="003334F9">
        <w:rPr>
          <w:rFonts w:ascii="Arial" w:hAnsi="Arial" w:cs="Arial"/>
          <w:szCs w:val="24"/>
        </w:rPr>
        <w:t>:</w:t>
      </w:r>
      <w:r w:rsidRPr="003334F9">
        <w:rPr>
          <w:rFonts w:ascii="Arial" w:eastAsia="Times New Roman" w:hAnsi="Arial" w:cs="Arial"/>
          <w:szCs w:val="24"/>
        </w:rPr>
        <w:t xml:space="preserve"> </w:t>
      </w:r>
      <w:r w:rsidRPr="00ED5825">
        <w:rPr>
          <w:rFonts w:ascii="Arial" w:hAnsi="Arial" w:cs="Arial"/>
        </w:rPr>
        <w:t>PMC claims processors</w:t>
      </w:r>
    </w:p>
    <w:p w14:paraId="36DE6507" w14:textId="77777777" w:rsidR="00DB5503" w:rsidRPr="00ED5825" w:rsidRDefault="00DB5503" w:rsidP="00DB5503">
      <w:pPr>
        <w:spacing w:after="0" w:line="240" w:lineRule="auto"/>
        <w:rPr>
          <w:rFonts w:ascii="Arial" w:hAnsi="Arial" w:cs="Arial"/>
          <w:szCs w:val="24"/>
        </w:rPr>
      </w:pPr>
    </w:p>
    <w:p w14:paraId="2BE67922" w14:textId="79215AD4" w:rsidR="00DB5503" w:rsidRPr="00DB5503" w:rsidRDefault="00DB5503" w:rsidP="00DB5503">
      <w:pPr>
        <w:pStyle w:val="PlainText"/>
        <w:rPr>
          <w:rFonts w:ascii="Arial" w:hAnsi="Arial" w:cs="Arial"/>
          <w:sz w:val="24"/>
          <w:szCs w:val="24"/>
        </w:rPr>
      </w:pPr>
      <w:r>
        <w:rPr>
          <w:rFonts w:ascii="Arial" w:hAnsi="Arial" w:cs="Arial"/>
          <w:b/>
          <w:sz w:val="24"/>
          <w:szCs w:val="28"/>
        </w:rPr>
        <w:t>Background</w:t>
      </w:r>
      <w:r w:rsidRPr="00DB362F">
        <w:rPr>
          <w:rFonts w:ascii="Arial" w:hAnsi="Arial" w:cs="Arial"/>
          <w:b/>
          <w:sz w:val="24"/>
          <w:szCs w:val="28"/>
        </w:rPr>
        <w:t xml:space="preserve">:  </w:t>
      </w:r>
      <w:r w:rsidRPr="00DB5503">
        <w:rPr>
          <w:rFonts w:ascii="Arial" w:hAnsi="Arial" w:cs="Arial"/>
          <w:sz w:val="24"/>
          <w:szCs w:val="24"/>
        </w:rPr>
        <w:t>I would like follow-up to make sure we are understanding everything in correctly.  Our current guidance, and I thought amongst the three PMCs, was to put DEA at issue so long as the claimant would come in with a 534/534EZ after DIC was granted automatically.  Based on this latest inquiry and response, our stations are not in agreement so I wanted to seek clarification both about the interpretation of this latest guidance, and then how to handle this latest guidance without a rating/administratively, if it should stand.   </w:t>
      </w:r>
    </w:p>
    <w:p w14:paraId="43C1D3F9" w14:textId="77777777" w:rsidR="00DB5503" w:rsidRPr="00DB5503" w:rsidRDefault="00DB5503" w:rsidP="00DB5503">
      <w:pPr>
        <w:spacing w:after="0" w:line="240" w:lineRule="auto"/>
        <w:rPr>
          <w:rFonts w:ascii="Arial" w:hAnsi="Arial" w:cs="Arial"/>
          <w:szCs w:val="24"/>
        </w:rPr>
      </w:pPr>
    </w:p>
    <w:p w14:paraId="7DEDC5A4" w14:textId="0B3EB048" w:rsidR="00DB5503" w:rsidRDefault="00DB5503" w:rsidP="00DB5503">
      <w:pPr>
        <w:spacing w:after="0" w:line="240" w:lineRule="auto"/>
        <w:rPr>
          <w:rFonts w:ascii="Arial" w:hAnsi="Arial" w:cs="Arial"/>
          <w:b/>
          <w:bCs/>
          <w:szCs w:val="24"/>
          <w:u w:val="single"/>
        </w:rPr>
      </w:pPr>
      <w:r w:rsidRPr="00DB5503">
        <w:rPr>
          <w:rFonts w:ascii="Arial" w:hAnsi="Arial" w:cs="Arial"/>
          <w:b/>
          <w:bCs/>
          <w:szCs w:val="24"/>
          <w:u w:val="single"/>
        </w:rPr>
        <w:t xml:space="preserve">The guidance we follow is this:  </w:t>
      </w:r>
    </w:p>
    <w:p w14:paraId="7EFD713A" w14:textId="77777777" w:rsidR="00DB5503" w:rsidRPr="00DB5503" w:rsidRDefault="00DB5503" w:rsidP="00DB5503">
      <w:pPr>
        <w:spacing w:after="0" w:line="240" w:lineRule="auto"/>
        <w:rPr>
          <w:rFonts w:ascii="Arial" w:hAnsi="Arial" w:cs="Arial"/>
          <w:b/>
          <w:bCs/>
          <w:szCs w:val="24"/>
          <w:u w:val="single"/>
        </w:rPr>
      </w:pPr>
    </w:p>
    <w:p w14:paraId="25C4265B" w14:textId="5BEDAB50" w:rsidR="00DB5503" w:rsidRDefault="00DB5503" w:rsidP="00DB5503">
      <w:pPr>
        <w:spacing w:after="0" w:line="240" w:lineRule="auto"/>
        <w:rPr>
          <w:rFonts w:ascii="Arial" w:hAnsi="Arial" w:cs="Arial"/>
          <w:szCs w:val="24"/>
        </w:rPr>
      </w:pPr>
      <w:r w:rsidRPr="00DB5503">
        <w:rPr>
          <w:rFonts w:ascii="Arial" w:hAnsi="Arial" w:cs="Arial"/>
          <w:szCs w:val="24"/>
        </w:rPr>
        <w:t xml:space="preserve">If DIC/burial payments have been made under a 149/169 and the surviving spouse comes in with a 534EZ, an 020 should be established. VSRs should be screening for proper surviving spouse (some of the auto grants have been paid to incorrect spouses), and then send the case to an RVSR to address DIC and DEA. The RVSR should review for service connection for the cause of death in addition to entitlement under 38 USC 1318. If SC death cannot be granted, the RVSR should note in their decision that SC death was not put at issue because entitlement to DIC is being paid under 1318 (which </w:t>
      </w:r>
      <w:r w:rsidRPr="00DB5503">
        <w:rPr>
          <w:rFonts w:ascii="Arial" w:hAnsi="Arial" w:cs="Arial"/>
          <w:szCs w:val="24"/>
        </w:rPr>
        <w:lastRenderedPageBreak/>
        <w:t>they already are in the practice of doing). DEA should also be put at issue in the rating due to M21-1 IV.iii.2.A.1.f.</w:t>
      </w:r>
    </w:p>
    <w:p w14:paraId="47D215F8" w14:textId="77777777" w:rsidR="00DB5503" w:rsidRPr="00DB5503" w:rsidRDefault="00DB5503" w:rsidP="00DB5503">
      <w:pPr>
        <w:spacing w:after="0" w:line="240" w:lineRule="auto"/>
        <w:rPr>
          <w:rFonts w:ascii="Arial" w:hAnsi="Arial" w:cs="Arial"/>
          <w:szCs w:val="24"/>
        </w:rPr>
      </w:pPr>
    </w:p>
    <w:p w14:paraId="71003B9C" w14:textId="77777777" w:rsidR="00DB5503" w:rsidRPr="00DB5503" w:rsidRDefault="00DB5503" w:rsidP="00DB5503">
      <w:pPr>
        <w:spacing w:after="0" w:line="240" w:lineRule="auto"/>
        <w:rPr>
          <w:rFonts w:ascii="Arial" w:hAnsi="Arial" w:cs="Arial"/>
          <w:szCs w:val="24"/>
        </w:rPr>
      </w:pPr>
      <w:r w:rsidRPr="00DB5503">
        <w:rPr>
          <w:rFonts w:ascii="Arial" w:hAnsi="Arial" w:cs="Arial"/>
          <w:szCs w:val="24"/>
        </w:rPr>
        <w:t xml:space="preserve">There are a number of reasons we have this guidance, which are listed below.  </w:t>
      </w:r>
    </w:p>
    <w:p w14:paraId="30FBC59C" w14:textId="77777777" w:rsidR="00DB5503" w:rsidRPr="00DB5503" w:rsidRDefault="00DB5503" w:rsidP="00DB5503">
      <w:pPr>
        <w:pStyle w:val="NoSpacing"/>
        <w:rPr>
          <w:rFonts w:ascii="Arial" w:hAnsi="Arial" w:cs="Arial"/>
          <w:szCs w:val="24"/>
        </w:rPr>
      </w:pPr>
    </w:p>
    <w:p w14:paraId="45D8C7EA" w14:textId="77777777" w:rsidR="00DB5503" w:rsidRPr="00DB5503" w:rsidRDefault="00DB5503" w:rsidP="00DB5503">
      <w:pPr>
        <w:pStyle w:val="NoSpacing"/>
        <w:rPr>
          <w:rFonts w:ascii="Arial" w:hAnsi="Arial" w:cs="Arial"/>
          <w:szCs w:val="24"/>
        </w:rPr>
      </w:pPr>
      <w:r w:rsidRPr="00DB5503">
        <w:rPr>
          <w:rFonts w:ascii="Arial" w:hAnsi="Arial" w:cs="Arial"/>
          <w:szCs w:val="24"/>
        </w:rPr>
        <w:t xml:space="preserve">M21-1.IX.ii.2.1.l, states: “Consider entitlement to DEA without a rating decision when SC is granted for the cause of death without a rating decision.”  The problem with that reference is that we don’t grant SC death when we auto pay DIC.  You need a rating decision to determine SC death.  We don’t grant SC death automatically. We auto pay DIC under the umbrella of entitlement to 1318.  SC death is a different type of decision than 1318.  </w:t>
      </w:r>
    </w:p>
    <w:p w14:paraId="287A3879" w14:textId="77777777" w:rsidR="00DB5503" w:rsidRPr="00DB5503" w:rsidRDefault="00DB5503" w:rsidP="00DB5503">
      <w:pPr>
        <w:pStyle w:val="NoSpacing"/>
        <w:rPr>
          <w:rFonts w:ascii="Arial" w:hAnsi="Arial" w:cs="Arial"/>
          <w:szCs w:val="24"/>
        </w:rPr>
      </w:pPr>
    </w:p>
    <w:p w14:paraId="73D532FA" w14:textId="77777777" w:rsidR="00DB5503" w:rsidRPr="00DB5503" w:rsidRDefault="00DB5503" w:rsidP="00DB5503">
      <w:pPr>
        <w:pStyle w:val="NoSpacing"/>
        <w:rPr>
          <w:rFonts w:ascii="Arial" w:hAnsi="Arial" w:cs="Arial"/>
          <w:szCs w:val="24"/>
        </w:rPr>
      </w:pPr>
      <w:r w:rsidRPr="00DB5503">
        <w:rPr>
          <w:rFonts w:ascii="Arial" w:hAnsi="Arial" w:cs="Arial"/>
          <w:szCs w:val="24"/>
        </w:rPr>
        <w:t>Below are references which supports the concept of addressing DEA by rating after DIC is granted under 1318. If the surviving spouse is coming in with a 534 or 534EZ after being automatically granted, we believe we should then be considering this a claim for consideration of SC death and DEA under Ch. 35.</w:t>
      </w:r>
    </w:p>
    <w:p w14:paraId="5511836D" w14:textId="77777777" w:rsidR="00DB5503" w:rsidRPr="00DB5503" w:rsidRDefault="00DB5503" w:rsidP="00DB5503">
      <w:pPr>
        <w:pStyle w:val="NoSpacing"/>
        <w:rPr>
          <w:rFonts w:ascii="Arial" w:hAnsi="Arial" w:cs="Arial"/>
          <w:szCs w:val="24"/>
        </w:rPr>
      </w:pPr>
    </w:p>
    <w:tbl>
      <w:tblPr>
        <w:tblW w:w="9465" w:type="dxa"/>
        <w:shd w:val="clear" w:color="auto" w:fill="FFFFFF"/>
        <w:tblCellMar>
          <w:left w:w="0" w:type="dxa"/>
          <w:right w:w="0" w:type="dxa"/>
        </w:tblCellMar>
        <w:tblLook w:val="04A0" w:firstRow="1" w:lastRow="0" w:firstColumn="1" w:lastColumn="0" w:noHBand="0" w:noVBand="1"/>
      </w:tblPr>
      <w:tblGrid>
        <w:gridCol w:w="2117"/>
        <w:gridCol w:w="217"/>
        <w:gridCol w:w="31"/>
        <w:gridCol w:w="536"/>
        <w:gridCol w:w="162"/>
        <w:gridCol w:w="6301"/>
        <w:gridCol w:w="101"/>
      </w:tblGrid>
      <w:tr w:rsidR="00DB5503" w:rsidRPr="00DB5503" w14:paraId="660CB2F2" w14:textId="77777777" w:rsidTr="00DB5503">
        <w:tc>
          <w:tcPr>
            <w:tcW w:w="2117" w:type="dxa"/>
            <w:shd w:val="clear" w:color="auto" w:fill="FFFFFF"/>
            <w:hideMark/>
          </w:tcPr>
          <w:p w14:paraId="1BEBC7F0" w14:textId="77777777" w:rsidR="00DB5503" w:rsidRPr="00DB5503" w:rsidRDefault="00DB5503" w:rsidP="00DB5503">
            <w:pPr>
              <w:pStyle w:val="NoSpacing"/>
              <w:rPr>
                <w:rFonts w:ascii="Arial" w:hAnsi="Arial" w:cs="Arial"/>
                <w:b/>
                <w:bCs/>
                <w:sz w:val="20"/>
                <w:szCs w:val="20"/>
              </w:rPr>
            </w:pPr>
            <w:r w:rsidRPr="00DB5503">
              <w:rPr>
                <w:rFonts w:ascii="Arial" w:hAnsi="Arial" w:cs="Arial"/>
                <w:b/>
                <w:bCs/>
                <w:sz w:val="20"/>
                <w:szCs w:val="20"/>
              </w:rPr>
              <w:t>IV.iii.2.A.1.f</w:t>
            </w:r>
            <w:bookmarkStart w:id="19" w:name="1f"/>
            <w:r w:rsidRPr="00DB5503">
              <w:rPr>
                <w:rFonts w:ascii="Arial" w:hAnsi="Arial" w:cs="Arial"/>
                <w:b/>
                <w:bCs/>
                <w:color w:val="000000"/>
                <w:sz w:val="20"/>
                <w:szCs w:val="20"/>
              </w:rPr>
              <w:t>.</w:t>
            </w:r>
            <w:bookmarkEnd w:id="19"/>
            <w:r w:rsidRPr="00DB5503">
              <w:rPr>
                <w:rFonts w:ascii="Arial" w:hAnsi="Arial" w:cs="Arial"/>
                <w:b/>
                <w:bCs/>
                <w:color w:val="000000"/>
                <w:sz w:val="20"/>
                <w:szCs w:val="20"/>
              </w:rPr>
              <w:t>  DEA under 38 U.S.C. Chapter 35</w:t>
            </w:r>
          </w:p>
        </w:tc>
        <w:tc>
          <w:tcPr>
            <w:tcW w:w="217" w:type="dxa"/>
            <w:shd w:val="clear" w:color="auto" w:fill="FFFFFF"/>
            <w:hideMark/>
          </w:tcPr>
          <w:p w14:paraId="3F6205C6" w14:textId="77777777" w:rsidR="00DB5503" w:rsidRPr="00DB5503" w:rsidRDefault="00DB5503" w:rsidP="00DB5503">
            <w:pPr>
              <w:spacing w:after="0" w:line="240" w:lineRule="auto"/>
              <w:rPr>
                <w:rFonts w:ascii="Arial" w:hAnsi="Arial" w:cs="Arial"/>
                <w:b/>
                <w:bCs/>
                <w:sz w:val="20"/>
                <w:szCs w:val="20"/>
              </w:rPr>
            </w:pPr>
          </w:p>
        </w:tc>
        <w:tc>
          <w:tcPr>
            <w:tcW w:w="7131" w:type="dxa"/>
            <w:gridSpan w:val="5"/>
            <w:shd w:val="clear" w:color="auto" w:fill="FFFFFF"/>
            <w:vAlign w:val="bottom"/>
          </w:tcPr>
          <w:p w14:paraId="2E8450A0" w14:textId="77777777" w:rsidR="00DB5503" w:rsidRPr="00DB5503" w:rsidRDefault="00DB5503" w:rsidP="00DB5503">
            <w:pPr>
              <w:pStyle w:val="NoSpacing"/>
              <w:rPr>
                <w:rFonts w:ascii="Arial" w:eastAsiaTheme="minorHAnsi" w:hAnsi="Arial" w:cs="Arial"/>
                <w:sz w:val="20"/>
                <w:szCs w:val="20"/>
              </w:rPr>
            </w:pPr>
            <w:r w:rsidRPr="00DB5503">
              <w:rPr>
                <w:rFonts w:ascii="Arial" w:hAnsi="Arial" w:cs="Arial"/>
                <w:color w:val="000000"/>
                <w:sz w:val="20"/>
                <w:szCs w:val="20"/>
              </w:rPr>
              <w:t>Whenever DIC is granted under </w:t>
            </w:r>
            <w:hyperlink r:id="rId22" w:tgtFrame="_blank" w:history="1">
              <w:r w:rsidRPr="00DB5503">
                <w:rPr>
                  <w:rStyle w:val="Hyperlink"/>
                  <w:rFonts w:ascii="Arial" w:hAnsi="Arial" w:cs="Arial"/>
                  <w:b/>
                  <w:bCs/>
                  <w:sz w:val="20"/>
                  <w:szCs w:val="20"/>
                </w:rPr>
                <w:t>38 U.S.C. 1310</w:t>
              </w:r>
            </w:hyperlink>
            <w:r w:rsidRPr="00DB5503">
              <w:rPr>
                <w:rFonts w:ascii="Arial" w:hAnsi="Arial" w:cs="Arial"/>
                <w:color w:val="000000"/>
                <w:sz w:val="20"/>
                <w:szCs w:val="20"/>
              </w:rPr>
              <w:t> or </w:t>
            </w:r>
            <w:hyperlink r:id="rId23" w:tgtFrame="_blank" w:history="1">
              <w:r w:rsidRPr="00DB5503">
                <w:rPr>
                  <w:rStyle w:val="Hyperlink"/>
                  <w:rFonts w:ascii="Arial" w:hAnsi="Arial" w:cs="Arial"/>
                  <w:b/>
                  <w:bCs/>
                  <w:sz w:val="20"/>
                  <w:szCs w:val="20"/>
                </w:rPr>
                <w:t>38 U.S.C. 1318</w:t>
              </w:r>
            </w:hyperlink>
            <w:r w:rsidRPr="00DB5503">
              <w:rPr>
                <w:rFonts w:ascii="Arial" w:hAnsi="Arial" w:cs="Arial"/>
                <w:color w:val="000000"/>
                <w:sz w:val="20"/>
                <w:szCs w:val="20"/>
              </w:rPr>
              <w:t>, the rating must address Dependents’ Education Assistance (DEA) under </w:t>
            </w:r>
            <w:hyperlink r:id="rId24" w:tgtFrame="_blank" w:history="1">
              <w:r w:rsidRPr="00DB5503">
                <w:rPr>
                  <w:rStyle w:val="Hyperlink"/>
                  <w:rFonts w:ascii="Arial" w:hAnsi="Arial" w:cs="Arial"/>
                  <w:b/>
                  <w:bCs/>
                  <w:sz w:val="20"/>
                  <w:szCs w:val="20"/>
                </w:rPr>
                <w:t>38 U.S.C. Chapter 35</w:t>
              </w:r>
            </w:hyperlink>
            <w:r w:rsidRPr="00DB5503">
              <w:rPr>
                <w:rFonts w:ascii="Arial" w:hAnsi="Arial" w:cs="Arial"/>
                <w:color w:val="000000"/>
                <w:sz w:val="20"/>
                <w:szCs w:val="20"/>
              </w:rPr>
              <w:t>.</w:t>
            </w:r>
          </w:p>
          <w:p w14:paraId="2515DFD8" w14:textId="77777777" w:rsidR="00DB5503" w:rsidRPr="00DB5503" w:rsidRDefault="00DB5503" w:rsidP="00DB5503">
            <w:pPr>
              <w:pStyle w:val="NoSpacing"/>
              <w:rPr>
                <w:rFonts w:ascii="Arial" w:hAnsi="Arial" w:cs="Arial"/>
                <w:b/>
                <w:bCs/>
                <w:i/>
                <w:iCs/>
                <w:sz w:val="20"/>
                <w:szCs w:val="20"/>
              </w:rPr>
            </w:pPr>
          </w:p>
          <w:p w14:paraId="53393384" w14:textId="23B44164" w:rsidR="00DB5503" w:rsidRDefault="00DB5503" w:rsidP="00DB5503">
            <w:pPr>
              <w:pStyle w:val="NoSpacing"/>
              <w:rPr>
                <w:rFonts w:ascii="Arial" w:hAnsi="Arial" w:cs="Arial"/>
                <w:color w:val="000000"/>
                <w:sz w:val="20"/>
                <w:szCs w:val="20"/>
              </w:rPr>
            </w:pPr>
            <w:r w:rsidRPr="00DB5503">
              <w:rPr>
                <w:rFonts w:ascii="Arial" w:hAnsi="Arial" w:cs="Arial"/>
                <w:b/>
                <w:bCs/>
                <w:i/>
                <w:iCs/>
                <w:color w:val="000000"/>
                <w:sz w:val="20"/>
                <w:szCs w:val="20"/>
              </w:rPr>
              <w:t>Note</w:t>
            </w:r>
            <w:r w:rsidRPr="00DB5503">
              <w:rPr>
                <w:rFonts w:ascii="Arial" w:hAnsi="Arial" w:cs="Arial"/>
                <w:color w:val="000000"/>
                <w:sz w:val="20"/>
                <w:szCs w:val="20"/>
              </w:rPr>
              <w:t>:  Surviving spouses granted automated 38 U.S.C. 1318 DIC must apply separately for DEA under </w:t>
            </w:r>
            <w:hyperlink r:id="rId25" w:tgtFrame="_blank" w:history="1">
              <w:r w:rsidRPr="00DB5503">
                <w:rPr>
                  <w:rStyle w:val="Hyperlink"/>
                  <w:rFonts w:ascii="Arial" w:hAnsi="Arial" w:cs="Arial"/>
                  <w:b/>
                  <w:bCs/>
                  <w:sz w:val="20"/>
                  <w:szCs w:val="20"/>
                </w:rPr>
                <w:t>38 U.S.C. Chapter 35</w:t>
              </w:r>
            </w:hyperlink>
            <w:r w:rsidRPr="00DB5503">
              <w:rPr>
                <w:rFonts w:ascii="Arial" w:hAnsi="Arial" w:cs="Arial"/>
                <w:color w:val="000000"/>
                <w:sz w:val="20"/>
                <w:szCs w:val="20"/>
              </w:rPr>
              <w:t>.</w:t>
            </w:r>
          </w:p>
          <w:p w14:paraId="553D6933" w14:textId="77777777" w:rsidR="00DB5503" w:rsidRPr="00DB5503" w:rsidRDefault="00DB5503" w:rsidP="00DB5503">
            <w:pPr>
              <w:pStyle w:val="NoSpacing"/>
              <w:rPr>
                <w:rFonts w:ascii="Arial" w:hAnsi="Arial" w:cs="Arial"/>
                <w:b/>
                <w:bCs/>
                <w:i/>
                <w:iCs/>
                <w:sz w:val="20"/>
                <w:szCs w:val="20"/>
              </w:rPr>
            </w:pPr>
          </w:p>
          <w:p w14:paraId="547A24D2" w14:textId="77777777" w:rsidR="00DB5503" w:rsidRPr="00DB5503" w:rsidRDefault="00DB5503" w:rsidP="00DB5503">
            <w:pPr>
              <w:pStyle w:val="NoSpacing"/>
              <w:rPr>
                <w:rFonts w:ascii="Arial" w:hAnsi="Arial" w:cs="Arial"/>
                <w:sz w:val="20"/>
                <w:szCs w:val="20"/>
              </w:rPr>
            </w:pPr>
            <w:r w:rsidRPr="00DB5503">
              <w:rPr>
                <w:rFonts w:ascii="Arial" w:hAnsi="Arial" w:cs="Arial"/>
                <w:b/>
                <w:bCs/>
                <w:i/>
                <w:iCs/>
                <w:color w:val="000000"/>
                <w:sz w:val="20"/>
                <w:szCs w:val="20"/>
              </w:rPr>
              <w:t>References</w:t>
            </w:r>
            <w:r w:rsidRPr="00DB5503">
              <w:rPr>
                <w:rFonts w:ascii="Arial" w:hAnsi="Arial" w:cs="Arial"/>
                <w:color w:val="000000"/>
                <w:sz w:val="20"/>
                <w:szCs w:val="20"/>
              </w:rPr>
              <w:t>:  For more information on</w:t>
            </w:r>
          </w:p>
          <w:p w14:paraId="6CE36C45" w14:textId="77777777" w:rsidR="00DB5503" w:rsidRPr="00DB5503" w:rsidRDefault="00DB5503" w:rsidP="00DB5503">
            <w:pPr>
              <w:pStyle w:val="NoSpacing"/>
              <w:numPr>
                <w:ilvl w:val="0"/>
                <w:numId w:val="39"/>
              </w:numPr>
              <w:rPr>
                <w:rFonts w:ascii="Arial" w:eastAsia="Times New Roman" w:hAnsi="Arial" w:cs="Arial"/>
                <w:sz w:val="20"/>
                <w:szCs w:val="20"/>
              </w:rPr>
            </w:pPr>
            <w:r w:rsidRPr="00DB5503">
              <w:rPr>
                <w:rFonts w:ascii="Arial" w:eastAsia="Times New Roman" w:hAnsi="Arial" w:cs="Arial"/>
                <w:color w:val="000000"/>
                <w:sz w:val="20"/>
                <w:szCs w:val="20"/>
              </w:rPr>
              <w:t>when to address ancillary benefits, see </w:t>
            </w:r>
            <w:hyperlink r:id="rId26" w:history="1">
              <w:r w:rsidRPr="00DB5503">
                <w:rPr>
                  <w:rStyle w:val="Hyperlink"/>
                  <w:rFonts w:ascii="Arial" w:eastAsia="Times New Roman" w:hAnsi="Arial" w:cs="Arial"/>
                  <w:b/>
                  <w:bCs/>
                  <w:sz w:val="20"/>
                  <w:szCs w:val="20"/>
                </w:rPr>
                <w:t>M21-1, Part III, Subpart iv, 6.B.2.b</w:t>
              </w:r>
            </w:hyperlink>
            <w:r w:rsidRPr="00DB5503">
              <w:rPr>
                <w:rFonts w:ascii="Arial" w:eastAsia="Times New Roman" w:hAnsi="Arial" w:cs="Arial"/>
                <w:color w:val="000000"/>
                <w:sz w:val="20"/>
                <w:szCs w:val="20"/>
              </w:rPr>
              <w:t>, and</w:t>
            </w:r>
          </w:p>
          <w:p w14:paraId="6BBD870E" w14:textId="77777777" w:rsidR="00DB5503" w:rsidRPr="00DB5503" w:rsidRDefault="00DB5503" w:rsidP="00DB5503">
            <w:pPr>
              <w:pStyle w:val="NoSpacing"/>
              <w:numPr>
                <w:ilvl w:val="0"/>
                <w:numId w:val="39"/>
              </w:numPr>
              <w:rPr>
                <w:rFonts w:ascii="Arial" w:eastAsia="Times New Roman" w:hAnsi="Arial" w:cs="Arial"/>
                <w:sz w:val="20"/>
                <w:szCs w:val="20"/>
              </w:rPr>
            </w:pPr>
            <w:r w:rsidRPr="00DB5503">
              <w:rPr>
                <w:rFonts w:ascii="Arial" w:eastAsia="Times New Roman" w:hAnsi="Arial" w:cs="Arial"/>
                <w:color w:val="000000"/>
                <w:sz w:val="20"/>
                <w:szCs w:val="20"/>
              </w:rPr>
              <w:t>determining entitlement to DEA, see </w:t>
            </w:r>
            <w:hyperlink r:id="rId27" w:history="1">
              <w:r w:rsidRPr="00DB5503">
                <w:rPr>
                  <w:rStyle w:val="Hyperlink"/>
                  <w:rFonts w:ascii="Arial" w:eastAsia="Times New Roman" w:hAnsi="Arial" w:cs="Arial"/>
                  <w:b/>
                  <w:bCs/>
                  <w:sz w:val="20"/>
                  <w:szCs w:val="20"/>
                </w:rPr>
                <w:t>M21-1, Part IX, Subpart ii, </w:t>
              </w:r>
              <w:r w:rsidRPr="00DB5503">
                <w:rPr>
                  <w:rFonts w:ascii="Arial" w:eastAsia="Times New Roman" w:hAnsi="Arial" w:cs="Arial"/>
                  <w:b/>
                  <w:bCs/>
                  <w:color w:val="0563C1"/>
                  <w:sz w:val="20"/>
                  <w:szCs w:val="20"/>
                  <w:u w:val="single"/>
                </w:rPr>
                <w:br/>
              </w:r>
              <w:r w:rsidRPr="00DB5503">
                <w:rPr>
                  <w:rStyle w:val="Hyperlink"/>
                  <w:rFonts w:ascii="Arial" w:eastAsia="Times New Roman" w:hAnsi="Arial" w:cs="Arial"/>
                  <w:b/>
                  <w:bCs/>
                  <w:sz w:val="20"/>
                  <w:szCs w:val="20"/>
                </w:rPr>
                <w:t>2.1</w:t>
              </w:r>
            </w:hyperlink>
            <w:r w:rsidRPr="00DB5503">
              <w:rPr>
                <w:rFonts w:ascii="Arial" w:eastAsia="Times New Roman" w:hAnsi="Arial" w:cs="Arial"/>
                <w:color w:val="000000"/>
                <w:sz w:val="20"/>
                <w:szCs w:val="20"/>
              </w:rPr>
              <w:t>.</w:t>
            </w:r>
          </w:p>
          <w:p w14:paraId="60F304D1" w14:textId="77777777" w:rsidR="00DB5503" w:rsidRPr="00DB5503" w:rsidRDefault="00DB5503" w:rsidP="00DB5503">
            <w:pPr>
              <w:pStyle w:val="NoSpacing"/>
              <w:ind w:left="720"/>
              <w:rPr>
                <w:rFonts w:ascii="Arial" w:eastAsiaTheme="minorHAnsi" w:hAnsi="Arial" w:cs="Arial"/>
                <w:sz w:val="20"/>
                <w:szCs w:val="20"/>
              </w:rPr>
            </w:pPr>
          </w:p>
        </w:tc>
      </w:tr>
      <w:tr w:rsidR="00DB5503" w:rsidRPr="00DB5503" w14:paraId="5F33BFAB" w14:textId="77777777" w:rsidTr="00DB5503">
        <w:tc>
          <w:tcPr>
            <w:tcW w:w="2365" w:type="dxa"/>
            <w:gridSpan w:val="3"/>
            <w:shd w:val="clear" w:color="auto" w:fill="FFFFFF"/>
            <w:hideMark/>
          </w:tcPr>
          <w:p w14:paraId="1039D2C5" w14:textId="77777777" w:rsidR="00DB5503" w:rsidRPr="00DB5503" w:rsidRDefault="00DB5503" w:rsidP="00DB5503">
            <w:pPr>
              <w:pStyle w:val="NoSpacing"/>
              <w:rPr>
                <w:rFonts w:ascii="Arial" w:hAnsi="Arial" w:cs="Arial"/>
                <w:b/>
                <w:bCs/>
                <w:sz w:val="20"/>
                <w:szCs w:val="20"/>
              </w:rPr>
            </w:pPr>
            <w:r w:rsidRPr="00DB5503">
              <w:rPr>
                <w:rFonts w:ascii="Arial" w:hAnsi="Arial" w:cs="Arial"/>
                <w:b/>
                <w:bCs/>
                <w:color w:val="000000"/>
                <w:sz w:val="20"/>
                <w:szCs w:val="20"/>
              </w:rPr>
              <w:t>III.iii.6.C.2.e</w:t>
            </w:r>
            <w:bookmarkStart w:id="20" w:name="2e"/>
            <w:r w:rsidRPr="00DB5503">
              <w:rPr>
                <w:rFonts w:ascii="Arial" w:hAnsi="Arial" w:cs="Arial"/>
                <w:b/>
                <w:bCs/>
                <w:color w:val="000000"/>
                <w:sz w:val="20"/>
                <w:szCs w:val="20"/>
              </w:rPr>
              <w:t>.</w:t>
            </w:r>
            <w:bookmarkEnd w:id="20"/>
            <w:r w:rsidRPr="00DB5503">
              <w:rPr>
                <w:rFonts w:ascii="Arial" w:hAnsi="Arial" w:cs="Arial"/>
                <w:b/>
                <w:bCs/>
                <w:color w:val="000000"/>
                <w:sz w:val="20"/>
                <w:szCs w:val="20"/>
              </w:rPr>
              <w:t>  Rating Decisions for Death Claims</w:t>
            </w:r>
          </w:p>
        </w:tc>
        <w:tc>
          <w:tcPr>
            <w:tcW w:w="6999" w:type="dxa"/>
            <w:gridSpan w:val="3"/>
            <w:shd w:val="clear" w:color="auto" w:fill="FFFFFF"/>
            <w:vAlign w:val="bottom"/>
          </w:tcPr>
          <w:p w14:paraId="155795C7" w14:textId="77777777" w:rsidR="00DB5503" w:rsidRPr="00DB5503" w:rsidRDefault="00DB5503" w:rsidP="00DB5503">
            <w:pPr>
              <w:pStyle w:val="NoSpacing"/>
              <w:rPr>
                <w:rFonts w:ascii="Arial" w:hAnsi="Arial" w:cs="Arial"/>
                <w:sz w:val="20"/>
                <w:szCs w:val="20"/>
              </w:rPr>
            </w:pPr>
            <w:r w:rsidRPr="00DB5503">
              <w:rPr>
                <w:rFonts w:ascii="Arial" w:hAnsi="Arial" w:cs="Arial"/>
                <w:color w:val="000000"/>
                <w:sz w:val="20"/>
                <w:szCs w:val="20"/>
              </w:rPr>
              <w:t>A determination as to basic eligibility to DEA is generally addressed in a formal rating decision awarding entitlement to DIC, or when the claimant expressly raises the issue.  If this issue has not been disposed of by rating decision in the claims folder, refer the claim to the rating activity for the preparation of a rating decision.</w:t>
            </w:r>
          </w:p>
          <w:p w14:paraId="5C19AE56" w14:textId="77777777" w:rsidR="00DB5503" w:rsidRPr="00DB5503" w:rsidRDefault="00DB5503" w:rsidP="00DB5503">
            <w:pPr>
              <w:pStyle w:val="NoSpacing"/>
              <w:rPr>
                <w:rFonts w:ascii="Arial" w:hAnsi="Arial" w:cs="Arial"/>
                <w:sz w:val="20"/>
                <w:szCs w:val="20"/>
              </w:rPr>
            </w:pPr>
            <w:r w:rsidRPr="00DB5503">
              <w:rPr>
                <w:rFonts w:ascii="Arial" w:hAnsi="Arial" w:cs="Arial"/>
                <w:color w:val="000000"/>
                <w:sz w:val="20"/>
                <w:szCs w:val="20"/>
              </w:rPr>
              <w:t> </w:t>
            </w:r>
          </w:p>
          <w:p w14:paraId="6041F82D" w14:textId="77777777" w:rsidR="00DB5503" w:rsidRPr="00DB5503" w:rsidRDefault="00DB5503" w:rsidP="00DB5503">
            <w:pPr>
              <w:pStyle w:val="NoSpacing"/>
              <w:rPr>
                <w:rFonts w:ascii="Arial" w:hAnsi="Arial" w:cs="Arial"/>
                <w:sz w:val="20"/>
                <w:szCs w:val="20"/>
              </w:rPr>
            </w:pPr>
            <w:r w:rsidRPr="00DB5503">
              <w:rPr>
                <w:rFonts w:ascii="Arial" w:hAnsi="Arial" w:cs="Arial"/>
                <w:b/>
                <w:bCs/>
                <w:i/>
                <w:iCs/>
                <w:color w:val="000000"/>
                <w:sz w:val="20"/>
                <w:szCs w:val="20"/>
              </w:rPr>
              <w:t>Note</w:t>
            </w:r>
            <w:r w:rsidRPr="00DB5503">
              <w:rPr>
                <w:rFonts w:ascii="Arial" w:hAnsi="Arial" w:cs="Arial"/>
                <w:color w:val="000000"/>
                <w:sz w:val="20"/>
                <w:szCs w:val="20"/>
              </w:rPr>
              <w:t>:  When a total SC disability rating is in effect at the time of death, but the cause of death is not SC, consider the disability rating to be permanent for DEA eligibility purposes only, even when permanency was not established during the Veteran's lifetime.</w:t>
            </w:r>
          </w:p>
          <w:p w14:paraId="5DDAB581" w14:textId="77777777" w:rsidR="00DB5503" w:rsidRPr="00DB5503" w:rsidRDefault="00DB5503" w:rsidP="00DB5503">
            <w:pPr>
              <w:pStyle w:val="NoSpacing"/>
              <w:rPr>
                <w:rFonts w:ascii="Arial" w:hAnsi="Arial" w:cs="Arial"/>
                <w:sz w:val="20"/>
                <w:szCs w:val="20"/>
              </w:rPr>
            </w:pPr>
            <w:r w:rsidRPr="00DB5503">
              <w:rPr>
                <w:rFonts w:ascii="Arial" w:hAnsi="Arial" w:cs="Arial"/>
                <w:color w:val="000000"/>
                <w:sz w:val="20"/>
                <w:szCs w:val="20"/>
              </w:rPr>
              <w:t> </w:t>
            </w:r>
          </w:p>
          <w:p w14:paraId="2A7209EE" w14:textId="77777777" w:rsidR="00DB5503" w:rsidRPr="00DB5503" w:rsidRDefault="00DB5503" w:rsidP="00DB5503">
            <w:pPr>
              <w:pStyle w:val="NoSpacing"/>
              <w:rPr>
                <w:rFonts w:ascii="Arial" w:hAnsi="Arial" w:cs="Arial"/>
                <w:sz w:val="20"/>
                <w:szCs w:val="20"/>
              </w:rPr>
            </w:pPr>
            <w:r w:rsidRPr="00DB5503">
              <w:rPr>
                <w:rFonts w:ascii="Arial" w:hAnsi="Arial" w:cs="Arial"/>
                <w:b/>
                <w:bCs/>
                <w:i/>
                <w:iCs/>
                <w:color w:val="000000"/>
                <w:sz w:val="20"/>
                <w:szCs w:val="20"/>
              </w:rPr>
              <w:t>References</w:t>
            </w:r>
            <w:r w:rsidRPr="00DB5503">
              <w:rPr>
                <w:rFonts w:ascii="Arial" w:hAnsi="Arial" w:cs="Arial"/>
                <w:color w:val="000000"/>
                <w:sz w:val="20"/>
                <w:szCs w:val="20"/>
              </w:rPr>
              <w:t>:  For more information on rating determinations of DEA eligibility, see </w:t>
            </w:r>
            <w:hyperlink r:id="rId28" w:history="1">
              <w:r w:rsidRPr="00DB5503">
                <w:rPr>
                  <w:rStyle w:val="Hyperlink"/>
                  <w:rFonts w:ascii="Arial" w:hAnsi="Arial" w:cs="Arial"/>
                  <w:b/>
                  <w:bCs/>
                  <w:sz w:val="20"/>
                  <w:szCs w:val="20"/>
                </w:rPr>
                <w:t>M21-1, Part IX, Subpart ii, 2.1</w:t>
              </w:r>
            </w:hyperlink>
            <w:r w:rsidRPr="00DB5503">
              <w:rPr>
                <w:rFonts w:ascii="Arial" w:hAnsi="Arial" w:cs="Arial"/>
                <w:color w:val="000000"/>
                <w:sz w:val="20"/>
                <w:szCs w:val="20"/>
              </w:rPr>
              <w:t>.</w:t>
            </w:r>
          </w:p>
          <w:p w14:paraId="66D26AEF" w14:textId="77777777" w:rsidR="00DB5503" w:rsidRPr="00DB5503" w:rsidRDefault="00DB5503" w:rsidP="00DB5503">
            <w:pPr>
              <w:pStyle w:val="NoSpacing"/>
              <w:rPr>
                <w:rFonts w:ascii="Arial" w:hAnsi="Arial" w:cs="Arial"/>
                <w:sz w:val="20"/>
                <w:szCs w:val="20"/>
              </w:rPr>
            </w:pPr>
          </w:p>
        </w:tc>
        <w:tc>
          <w:tcPr>
            <w:tcW w:w="101" w:type="dxa"/>
            <w:shd w:val="clear" w:color="auto" w:fill="FFFFFF"/>
            <w:vAlign w:val="center"/>
            <w:hideMark/>
          </w:tcPr>
          <w:p w14:paraId="315D3129" w14:textId="77777777" w:rsidR="00DB5503" w:rsidRPr="00DB5503" w:rsidRDefault="00DB5503" w:rsidP="00DB5503">
            <w:pPr>
              <w:pStyle w:val="NoSpacing"/>
              <w:rPr>
                <w:rFonts w:ascii="Arial" w:hAnsi="Arial" w:cs="Arial"/>
                <w:sz w:val="20"/>
                <w:szCs w:val="20"/>
              </w:rPr>
            </w:pPr>
            <w:r w:rsidRPr="00DB5503">
              <w:rPr>
                <w:rFonts w:ascii="Arial" w:hAnsi="Arial" w:cs="Arial"/>
                <w:color w:val="000000"/>
                <w:sz w:val="20"/>
                <w:szCs w:val="20"/>
              </w:rPr>
              <w:t> </w:t>
            </w:r>
          </w:p>
        </w:tc>
      </w:tr>
      <w:tr w:rsidR="00DB5503" w:rsidRPr="00DB5503" w14:paraId="4B852722" w14:textId="77777777" w:rsidTr="00DB5503">
        <w:trPr>
          <w:trHeight w:val="120"/>
        </w:trPr>
        <w:tc>
          <w:tcPr>
            <w:tcW w:w="2901" w:type="dxa"/>
            <w:gridSpan w:val="4"/>
            <w:shd w:val="clear" w:color="auto" w:fill="FFFFFF"/>
            <w:hideMark/>
          </w:tcPr>
          <w:p w14:paraId="5F4CF1CA" w14:textId="77777777" w:rsidR="00DB5503" w:rsidRPr="00DB5503" w:rsidRDefault="00DB5503" w:rsidP="00DB5503">
            <w:pPr>
              <w:pStyle w:val="NoSpacing"/>
              <w:rPr>
                <w:rFonts w:ascii="Arial" w:hAnsi="Arial" w:cs="Arial"/>
                <w:b/>
                <w:bCs/>
                <w:sz w:val="20"/>
                <w:szCs w:val="20"/>
              </w:rPr>
            </w:pPr>
            <w:r w:rsidRPr="00DB5503">
              <w:rPr>
                <w:rFonts w:ascii="Arial" w:hAnsi="Arial" w:cs="Arial"/>
                <w:b/>
                <w:bCs/>
                <w:color w:val="000000"/>
                <w:sz w:val="20"/>
                <w:szCs w:val="20"/>
              </w:rPr>
              <w:t>IX.ii.2.1.k</w:t>
            </w:r>
            <w:bookmarkStart w:id="21" w:name="1k"/>
            <w:r w:rsidRPr="00DB5503">
              <w:rPr>
                <w:rFonts w:ascii="Arial" w:hAnsi="Arial" w:cs="Arial"/>
                <w:b/>
                <w:bCs/>
                <w:color w:val="000000"/>
                <w:sz w:val="20"/>
                <w:szCs w:val="20"/>
              </w:rPr>
              <w:t>.</w:t>
            </w:r>
            <w:bookmarkEnd w:id="21"/>
            <w:r w:rsidRPr="00DB5503">
              <w:rPr>
                <w:rFonts w:ascii="Arial" w:hAnsi="Arial" w:cs="Arial"/>
                <w:b/>
                <w:bCs/>
                <w:color w:val="000000"/>
                <w:sz w:val="20"/>
                <w:szCs w:val="20"/>
              </w:rPr>
              <w:t>  Responsibility for Decision Making Related to DEA</w:t>
            </w:r>
          </w:p>
        </w:tc>
        <w:tc>
          <w:tcPr>
            <w:tcW w:w="162" w:type="dxa"/>
            <w:shd w:val="clear" w:color="auto" w:fill="FFFFFF"/>
            <w:vAlign w:val="bottom"/>
            <w:hideMark/>
          </w:tcPr>
          <w:p w14:paraId="25E4B717" w14:textId="77777777" w:rsidR="00DB5503" w:rsidRPr="00DB5503" w:rsidRDefault="00DB5503" w:rsidP="00DB5503">
            <w:pPr>
              <w:spacing w:after="0" w:line="240" w:lineRule="auto"/>
              <w:rPr>
                <w:rFonts w:ascii="Arial" w:hAnsi="Arial" w:cs="Arial"/>
                <w:b/>
                <w:bCs/>
                <w:sz w:val="20"/>
                <w:szCs w:val="20"/>
              </w:rPr>
            </w:pPr>
          </w:p>
        </w:tc>
        <w:tc>
          <w:tcPr>
            <w:tcW w:w="6301" w:type="dxa"/>
            <w:shd w:val="clear" w:color="auto" w:fill="FFFFFF"/>
            <w:vAlign w:val="bottom"/>
          </w:tcPr>
          <w:p w14:paraId="5250A5A0" w14:textId="77777777" w:rsidR="00DB5503" w:rsidRPr="00DB5503" w:rsidRDefault="00DB5503" w:rsidP="00DB5503">
            <w:pPr>
              <w:pStyle w:val="NoSpacing"/>
              <w:rPr>
                <w:rFonts w:ascii="Arial" w:eastAsiaTheme="minorHAnsi" w:hAnsi="Arial" w:cs="Arial"/>
                <w:sz w:val="20"/>
                <w:szCs w:val="20"/>
              </w:rPr>
            </w:pPr>
            <w:r w:rsidRPr="00DB5503">
              <w:rPr>
                <w:rFonts w:ascii="Arial" w:hAnsi="Arial" w:cs="Arial"/>
                <w:color w:val="000000"/>
                <w:sz w:val="20"/>
                <w:szCs w:val="20"/>
              </w:rPr>
              <w:t>The DEA program is administered by Education Service which makes the ultimate determination on entitlement and payment of benefits.</w:t>
            </w:r>
          </w:p>
          <w:p w14:paraId="7AEED4C5" w14:textId="77777777" w:rsidR="00DB5503" w:rsidRPr="00DB5503" w:rsidRDefault="00DB5503" w:rsidP="00DB5503">
            <w:pPr>
              <w:pStyle w:val="NoSpacing"/>
              <w:rPr>
                <w:rFonts w:ascii="Arial" w:hAnsi="Arial" w:cs="Arial"/>
                <w:sz w:val="20"/>
                <w:szCs w:val="20"/>
              </w:rPr>
            </w:pPr>
            <w:r w:rsidRPr="00DB5503">
              <w:rPr>
                <w:rFonts w:ascii="Arial" w:hAnsi="Arial" w:cs="Arial"/>
                <w:color w:val="000000"/>
                <w:sz w:val="20"/>
                <w:szCs w:val="20"/>
              </w:rPr>
              <w:t> </w:t>
            </w:r>
          </w:p>
          <w:p w14:paraId="37658E1E" w14:textId="77777777" w:rsidR="00DB5503" w:rsidRPr="00DB5503" w:rsidRDefault="00DB5503" w:rsidP="00DB5503">
            <w:pPr>
              <w:pStyle w:val="NoSpacing"/>
              <w:rPr>
                <w:rFonts w:ascii="Arial" w:hAnsi="Arial" w:cs="Arial"/>
                <w:sz w:val="20"/>
                <w:szCs w:val="20"/>
              </w:rPr>
            </w:pPr>
            <w:r w:rsidRPr="00DB5503">
              <w:rPr>
                <w:rFonts w:ascii="Arial" w:hAnsi="Arial" w:cs="Arial"/>
                <w:color w:val="000000"/>
                <w:sz w:val="20"/>
                <w:szCs w:val="20"/>
              </w:rPr>
              <w:t>The regional office (RO) completes the </w:t>
            </w:r>
            <w:r w:rsidRPr="00DB5503">
              <w:rPr>
                <w:rFonts w:ascii="Arial" w:hAnsi="Arial" w:cs="Arial"/>
                <w:b/>
                <w:bCs/>
                <w:i/>
                <w:iCs/>
                <w:color w:val="000000"/>
                <w:sz w:val="20"/>
                <w:szCs w:val="20"/>
              </w:rPr>
              <w:t>initial rating decision</w:t>
            </w:r>
            <w:r w:rsidRPr="00DB5503">
              <w:rPr>
                <w:rFonts w:ascii="Arial" w:hAnsi="Arial" w:cs="Arial"/>
                <w:color w:val="000000"/>
                <w:sz w:val="20"/>
                <w:szCs w:val="20"/>
              </w:rPr>
              <w:t>, as defined by </w:t>
            </w:r>
            <w:hyperlink r:id="rId29" w:tgtFrame="_blank" w:history="1">
              <w:r w:rsidRPr="00DB5503">
                <w:rPr>
                  <w:rStyle w:val="Hyperlink"/>
                  <w:rFonts w:ascii="Arial" w:hAnsi="Arial" w:cs="Arial"/>
                  <w:b/>
                  <w:bCs/>
                  <w:sz w:val="20"/>
                  <w:szCs w:val="20"/>
                </w:rPr>
                <w:t>38 CFR 21.302(q)</w:t>
              </w:r>
            </w:hyperlink>
            <w:r w:rsidRPr="00DB5503">
              <w:rPr>
                <w:rFonts w:ascii="Arial" w:hAnsi="Arial" w:cs="Arial"/>
                <w:color w:val="000000"/>
                <w:sz w:val="20"/>
                <w:szCs w:val="20"/>
              </w:rPr>
              <w:t>, establishing the basic eligibility factors such as SC for the cause of death or an SC P&amp;T disability.</w:t>
            </w:r>
          </w:p>
          <w:p w14:paraId="4E09D4D0" w14:textId="77777777" w:rsidR="00DB5503" w:rsidRPr="00DB5503" w:rsidRDefault="00DB5503" w:rsidP="00DB5503">
            <w:pPr>
              <w:pStyle w:val="NoSpacing"/>
              <w:rPr>
                <w:rFonts w:ascii="Arial" w:hAnsi="Arial" w:cs="Arial"/>
                <w:sz w:val="20"/>
                <w:szCs w:val="20"/>
              </w:rPr>
            </w:pPr>
          </w:p>
          <w:p w14:paraId="6A360714" w14:textId="77777777" w:rsidR="00DB5503" w:rsidRPr="00DB5503" w:rsidRDefault="00DB5503" w:rsidP="00DB5503">
            <w:pPr>
              <w:pStyle w:val="NoSpacing"/>
              <w:rPr>
                <w:rFonts w:ascii="Arial" w:hAnsi="Arial" w:cs="Arial"/>
                <w:sz w:val="20"/>
                <w:szCs w:val="20"/>
              </w:rPr>
            </w:pPr>
            <w:r w:rsidRPr="00DB5503">
              <w:rPr>
                <w:rFonts w:ascii="Arial" w:hAnsi="Arial" w:cs="Arial"/>
                <w:color w:val="000000"/>
                <w:sz w:val="20"/>
                <w:szCs w:val="20"/>
              </w:rPr>
              <w:lastRenderedPageBreak/>
              <w:t>The RO does not actually determine the effective date of the DEA benefit.  It makes a determination on the date of commencement of a P&amp;T disability.  </w:t>
            </w:r>
            <w:hyperlink r:id="rId30" w:tgtFrame="_blank" w:history="1">
              <w:r w:rsidRPr="00DB5503">
                <w:rPr>
                  <w:rStyle w:val="Hyperlink"/>
                  <w:rFonts w:ascii="Arial" w:hAnsi="Arial" w:cs="Arial"/>
                  <w:b/>
                  <w:bCs/>
                  <w:sz w:val="20"/>
                  <w:szCs w:val="20"/>
                </w:rPr>
                <w:t>38 CFR 21.3021(r)</w:t>
              </w:r>
            </w:hyperlink>
            <w:r w:rsidRPr="00DB5503">
              <w:rPr>
                <w:rFonts w:ascii="Arial" w:hAnsi="Arial" w:cs="Arial"/>
                <w:color w:val="000000"/>
                <w:sz w:val="20"/>
                <w:szCs w:val="20"/>
              </w:rPr>
              <w:t> defines </w:t>
            </w:r>
            <w:r w:rsidRPr="00DB5503">
              <w:rPr>
                <w:rFonts w:ascii="Arial" w:hAnsi="Arial" w:cs="Arial"/>
                <w:b/>
                <w:bCs/>
                <w:i/>
                <w:iCs/>
                <w:color w:val="000000"/>
                <w:sz w:val="20"/>
                <w:szCs w:val="20"/>
              </w:rPr>
              <w:t>effective date of the P&amp;T rating</w:t>
            </w:r>
            <w:r w:rsidRPr="00DB5503">
              <w:rPr>
                <w:rFonts w:ascii="Arial" w:hAnsi="Arial" w:cs="Arial"/>
                <w:color w:val="000000"/>
                <w:sz w:val="20"/>
                <w:szCs w:val="20"/>
              </w:rPr>
              <w:t> as the date from which VA considers that P&amp;T disability commenced for the purpose of VA benefits as determined in the initial rating decision.</w:t>
            </w:r>
          </w:p>
        </w:tc>
        <w:tc>
          <w:tcPr>
            <w:tcW w:w="101" w:type="dxa"/>
            <w:shd w:val="clear" w:color="auto" w:fill="FFFFFF"/>
            <w:vAlign w:val="center"/>
            <w:hideMark/>
          </w:tcPr>
          <w:p w14:paraId="35BA6A1A" w14:textId="77777777" w:rsidR="00DB5503" w:rsidRPr="00DB5503" w:rsidRDefault="00DB5503" w:rsidP="00DB5503">
            <w:pPr>
              <w:pStyle w:val="NoSpacing"/>
              <w:rPr>
                <w:rFonts w:ascii="Arial" w:hAnsi="Arial" w:cs="Arial"/>
                <w:sz w:val="20"/>
                <w:szCs w:val="20"/>
              </w:rPr>
            </w:pPr>
            <w:r w:rsidRPr="00DB5503">
              <w:rPr>
                <w:rFonts w:ascii="Arial" w:hAnsi="Arial" w:cs="Arial"/>
                <w:color w:val="000000"/>
                <w:sz w:val="20"/>
                <w:szCs w:val="20"/>
              </w:rPr>
              <w:lastRenderedPageBreak/>
              <w:t> </w:t>
            </w:r>
          </w:p>
        </w:tc>
      </w:tr>
    </w:tbl>
    <w:p w14:paraId="0EA0C7D7" w14:textId="77777777" w:rsidR="00DB5503" w:rsidRPr="00DB5503" w:rsidRDefault="00DB5503" w:rsidP="00DB5503">
      <w:pPr>
        <w:pStyle w:val="NoSpacing"/>
        <w:rPr>
          <w:rFonts w:ascii="Arial" w:eastAsiaTheme="minorHAnsi" w:hAnsi="Arial" w:cs="Arial"/>
          <w:sz w:val="20"/>
          <w:szCs w:val="20"/>
        </w:rPr>
      </w:pPr>
    </w:p>
    <w:tbl>
      <w:tblPr>
        <w:tblW w:w="0" w:type="auto"/>
        <w:shd w:val="clear" w:color="auto" w:fill="FFFFFF"/>
        <w:tblCellMar>
          <w:left w:w="0" w:type="dxa"/>
          <w:right w:w="0" w:type="dxa"/>
        </w:tblCellMar>
        <w:tblLook w:val="04A0" w:firstRow="1" w:lastRow="0" w:firstColumn="1" w:lastColumn="0" w:noHBand="0" w:noVBand="1"/>
      </w:tblPr>
      <w:tblGrid>
        <w:gridCol w:w="1712"/>
        <w:gridCol w:w="212"/>
        <w:gridCol w:w="7436"/>
      </w:tblGrid>
      <w:tr w:rsidR="00DB5503" w:rsidRPr="00DB5503" w14:paraId="29242C64" w14:textId="77777777" w:rsidTr="00DB5503">
        <w:trPr>
          <w:trHeight w:val="465"/>
        </w:trPr>
        <w:tc>
          <w:tcPr>
            <w:tcW w:w="1725" w:type="dxa"/>
            <w:shd w:val="clear" w:color="auto" w:fill="FFFFFF"/>
            <w:hideMark/>
          </w:tcPr>
          <w:p w14:paraId="491F33E2" w14:textId="77777777" w:rsidR="00DB5503" w:rsidRPr="00DB5503" w:rsidRDefault="00DB5503" w:rsidP="00DB5503">
            <w:pPr>
              <w:pStyle w:val="NoSpacing"/>
              <w:rPr>
                <w:rFonts w:ascii="Arial" w:hAnsi="Arial" w:cs="Arial"/>
                <w:b/>
                <w:bCs/>
                <w:sz w:val="20"/>
                <w:szCs w:val="20"/>
              </w:rPr>
            </w:pPr>
            <w:r w:rsidRPr="00DB5503">
              <w:rPr>
                <w:rFonts w:ascii="Arial" w:hAnsi="Arial" w:cs="Arial"/>
                <w:b/>
                <w:bCs/>
                <w:sz w:val="20"/>
                <w:szCs w:val="20"/>
              </w:rPr>
              <w:t>IX.i</w:t>
            </w:r>
            <w:r w:rsidRPr="00DB5503">
              <w:rPr>
                <w:rFonts w:ascii="Arial" w:hAnsi="Arial" w:cs="Arial"/>
                <w:b/>
                <w:bCs/>
                <w:color w:val="000000"/>
                <w:sz w:val="20"/>
                <w:szCs w:val="20"/>
              </w:rPr>
              <w:t>i.2.1.l.  When DEA Is a Rating Issue</w:t>
            </w:r>
          </w:p>
        </w:tc>
        <w:tc>
          <w:tcPr>
            <w:tcW w:w="225" w:type="dxa"/>
            <w:shd w:val="clear" w:color="auto" w:fill="FFFFFF"/>
            <w:hideMark/>
          </w:tcPr>
          <w:p w14:paraId="1A9AB52E" w14:textId="77777777" w:rsidR="00DB5503" w:rsidRDefault="00DB5503" w:rsidP="00DB5503">
            <w:pPr>
              <w:spacing w:after="0" w:line="240" w:lineRule="auto"/>
              <w:rPr>
                <w:rFonts w:ascii="Arial" w:hAnsi="Arial" w:cs="Arial"/>
                <w:b/>
                <w:bCs/>
                <w:sz w:val="20"/>
                <w:szCs w:val="20"/>
              </w:rPr>
            </w:pPr>
          </w:p>
          <w:p w14:paraId="4D164875" w14:textId="2FF9BB7F" w:rsidR="00DB5503" w:rsidRPr="00DB5503" w:rsidRDefault="00DB5503" w:rsidP="00DB5503">
            <w:pPr>
              <w:spacing w:after="0" w:line="240" w:lineRule="auto"/>
              <w:rPr>
                <w:rFonts w:ascii="Arial" w:hAnsi="Arial" w:cs="Arial"/>
                <w:b/>
                <w:bCs/>
                <w:sz w:val="20"/>
                <w:szCs w:val="20"/>
              </w:rPr>
            </w:pPr>
          </w:p>
        </w:tc>
        <w:tc>
          <w:tcPr>
            <w:tcW w:w="7740" w:type="dxa"/>
            <w:shd w:val="clear" w:color="auto" w:fill="FFFFFF"/>
            <w:vAlign w:val="bottom"/>
            <w:hideMark/>
          </w:tcPr>
          <w:p w14:paraId="6AE684CC" w14:textId="77777777" w:rsidR="00DB5503" w:rsidRPr="00DB5503" w:rsidRDefault="00DB5503" w:rsidP="00DB5503">
            <w:pPr>
              <w:pStyle w:val="NoSpacing"/>
              <w:rPr>
                <w:rFonts w:ascii="Arial" w:eastAsiaTheme="minorHAnsi" w:hAnsi="Arial" w:cs="Arial"/>
                <w:sz w:val="20"/>
                <w:szCs w:val="20"/>
              </w:rPr>
            </w:pPr>
            <w:r w:rsidRPr="00DB5503">
              <w:rPr>
                <w:rFonts w:ascii="Arial" w:hAnsi="Arial" w:cs="Arial"/>
                <w:color w:val="000000"/>
                <w:sz w:val="20"/>
                <w:szCs w:val="20"/>
              </w:rPr>
              <w:t>Basic eligibility to DEA is a rating issue if</w:t>
            </w:r>
          </w:p>
          <w:p w14:paraId="28816D36" w14:textId="77777777" w:rsidR="00DB5503" w:rsidRPr="00DB5503" w:rsidRDefault="00DB5503" w:rsidP="00DB5503">
            <w:pPr>
              <w:pStyle w:val="NoSpacing"/>
              <w:numPr>
                <w:ilvl w:val="0"/>
                <w:numId w:val="40"/>
              </w:numPr>
              <w:rPr>
                <w:rFonts w:ascii="Arial" w:eastAsia="Times New Roman" w:hAnsi="Arial" w:cs="Arial"/>
                <w:sz w:val="20"/>
                <w:szCs w:val="20"/>
              </w:rPr>
            </w:pPr>
            <w:r w:rsidRPr="00DB5503">
              <w:rPr>
                <w:rFonts w:ascii="Arial" w:eastAsia="Times New Roman" w:hAnsi="Arial" w:cs="Arial"/>
                <w:color w:val="000000"/>
                <w:sz w:val="20"/>
                <w:szCs w:val="20"/>
              </w:rPr>
              <w:t>there is a claim for DEA or Chapter 35 benefits</w:t>
            </w:r>
          </w:p>
          <w:p w14:paraId="08478810" w14:textId="77777777" w:rsidR="00DB5503" w:rsidRPr="00DB5503" w:rsidRDefault="00DB5503" w:rsidP="00DB5503">
            <w:pPr>
              <w:pStyle w:val="NoSpacing"/>
              <w:numPr>
                <w:ilvl w:val="0"/>
                <w:numId w:val="40"/>
              </w:numPr>
              <w:rPr>
                <w:rFonts w:ascii="Arial" w:eastAsia="Times New Roman" w:hAnsi="Arial" w:cs="Arial"/>
                <w:sz w:val="20"/>
                <w:szCs w:val="20"/>
              </w:rPr>
            </w:pPr>
            <w:r w:rsidRPr="00DB5503">
              <w:rPr>
                <w:rFonts w:ascii="Arial" w:eastAsia="Times New Roman" w:hAnsi="Arial" w:cs="Arial"/>
                <w:color w:val="000000"/>
                <w:sz w:val="20"/>
                <w:szCs w:val="20"/>
              </w:rPr>
              <w:t>a beneficiary requests a determination on P&amp;T disability</w:t>
            </w:r>
          </w:p>
          <w:p w14:paraId="3B3B8051" w14:textId="77777777" w:rsidR="00DB5503" w:rsidRPr="00DB5503" w:rsidRDefault="00DB5503" w:rsidP="00DB5503">
            <w:pPr>
              <w:pStyle w:val="NoSpacing"/>
              <w:numPr>
                <w:ilvl w:val="0"/>
                <w:numId w:val="40"/>
              </w:numPr>
              <w:rPr>
                <w:rFonts w:ascii="Arial" w:eastAsia="Times New Roman" w:hAnsi="Arial" w:cs="Arial"/>
                <w:sz w:val="20"/>
                <w:szCs w:val="20"/>
              </w:rPr>
            </w:pPr>
            <w:r w:rsidRPr="00DB5503">
              <w:rPr>
                <w:rFonts w:ascii="Arial" w:eastAsia="Times New Roman" w:hAnsi="Arial" w:cs="Arial"/>
                <w:color w:val="000000"/>
                <w:sz w:val="20"/>
                <w:szCs w:val="20"/>
              </w:rPr>
              <w:t>an SC total disability (schedular or total disability due to IU) is awarded or confirmed/continued and permanency is also established (to include the determination that a future examination is not warranted) </w:t>
            </w:r>
          </w:p>
          <w:p w14:paraId="74B6673C" w14:textId="77777777" w:rsidR="00DB5503" w:rsidRPr="00DB5503" w:rsidRDefault="00DB5503" w:rsidP="00DB5503">
            <w:pPr>
              <w:pStyle w:val="NoSpacing"/>
              <w:numPr>
                <w:ilvl w:val="0"/>
                <w:numId w:val="40"/>
              </w:numPr>
              <w:rPr>
                <w:rFonts w:ascii="Arial" w:eastAsia="Times New Roman" w:hAnsi="Arial" w:cs="Arial"/>
                <w:sz w:val="20"/>
                <w:szCs w:val="20"/>
              </w:rPr>
            </w:pPr>
            <w:r w:rsidRPr="00DB5503">
              <w:rPr>
                <w:rFonts w:ascii="Arial" w:eastAsia="Times New Roman" w:hAnsi="Arial" w:cs="Arial"/>
                <w:color w:val="000000"/>
                <w:sz w:val="20"/>
                <w:szCs w:val="20"/>
              </w:rPr>
              <w:t>a previously-set future exam control is canceled/discontinued while there is total disability</w:t>
            </w:r>
          </w:p>
          <w:p w14:paraId="14A35166" w14:textId="77777777" w:rsidR="00DB5503" w:rsidRPr="00DB5503" w:rsidRDefault="00DB5503" w:rsidP="00DB5503">
            <w:pPr>
              <w:pStyle w:val="NoSpacing"/>
              <w:numPr>
                <w:ilvl w:val="0"/>
                <w:numId w:val="40"/>
              </w:numPr>
              <w:rPr>
                <w:rFonts w:ascii="Arial" w:eastAsia="Times New Roman" w:hAnsi="Arial" w:cs="Arial"/>
                <w:sz w:val="20"/>
                <w:szCs w:val="20"/>
              </w:rPr>
            </w:pPr>
            <w:r w:rsidRPr="00DB5503">
              <w:rPr>
                <w:rFonts w:ascii="Arial" w:eastAsia="Times New Roman" w:hAnsi="Arial" w:cs="Arial"/>
                <w:color w:val="000000"/>
                <w:sz w:val="20"/>
                <w:szCs w:val="20"/>
              </w:rPr>
              <w:t>SC for the cause of death is awarded, or</w:t>
            </w:r>
          </w:p>
          <w:p w14:paraId="58767F69" w14:textId="3C256879" w:rsidR="00DB5503" w:rsidRPr="00DB5503" w:rsidRDefault="00DB5503" w:rsidP="00DB5503">
            <w:pPr>
              <w:pStyle w:val="NoSpacing"/>
              <w:numPr>
                <w:ilvl w:val="0"/>
                <w:numId w:val="40"/>
              </w:numPr>
              <w:rPr>
                <w:rFonts w:ascii="Arial" w:eastAsia="Times New Roman" w:hAnsi="Arial" w:cs="Arial"/>
                <w:sz w:val="20"/>
                <w:szCs w:val="20"/>
              </w:rPr>
            </w:pPr>
            <w:r w:rsidRPr="00DB5503">
              <w:rPr>
                <w:rFonts w:ascii="Arial" w:eastAsia="Times New Roman" w:hAnsi="Arial" w:cs="Arial"/>
                <w:color w:val="000000"/>
                <w:sz w:val="20"/>
                <w:szCs w:val="20"/>
              </w:rPr>
              <w:t>in connection with a claim for death benefits, the Veteran was rated 100-percent disabled due to SC disabilities or entitled to IU on the date of death.</w:t>
            </w:r>
          </w:p>
          <w:p w14:paraId="0225BDBB" w14:textId="77777777" w:rsidR="00DB5503" w:rsidRPr="00DB5503" w:rsidRDefault="00DB5503" w:rsidP="00DB5503">
            <w:pPr>
              <w:pStyle w:val="NoSpacing"/>
              <w:ind w:left="720"/>
              <w:rPr>
                <w:rFonts w:ascii="Arial" w:eastAsia="Times New Roman" w:hAnsi="Arial" w:cs="Arial"/>
                <w:sz w:val="20"/>
                <w:szCs w:val="20"/>
              </w:rPr>
            </w:pPr>
          </w:p>
          <w:p w14:paraId="5502B250" w14:textId="77777777" w:rsidR="00DB5503" w:rsidRPr="00DB5503" w:rsidRDefault="00DB5503" w:rsidP="00DB5503">
            <w:pPr>
              <w:pStyle w:val="NoSpacing"/>
              <w:rPr>
                <w:rFonts w:ascii="Arial" w:eastAsiaTheme="minorHAnsi" w:hAnsi="Arial" w:cs="Arial"/>
                <w:sz w:val="20"/>
                <w:szCs w:val="20"/>
              </w:rPr>
            </w:pPr>
            <w:r w:rsidRPr="00DB5503">
              <w:rPr>
                <w:rFonts w:ascii="Arial" w:hAnsi="Arial" w:cs="Arial"/>
                <w:b/>
                <w:bCs/>
                <w:i/>
                <w:iCs/>
                <w:color w:val="000000"/>
                <w:sz w:val="20"/>
                <w:szCs w:val="20"/>
              </w:rPr>
              <w:t>Exceptions</w:t>
            </w:r>
            <w:r w:rsidRPr="00DB5503">
              <w:rPr>
                <w:rFonts w:ascii="Arial" w:hAnsi="Arial" w:cs="Arial"/>
                <w:color w:val="000000"/>
                <w:sz w:val="20"/>
                <w:szCs w:val="20"/>
              </w:rPr>
              <w:t>: </w:t>
            </w:r>
          </w:p>
          <w:p w14:paraId="637F98BA" w14:textId="77777777" w:rsidR="00DB5503" w:rsidRPr="00DB5503" w:rsidRDefault="00DB5503" w:rsidP="00DB5503">
            <w:pPr>
              <w:pStyle w:val="NoSpacing"/>
              <w:numPr>
                <w:ilvl w:val="0"/>
                <w:numId w:val="41"/>
              </w:numPr>
              <w:rPr>
                <w:rFonts w:ascii="Arial" w:eastAsia="Times New Roman" w:hAnsi="Arial" w:cs="Arial"/>
                <w:sz w:val="20"/>
                <w:szCs w:val="20"/>
              </w:rPr>
            </w:pPr>
            <w:r w:rsidRPr="00DB5503">
              <w:rPr>
                <w:rFonts w:ascii="Arial" w:eastAsia="Times New Roman" w:hAnsi="Arial" w:cs="Arial"/>
                <w:color w:val="000000"/>
                <w:sz w:val="20"/>
                <w:szCs w:val="20"/>
              </w:rPr>
              <w:t>Do not consider basic eligibility to DEA when that matter has been previously established, but do ensure eligibility is properly reflected in all systems.  However, when evaluating a claim for survivors benefit(s) include DEA as an issue in the rating decision even though DEA was awarded on another basis during the Veteran’s lifetime. </w:t>
            </w:r>
          </w:p>
          <w:p w14:paraId="31130677" w14:textId="77777777" w:rsidR="00DB5503" w:rsidRPr="00DB5503" w:rsidRDefault="00DB5503" w:rsidP="00DB5503">
            <w:pPr>
              <w:pStyle w:val="NoSpacing"/>
              <w:numPr>
                <w:ilvl w:val="0"/>
                <w:numId w:val="41"/>
              </w:numPr>
              <w:rPr>
                <w:rFonts w:ascii="Arial" w:eastAsia="Times New Roman" w:hAnsi="Arial" w:cs="Arial"/>
                <w:sz w:val="20"/>
                <w:szCs w:val="20"/>
              </w:rPr>
            </w:pPr>
            <w:r w:rsidRPr="00DB5503">
              <w:rPr>
                <w:rFonts w:ascii="Arial" w:eastAsia="Times New Roman" w:hAnsi="Arial" w:cs="Arial"/>
                <w:color w:val="000000"/>
                <w:sz w:val="20"/>
                <w:szCs w:val="20"/>
              </w:rPr>
              <w:t>When an SC total disability is awarded or confirmed and continued you must consider whether there is basic entitlement to DEA.  However if permanency of disability is not proven, do not create a separate issue and make a decision that there is no basic eligibility.  To show consideration, discuss in the evaluation issue that permanency of disability was not established or that improvement was indicated.</w:t>
            </w:r>
          </w:p>
          <w:p w14:paraId="41EBD67A" w14:textId="7CEC6541" w:rsidR="00DB5503" w:rsidRPr="00DB5503" w:rsidRDefault="00DB5503" w:rsidP="00DB5503">
            <w:pPr>
              <w:pStyle w:val="NoSpacing"/>
              <w:numPr>
                <w:ilvl w:val="0"/>
                <w:numId w:val="41"/>
              </w:numPr>
              <w:rPr>
                <w:rFonts w:ascii="Arial" w:eastAsia="Times New Roman" w:hAnsi="Arial" w:cs="Arial"/>
                <w:sz w:val="20"/>
                <w:szCs w:val="20"/>
              </w:rPr>
            </w:pPr>
            <w:r w:rsidRPr="00DB5503">
              <w:rPr>
                <w:rFonts w:ascii="Arial" w:eastAsia="Times New Roman" w:hAnsi="Arial" w:cs="Arial"/>
                <w:color w:val="000000"/>
                <w:sz w:val="20"/>
                <w:szCs w:val="20"/>
              </w:rPr>
              <w:t>Do not consider basic eligibility to DEA when the qualifying disability is awarded P&amp;T under </w:t>
            </w:r>
            <w:hyperlink r:id="rId31" w:tgtFrame="_blank" w:history="1">
              <w:r w:rsidRPr="00DB5503">
                <w:rPr>
                  <w:rStyle w:val="Hyperlink"/>
                  <w:rFonts w:ascii="Arial" w:eastAsia="Times New Roman" w:hAnsi="Arial" w:cs="Arial"/>
                  <w:b/>
                  <w:bCs/>
                  <w:sz w:val="20"/>
                  <w:szCs w:val="20"/>
                </w:rPr>
                <w:t>38 U.S.C. 1151</w:t>
              </w:r>
            </w:hyperlink>
            <w:r w:rsidRPr="00DB5503">
              <w:rPr>
                <w:rFonts w:ascii="Arial" w:eastAsia="Times New Roman" w:hAnsi="Arial" w:cs="Arial"/>
                <w:color w:val="000000"/>
                <w:sz w:val="20"/>
                <w:szCs w:val="20"/>
              </w:rPr>
              <w:t>.    </w:t>
            </w:r>
          </w:p>
          <w:p w14:paraId="13F562E8" w14:textId="77777777" w:rsidR="00DB5503" w:rsidRPr="00DB5503" w:rsidRDefault="00DB5503" w:rsidP="00DB5503">
            <w:pPr>
              <w:pStyle w:val="NoSpacing"/>
              <w:ind w:left="720"/>
              <w:rPr>
                <w:rFonts w:ascii="Arial" w:eastAsia="Times New Roman" w:hAnsi="Arial" w:cs="Arial"/>
                <w:sz w:val="20"/>
                <w:szCs w:val="20"/>
              </w:rPr>
            </w:pPr>
          </w:p>
          <w:p w14:paraId="0F8FD898" w14:textId="77777777" w:rsidR="00DB5503" w:rsidRPr="00DB5503" w:rsidRDefault="00DB5503" w:rsidP="00DB5503">
            <w:pPr>
              <w:pStyle w:val="NoSpacing"/>
              <w:rPr>
                <w:rFonts w:ascii="Arial" w:eastAsiaTheme="minorHAnsi" w:hAnsi="Arial" w:cs="Arial"/>
                <w:sz w:val="20"/>
                <w:szCs w:val="20"/>
              </w:rPr>
            </w:pPr>
            <w:r w:rsidRPr="00DB5503">
              <w:rPr>
                <w:rFonts w:ascii="Arial" w:hAnsi="Arial" w:cs="Arial"/>
                <w:b/>
                <w:bCs/>
                <w:i/>
                <w:iCs/>
                <w:color w:val="000000"/>
                <w:sz w:val="20"/>
                <w:szCs w:val="20"/>
              </w:rPr>
              <w:t>Notes</w:t>
            </w:r>
            <w:r w:rsidRPr="00DB5503">
              <w:rPr>
                <w:rFonts w:ascii="Arial" w:hAnsi="Arial" w:cs="Arial"/>
                <w:color w:val="000000"/>
                <w:sz w:val="20"/>
                <w:szCs w:val="20"/>
              </w:rPr>
              <w:t>: </w:t>
            </w:r>
          </w:p>
          <w:p w14:paraId="1C7503A1" w14:textId="77777777" w:rsidR="00DB5503" w:rsidRPr="00DB5503" w:rsidRDefault="00DB5503" w:rsidP="00DB5503">
            <w:pPr>
              <w:pStyle w:val="NoSpacing"/>
              <w:numPr>
                <w:ilvl w:val="0"/>
                <w:numId w:val="42"/>
              </w:numPr>
              <w:rPr>
                <w:rFonts w:ascii="Arial" w:eastAsia="Times New Roman" w:hAnsi="Arial" w:cs="Arial"/>
                <w:sz w:val="20"/>
                <w:szCs w:val="20"/>
              </w:rPr>
            </w:pPr>
            <w:r w:rsidRPr="00DB5503">
              <w:rPr>
                <w:rFonts w:ascii="Arial" w:eastAsia="Times New Roman" w:hAnsi="Arial" w:cs="Arial"/>
                <w:color w:val="000000"/>
                <w:sz w:val="20"/>
                <w:szCs w:val="20"/>
              </w:rPr>
              <w:t>Not assigning a future examination control on a total disability, or canceling a future examination when there is total disability, implies that improvement is not indicated and that the disability is static.  </w:t>
            </w:r>
          </w:p>
          <w:p w14:paraId="50190B1C" w14:textId="77777777" w:rsidR="00DB5503" w:rsidRPr="00DB5503" w:rsidRDefault="00DB5503" w:rsidP="00DB5503">
            <w:pPr>
              <w:pStyle w:val="NoSpacing"/>
              <w:numPr>
                <w:ilvl w:val="0"/>
                <w:numId w:val="42"/>
              </w:numPr>
              <w:rPr>
                <w:rFonts w:ascii="Arial" w:eastAsia="Times New Roman" w:hAnsi="Arial" w:cs="Arial"/>
                <w:sz w:val="20"/>
                <w:szCs w:val="20"/>
              </w:rPr>
            </w:pPr>
            <w:r w:rsidRPr="00DB5503">
              <w:rPr>
                <w:rFonts w:ascii="Arial" w:eastAsia="Times New Roman" w:hAnsi="Arial" w:cs="Arial"/>
                <w:color w:val="000000"/>
                <w:sz w:val="20"/>
                <w:szCs w:val="20"/>
              </w:rPr>
              <w:t>A rating decision </w:t>
            </w:r>
            <w:r w:rsidRPr="00DB5503">
              <w:rPr>
                <w:rFonts w:ascii="Arial" w:eastAsia="Times New Roman" w:hAnsi="Arial" w:cs="Arial"/>
                <w:i/>
                <w:iCs/>
                <w:color w:val="000000"/>
                <w:sz w:val="20"/>
                <w:szCs w:val="20"/>
              </w:rPr>
              <w:t>must</w:t>
            </w:r>
            <w:r w:rsidRPr="00DB5503">
              <w:rPr>
                <w:rFonts w:ascii="Arial" w:eastAsia="Times New Roman" w:hAnsi="Arial" w:cs="Arial"/>
                <w:color w:val="000000"/>
                <w:sz w:val="20"/>
                <w:szCs w:val="20"/>
              </w:rPr>
              <w:t> be prepared whenever permanency of a disability is established, whether the permanency is based on new evidence and/or on cancellation of a future examination regardless of whether or not there appear to be any potentially eligible dependents.</w:t>
            </w:r>
          </w:p>
          <w:p w14:paraId="6BCBFFEB" w14:textId="77777777" w:rsidR="00DB5503" w:rsidRPr="00DB5503" w:rsidRDefault="00DB5503" w:rsidP="00DB5503">
            <w:pPr>
              <w:pStyle w:val="NoSpacing"/>
              <w:numPr>
                <w:ilvl w:val="0"/>
                <w:numId w:val="42"/>
              </w:numPr>
              <w:rPr>
                <w:rFonts w:ascii="Arial" w:eastAsia="Times New Roman" w:hAnsi="Arial" w:cs="Arial"/>
                <w:sz w:val="20"/>
                <w:szCs w:val="20"/>
              </w:rPr>
            </w:pPr>
            <w:r w:rsidRPr="00DB5503">
              <w:rPr>
                <w:rFonts w:ascii="Arial" w:eastAsia="Times New Roman" w:hAnsi="Arial" w:cs="Arial"/>
                <w:color w:val="000000"/>
                <w:sz w:val="20"/>
                <w:szCs w:val="20"/>
              </w:rPr>
              <w:t>The Veterans Benefits Management System – Rating (VBMS-R) automatically establishes the ancillary issue of DEA/Chapter 35 entitlement when there is a combined evaluation of 100 percent and no future examination identified.</w:t>
            </w:r>
          </w:p>
          <w:p w14:paraId="0C25D6E8" w14:textId="4A4B6A05" w:rsidR="00DB5503" w:rsidRPr="00DB5503" w:rsidRDefault="00DB5503" w:rsidP="00DB5503">
            <w:pPr>
              <w:pStyle w:val="NoSpacing"/>
              <w:numPr>
                <w:ilvl w:val="0"/>
                <w:numId w:val="42"/>
              </w:numPr>
              <w:rPr>
                <w:rFonts w:ascii="Arial" w:eastAsia="Times New Roman" w:hAnsi="Arial" w:cs="Arial"/>
                <w:sz w:val="20"/>
                <w:szCs w:val="20"/>
              </w:rPr>
            </w:pPr>
            <w:r w:rsidRPr="00DB5503">
              <w:rPr>
                <w:rFonts w:ascii="Arial" w:eastAsia="Times New Roman" w:hAnsi="Arial" w:cs="Arial"/>
                <w:color w:val="000000"/>
                <w:sz w:val="20"/>
                <w:szCs w:val="20"/>
              </w:rPr>
              <w:t>Consider entitlement to DEA without a rating decision when SC is granted for the cause of death without a rating decision.</w:t>
            </w:r>
          </w:p>
          <w:p w14:paraId="4A2F1A28" w14:textId="77777777" w:rsidR="00DB5503" w:rsidRPr="00DB5503" w:rsidRDefault="00DB5503" w:rsidP="00DB5503">
            <w:pPr>
              <w:pStyle w:val="NoSpacing"/>
              <w:ind w:left="720"/>
              <w:rPr>
                <w:rFonts w:ascii="Arial" w:eastAsia="Times New Roman" w:hAnsi="Arial" w:cs="Arial"/>
                <w:sz w:val="20"/>
                <w:szCs w:val="20"/>
              </w:rPr>
            </w:pPr>
          </w:p>
          <w:p w14:paraId="22B23190" w14:textId="77777777" w:rsidR="00DB5503" w:rsidRPr="00DB5503" w:rsidRDefault="00DB5503" w:rsidP="00DB5503">
            <w:pPr>
              <w:pStyle w:val="NoSpacing"/>
              <w:rPr>
                <w:rFonts w:ascii="Arial" w:eastAsiaTheme="minorHAnsi" w:hAnsi="Arial" w:cs="Arial"/>
                <w:sz w:val="20"/>
                <w:szCs w:val="20"/>
              </w:rPr>
            </w:pPr>
            <w:r w:rsidRPr="00DB5503">
              <w:rPr>
                <w:rFonts w:ascii="Arial" w:hAnsi="Arial" w:cs="Arial"/>
                <w:b/>
                <w:bCs/>
                <w:i/>
                <w:iCs/>
                <w:color w:val="000000"/>
                <w:sz w:val="20"/>
                <w:szCs w:val="20"/>
              </w:rPr>
              <w:t>Reference</w:t>
            </w:r>
            <w:r w:rsidRPr="00DB5503">
              <w:rPr>
                <w:rFonts w:ascii="Arial" w:hAnsi="Arial" w:cs="Arial"/>
                <w:color w:val="000000"/>
                <w:sz w:val="20"/>
                <w:szCs w:val="20"/>
              </w:rPr>
              <w:t>:  For more information on the automatic establishment of the ancillary issue of DEA/Chapter 35 in VBMS-R, see the </w:t>
            </w:r>
            <w:hyperlink r:id="rId32" w:tgtFrame="_blank" w:history="1">
              <w:r w:rsidRPr="00DB5503">
                <w:rPr>
                  <w:rStyle w:val="Hyperlink"/>
                  <w:rFonts w:ascii="Arial" w:hAnsi="Arial" w:cs="Arial"/>
                  <w:b/>
                  <w:bCs/>
                  <w:i/>
                  <w:iCs/>
                  <w:sz w:val="20"/>
                  <w:szCs w:val="20"/>
                </w:rPr>
                <w:t>VBMS-R User Guide</w:t>
              </w:r>
            </w:hyperlink>
            <w:r w:rsidRPr="00DB5503">
              <w:rPr>
                <w:rFonts w:ascii="Arial" w:hAnsi="Arial" w:cs="Arial"/>
                <w:color w:val="000000"/>
                <w:sz w:val="20"/>
                <w:szCs w:val="20"/>
              </w:rPr>
              <w:t>.</w:t>
            </w:r>
          </w:p>
        </w:tc>
      </w:tr>
    </w:tbl>
    <w:p w14:paraId="7D84236A" w14:textId="77777777" w:rsidR="00DB5503" w:rsidRPr="00DB5503" w:rsidRDefault="00DB5503" w:rsidP="00DB5503">
      <w:pPr>
        <w:pStyle w:val="NoSpacing"/>
        <w:rPr>
          <w:rFonts w:ascii="Arial" w:hAnsi="Arial" w:cs="Arial"/>
          <w:szCs w:val="24"/>
        </w:rPr>
      </w:pPr>
    </w:p>
    <w:p w14:paraId="514F8EEB" w14:textId="77777777" w:rsidR="00DB5503" w:rsidRPr="00DB5503" w:rsidRDefault="00DB5503" w:rsidP="00DB5503">
      <w:pPr>
        <w:pStyle w:val="NoSpacing"/>
        <w:rPr>
          <w:rFonts w:ascii="Arial" w:hAnsi="Arial" w:cs="Arial"/>
          <w:szCs w:val="24"/>
        </w:rPr>
      </w:pPr>
      <w:r w:rsidRPr="00DB5503">
        <w:rPr>
          <w:rFonts w:ascii="Arial" w:hAnsi="Arial" w:cs="Arial"/>
          <w:szCs w:val="24"/>
        </w:rPr>
        <w:t xml:space="preserve">If this guidance should stand (“a rating decision should not be completed to grant Dependents Education Assistance (DEA) when a VA Form 21-534EZ, Application for </w:t>
      </w:r>
      <w:r w:rsidRPr="00DB5503">
        <w:rPr>
          <w:rFonts w:ascii="Arial" w:hAnsi="Arial" w:cs="Arial"/>
          <w:szCs w:val="24"/>
        </w:rPr>
        <w:lastRenderedPageBreak/>
        <w:t>DIC, Death Pension, and Accrued Benefits, has been received after an automated payment of Dependency Indemnity Compensation (DIC)”), then how are we handling the entitlement of DEA?  If there is nothing else at issue, is the proper end product a 290, which is consistent with prior guidance from the September 2015 P&amp;F Bulletin?   </w:t>
      </w:r>
    </w:p>
    <w:p w14:paraId="742ABF7C" w14:textId="77777777" w:rsidR="00DB5503" w:rsidRPr="00DB5503" w:rsidRDefault="00DB5503" w:rsidP="00DB5503">
      <w:pPr>
        <w:pStyle w:val="NoSpacing"/>
        <w:rPr>
          <w:rFonts w:ascii="Arial" w:hAnsi="Arial" w:cs="Arial"/>
          <w:szCs w:val="24"/>
        </w:rPr>
      </w:pPr>
    </w:p>
    <w:p w14:paraId="2700EA64" w14:textId="0C0B504B" w:rsidR="00DB5503" w:rsidRDefault="00DB5503" w:rsidP="00DB5503">
      <w:pPr>
        <w:pStyle w:val="NoSpacing"/>
        <w:rPr>
          <w:rFonts w:ascii="Arial" w:hAnsi="Arial" w:cs="Arial"/>
          <w:b/>
          <w:bCs/>
          <w:szCs w:val="24"/>
          <w:u w:val="single"/>
        </w:rPr>
      </w:pPr>
      <w:r w:rsidRPr="00DB5503">
        <w:rPr>
          <w:rFonts w:ascii="Arial" w:hAnsi="Arial" w:cs="Arial"/>
          <w:b/>
          <w:bCs/>
          <w:szCs w:val="24"/>
          <w:u w:val="single"/>
        </w:rPr>
        <w:t>Granting Chapter 35 DEA Without A Rating (from September 2015 P&amp;F Bulletin)  </w:t>
      </w:r>
    </w:p>
    <w:p w14:paraId="291405F8" w14:textId="77777777" w:rsidR="00DB5503" w:rsidRPr="00DB5503" w:rsidRDefault="00DB5503" w:rsidP="00DB5503">
      <w:pPr>
        <w:pStyle w:val="NoSpacing"/>
        <w:rPr>
          <w:rFonts w:ascii="Arial" w:hAnsi="Arial" w:cs="Arial"/>
          <w:b/>
          <w:bCs/>
          <w:szCs w:val="24"/>
          <w:u w:val="single"/>
        </w:rPr>
      </w:pPr>
    </w:p>
    <w:p w14:paraId="692CB8FF" w14:textId="77777777" w:rsidR="00DB5503" w:rsidRPr="00DB5503" w:rsidRDefault="00DB5503" w:rsidP="00DB5503">
      <w:pPr>
        <w:pStyle w:val="NoSpacing"/>
        <w:rPr>
          <w:rFonts w:ascii="Arial" w:hAnsi="Arial" w:cs="Arial"/>
          <w:szCs w:val="24"/>
        </w:rPr>
      </w:pPr>
      <w:r w:rsidRPr="00DB5503">
        <w:rPr>
          <w:rFonts w:ascii="Arial" w:hAnsi="Arial" w:cs="Arial"/>
          <w:szCs w:val="24"/>
        </w:rPr>
        <w:t>When granting DEA solely without a rating decision, such as when VA has granted DIC automatically, it is considered an authorization Pension Update Bulletin 3 decision and the PMC should take an EP 297 credit. This is consistent with the M21-4, Appendix B, Section I, EP 290 – Eligibility Determinations – Other, which states, “The independent determinations applicable to EP 290 are those which require separate formal rating or authorization decisions.” Dependents’ Educational Assistance (DEA) – Ch. 35 eligibility is listed as one of the decisions where an EP 290 (or 297 as is the case of PMCs) should be used. When DEA is the sole issue and a rating is required, the M21-4 instructs that an EP 297 be used at the PMCs.</w:t>
      </w:r>
    </w:p>
    <w:p w14:paraId="486F22C1" w14:textId="405DB82A" w:rsidR="00DB5503" w:rsidRDefault="00DB5503" w:rsidP="00DB5503">
      <w:pPr>
        <w:pStyle w:val="PlainText"/>
        <w:rPr>
          <w:rFonts w:ascii="Arial" w:hAnsi="Arial" w:cs="Arial"/>
          <w:b/>
          <w:sz w:val="24"/>
          <w:szCs w:val="28"/>
        </w:rPr>
      </w:pPr>
    </w:p>
    <w:p w14:paraId="5A37653C" w14:textId="77777777" w:rsidR="00DB5503" w:rsidRDefault="00DB5503" w:rsidP="00DB5503">
      <w:pPr>
        <w:spacing w:after="0" w:line="240" w:lineRule="auto"/>
        <w:rPr>
          <w:rFonts w:ascii="Arial" w:hAnsi="Arial" w:cs="Arial"/>
          <w:szCs w:val="24"/>
        </w:rPr>
      </w:pPr>
      <w:r>
        <w:rPr>
          <w:rFonts w:ascii="Arial" w:hAnsi="Arial" w:cs="Arial"/>
          <w:b/>
          <w:bCs/>
          <w:szCs w:val="24"/>
        </w:rPr>
        <w:t>Question 1</w:t>
      </w:r>
      <w:r>
        <w:rPr>
          <w:rFonts w:ascii="Arial" w:hAnsi="Arial" w:cs="Arial"/>
          <w:szCs w:val="24"/>
        </w:rPr>
        <w:t>: If this guidance should stand (“a rating decision should not be completed to grant Dependents Education Assistance (DEA) when a VA Form 21-534EZ, Application for DIC, Death Pension, and Accrued Benefits, has been received after an automated payment of Dependency Indemnity Compensation (DIC)”), then how are we handling the entitlement of DEA? </w:t>
      </w:r>
    </w:p>
    <w:p w14:paraId="1A3389EA" w14:textId="77777777" w:rsidR="00DB5503" w:rsidRDefault="00DB5503" w:rsidP="00DB5503">
      <w:pPr>
        <w:spacing w:after="0" w:line="240" w:lineRule="auto"/>
        <w:rPr>
          <w:rFonts w:ascii="Arial" w:hAnsi="Arial" w:cs="Arial"/>
          <w:szCs w:val="24"/>
        </w:rPr>
      </w:pPr>
    </w:p>
    <w:p w14:paraId="463E84B0" w14:textId="77777777" w:rsidR="00DB5503" w:rsidRDefault="00DB5503" w:rsidP="00DB5503">
      <w:pPr>
        <w:spacing w:after="0" w:line="240" w:lineRule="auto"/>
        <w:rPr>
          <w:rFonts w:ascii="Arial" w:hAnsi="Arial" w:cs="Arial"/>
          <w:szCs w:val="24"/>
        </w:rPr>
      </w:pPr>
      <w:r>
        <w:rPr>
          <w:rFonts w:ascii="Arial" w:hAnsi="Arial" w:cs="Arial"/>
          <w:b/>
          <w:bCs/>
          <w:szCs w:val="24"/>
        </w:rPr>
        <w:t>Response 1</w:t>
      </w:r>
      <w:r>
        <w:rPr>
          <w:rFonts w:ascii="Arial" w:hAnsi="Arial" w:cs="Arial"/>
          <w:szCs w:val="24"/>
        </w:rPr>
        <w:t xml:space="preserve">: The previous guidance referred to in this question is incorrect. The VSR cannot determine entitlement to DEA administratively as a grant of DEA cannot be stored to the database without completion of a rating decision.  A rating decision is required.  Along with the promulgation of the rating decision, claims processors will provide the claimant a notification letter outlining VA’s decision pertaining to his/her entitlement to DEA along with all applicable decision notification requirements, to include, but not limited to, appellate rights, forms, brochures, and/or pamphlets. </w:t>
      </w:r>
    </w:p>
    <w:p w14:paraId="677533FE" w14:textId="77777777" w:rsidR="00DB5503" w:rsidRDefault="00DB5503" w:rsidP="00DB5503">
      <w:pPr>
        <w:spacing w:after="0" w:line="240" w:lineRule="auto"/>
        <w:rPr>
          <w:rFonts w:ascii="Arial" w:hAnsi="Arial" w:cs="Arial"/>
          <w:szCs w:val="24"/>
        </w:rPr>
      </w:pPr>
    </w:p>
    <w:p w14:paraId="1658923C" w14:textId="65B6699B" w:rsidR="00DB5503" w:rsidRDefault="00DB5503" w:rsidP="00DB5503">
      <w:pPr>
        <w:spacing w:after="0" w:line="240" w:lineRule="auto"/>
        <w:rPr>
          <w:rFonts w:ascii="Arial" w:hAnsi="Arial" w:cs="Arial"/>
          <w:szCs w:val="24"/>
        </w:rPr>
      </w:pPr>
      <w:r>
        <w:rPr>
          <w:rFonts w:ascii="Arial" w:hAnsi="Arial" w:cs="Arial"/>
          <w:szCs w:val="24"/>
        </w:rPr>
        <w:t xml:space="preserve">M21-1 </w:t>
      </w:r>
      <w:r w:rsidR="000573C0">
        <w:rPr>
          <w:rFonts w:ascii="Arial" w:hAnsi="Arial" w:cs="Arial"/>
          <w:szCs w:val="24"/>
        </w:rPr>
        <w:t xml:space="preserve">Part </w:t>
      </w:r>
      <w:r>
        <w:rPr>
          <w:rFonts w:ascii="Arial" w:hAnsi="Arial" w:cs="Arial"/>
          <w:szCs w:val="24"/>
        </w:rPr>
        <w:t>IX</w:t>
      </w:r>
      <w:r w:rsidR="000573C0">
        <w:rPr>
          <w:rFonts w:ascii="Arial" w:hAnsi="Arial" w:cs="Arial"/>
          <w:szCs w:val="24"/>
        </w:rPr>
        <w:t xml:space="preserve">, Subpart </w:t>
      </w:r>
      <w:r>
        <w:rPr>
          <w:rFonts w:ascii="Arial" w:hAnsi="Arial" w:cs="Arial"/>
          <w:szCs w:val="24"/>
        </w:rPr>
        <w:t>ii</w:t>
      </w:r>
      <w:r w:rsidR="000573C0">
        <w:rPr>
          <w:rFonts w:ascii="Arial" w:hAnsi="Arial" w:cs="Arial"/>
          <w:szCs w:val="24"/>
        </w:rPr>
        <w:t xml:space="preserve">, </w:t>
      </w:r>
      <w:r>
        <w:rPr>
          <w:rFonts w:ascii="Arial" w:hAnsi="Arial" w:cs="Arial"/>
          <w:szCs w:val="24"/>
        </w:rPr>
        <w:t>2.1.l</w:t>
      </w:r>
      <w:r w:rsidR="000573C0">
        <w:rPr>
          <w:rFonts w:ascii="Arial" w:hAnsi="Arial" w:cs="Arial"/>
          <w:szCs w:val="24"/>
        </w:rPr>
        <w:t xml:space="preserve"> was changed on July 1, 2020,</w:t>
      </w:r>
      <w:r>
        <w:rPr>
          <w:rFonts w:ascii="Arial" w:hAnsi="Arial" w:cs="Arial"/>
          <w:szCs w:val="24"/>
        </w:rPr>
        <w:t xml:space="preserve"> to ensure consistency with M21-1 </w:t>
      </w:r>
      <w:r w:rsidR="000573C0">
        <w:rPr>
          <w:rFonts w:ascii="Arial" w:hAnsi="Arial" w:cs="Arial"/>
          <w:szCs w:val="24"/>
        </w:rPr>
        <w:t xml:space="preserve">Part </w:t>
      </w:r>
      <w:r>
        <w:rPr>
          <w:rFonts w:ascii="Arial" w:hAnsi="Arial" w:cs="Arial"/>
          <w:szCs w:val="24"/>
        </w:rPr>
        <w:t>III</w:t>
      </w:r>
      <w:r w:rsidR="000573C0">
        <w:rPr>
          <w:rFonts w:ascii="Arial" w:hAnsi="Arial" w:cs="Arial"/>
          <w:szCs w:val="24"/>
        </w:rPr>
        <w:t xml:space="preserve">, Subpart </w:t>
      </w:r>
      <w:r>
        <w:rPr>
          <w:rFonts w:ascii="Arial" w:hAnsi="Arial" w:cs="Arial"/>
          <w:szCs w:val="24"/>
        </w:rPr>
        <w:t>iii</w:t>
      </w:r>
      <w:r w:rsidR="000573C0">
        <w:rPr>
          <w:rFonts w:ascii="Arial" w:hAnsi="Arial" w:cs="Arial"/>
          <w:szCs w:val="24"/>
        </w:rPr>
        <w:t xml:space="preserve">, </w:t>
      </w:r>
      <w:r>
        <w:rPr>
          <w:rFonts w:ascii="Arial" w:hAnsi="Arial" w:cs="Arial"/>
          <w:szCs w:val="24"/>
        </w:rPr>
        <w:t>6.C.2.e.</w:t>
      </w:r>
    </w:p>
    <w:p w14:paraId="5EEEBE0B" w14:textId="77777777" w:rsidR="00DB5503" w:rsidRDefault="00DB5503" w:rsidP="00DB5503">
      <w:pPr>
        <w:spacing w:after="0" w:line="240" w:lineRule="auto"/>
        <w:rPr>
          <w:rFonts w:ascii="Arial" w:hAnsi="Arial" w:cs="Arial"/>
          <w:szCs w:val="24"/>
        </w:rPr>
      </w:pPr>
    </w:p>
    <w:p w14:paraId="07FD9952" w14:textId="77777777" w:rsidR="00DB5503" w:rsidRDefault="00DB5503" w:rsidP="00DB5503">
      <w:pPr>
        <w:spacing w:after="0" w:line="240" w:lineRule="auto"/>
        <w:rPr>
          <w:rFonts w:ascii="Arial" w:hAnsi="Arial" w:cs="Arial"/>
          <w:szCs w:val="24"/>
        </w:rPr>
      </w:pPr>
      <w:r>
        <w:rPr>
          <w:rFonts w:ascii="Arial" w:hAnsi="Arial" w:cs="Arial"/>
          <w:b/>
          <w:bCs/>
          <w:szCs w:val="24"/>
        </w:rPr>
        <w:t>Question 2</w:t>
      </w:r>
      <w:r>
        <w:rPr>
          <w:rFonts w:ascii="Arial" w:hAnsi="Arial" w:cs="Arial"/>
          <w:szCs w:val="24"/>
        </w:rPr>
        <w:t xml:space="preserve">:  If there is nothing else at issue, is the proper end product a 290, which is consistent with prior guidance from the September 2015 P&amp;F Bulletin?   </w:t>
      </w:r>
    </w:p>
    <w:p w14:paraId="26EF92CB" w14:textId="77777777" w:rsidR="00DB5503" w:rsidRDefault="00DB5503" w:rsidP="00DB5503">
      <w:pPr>
        <w:spacing w:after="0" w:line="240" w:lineRule="auto"/>
        <w:rPr>
          <w:rFonts w:ascii="Arial" w:hAnsi="Arial" w:cs="Arial"/>
          <w:szCs w:val="24"/>
        </w:rPr>
      </w:pPr>
    </w:p>
    <w:p w14:paraId="4FDF2B78" w14:textId="77777777" w:rsidR="00DB5503" w:rsidRDefault="00DB5503" w:rsidP="00DB5503">
      <w:pPr>
        <w:spacing w:after="0" w:line="240" w:lineRule="auto"/>
        <w:rPr>
          <w:rFonts w:ascii="Arial" w:hAnsi="Arial" w:cs="Arial"/>
          <w:szCs w:val="24"/>
        </w:rPr>
      </w:pPr>
      <w:r>
        <w:rPr>
          <w:rFonts w:ascii="Arial" w:hAnsi="Arial" w:cs="Arial"/>
          <w:b/>
          <w:bCs/>
          <w:szCs w:val="24"/>
        </w:rPr>
        <w:t>Response 2</w:t>
      </w:r>
      <w:r>
        <w:rPr>
          <w:rFonts w:ascii="Arial" w:hAnsi="Arial" w:cs="Arial"/>
          <w:szCs w:val="24"/>
        </w:rPr>
        <w:t xml:space="preserve">: When a 21-534EZ is submitted and if survivor’s pension, DIC, and accrued have all previously addressed and are not specifically being claimed and requiring a new decision, and the only benefit being addressed is DEA, then an EP 290 is appropriate. If any of the three benefits have not been previously addressed or require re-adjudication, then the appropriate 020, 120, or 165 EP should be used. </w:t>
      </w:r>
    </w:p>
    <w:p w14:paraId="666EFD3F" w14:textId="4AF6397F" w:rsidR="00DB5503" w:rsidRDefault="00DB5503" w:rsidP="00DB5503">
      <w:pPr>
        <w:pStyle w:val="PlainText"/>
        <w:rPr>
          <w:rFonts w:ascii="Arial" w:hAnsi="Arial" w:cs="Arial"/>
          <w:b/>
          <w:sz w:val="24"/>
          <w:szCs w:val="28"/>
        </w:rPr>
      </w:pPr>
    </w:p>
    <w:p w14:paraId="506049A3" w14:textId="21FE5C71" w:rsidR="007C414D" w:rsidRPr="007C414D" w:rsidRDefault="00DB5503" w:rsidP="00DB5503">
      <w:pPr>
        <w:spacing w:after="0" w:line="240" w:lineRule="auto"/>
        <w:rPr>
          <w:rFonts w:ascii="Arial" w:hAnsi="Arial" w:cs="Arial"/>
          <w:szCs w:val="24"/>
        </w:rPr>
      </w:pPr>
      <w:r w:rsidRPr="007C414D">
        <w:rPr>
          <w:rFonts w:ascii="Arial" w:hAnsi="Arial" w:cs="Arial"/>
          <w:b/>
        </w:rPr>
        <w:t>Result:</w:t>
      </w:r>
      <w:r w:rsidRPr="007C414D">
        <w:rPr>
          <w:rFonts w:ascii="Arial" w:hAnsi="Arial" w:cs="Arial"/>
        </w:rPr>
        <w:t xml:space="preserve">  </w:t>
      </w:r>
      <w:hyperlink r:id="rId33" w:history="1">
        <w:r w:rsidRPr="002B719A">
          <w:rPr>
            <w:rStyle w:val="Hyperlink"/>
            <w:rFonts w:ascii="Arial" w:hAnsi="Arial" w:cs="Arial"/>
            <w:szCs w:val="24"/>
          </w:rPr>
          <w:t>M21-1</w:t>
        </w:r>
        <w:r w:rsidR="007C414D" w:rsidRPr="002B719A">
          <w:rPr>
            <w:rStyle w:val="Hyperlink"/>
            <w:rFonts w:ascii="Arial" w:hAnsi="Arial" w:cs="Arial"/>
            <w:szCs w:val="24"/>
          </w:rPr>
          <w:t>, Part</w:t>
        </w:r>
        <w:r w:rsidRPr="002B719A">
          <w:rPr>
            <w:rStyle w:val="Hyperlink"/>
            <w:rFonts w:ascii="Arial" w:hAnsi="Arial" w:cs="Arial"/>
            <w:szCs w:val="24"/>
          </w:rPr>
          <w:t xml:space="preserve"> IX</w:t>
        </w:r>
        <w:r w:rsidR="007C414D" w:rsidRPr="002B719A">
          <w:rPr>
            <w:rStyle w:val="Hyperlink"/>
            <w:rFonts w:ascii="Arial" w:hAnsi="Arial" w:cs="Arial"/>
            <w:szCs w:val="24"/>
          </w:rPr>
          <w:t xml:space="preserve">, Subpart </w:t>
        </w:r>
        <w:r w:rsidRPr="002B719A">
          <w:rPr>
            <w:rStyle w:val="Hyperlink"/>
            <w:rFonts w:ascii="Arial" w:hAnsi="Arial" w:cs="Arial"/>
            <w:szCs w:val="24"/>
          </w:rPr>
          <w:t>ii</w:t>
        </w:r>
        <w:r w:rsidR="000573C0">
          <w:rPr>
            <w:rStyle w:val="Hyperlink"/>
            <w:rFonts w:ascii="Arial" w:hAnsi="Arial" w:cs="Arial"/>
            <w:szCs w:val="24"/>
          </w:rPr>
          <w:t xml:space="preserve">, </w:t>
        </w:r>
        <w:r w:rsidRPr="002B719A">
          <w:rPr>
            <w:rStyle w:val="Hyperlink"/>
            <w:rFonts w:ascii="Arial" w:hAnsi="Arial" w:cs="Arial"/>
            <w:szCs w:val="24"/>
          </w:rPr>
          <w:t>2.1.l.</w:t>
        </w:r>
      </w:hyperlink>
      <w:r w:rsidRPr="007C414D">
        <w:rPr>
          <w:rFonts w:ascii="Arial" w:hAnsi="Arial" w:cs="Arial"/>
          <w:szCs w:val="24"/>
        </w:rPr>
        <w:t xml:space="preserve"> </w:t>
      </w:r>
      <w:r w:rsidR="007C414D" w:rsidRPr="007C414D">
        <w:rPr>
          <w:rFonts w:ascii="Arial" w:hAnsi="Arial" w:cs="Arial"/>
          <w:szCs w:val="24"/>
        </w:rPr>
        <w:t>was updated on July 1, 2020.</w:t>
      </w:r>
    </w:p>
    <w:p w14:paraId="2F2C1573" w14:textId="77777777" w:rsidR="005C652B" w:rsidRDefault="005C652B" w:rsidP="00156A9D">
      <w:pPr>
        <w:pStyle w:val="Heading1"/>
        <w:rPr>
          <w:rFonts w:ascii="Arial" w:hAnsi="Arial" w:cs="Arial"/>
        </w:rPr>
      </w:pPr>
    </w:p>
    <w:p w14:paraId="7120A7FC" w14:textId="390C7D34" w:rsidR="00156A9D" w:rsidRPr="00824543" w:rsidRDefault="00156A9D" w:rsidP="00156A9D">
      <w:pPr>
        <w:pStyle w:val="Heading1"/>
        <w:rPr>
          <w:rFonts w:ascii="Arial" w:hAnsi="Arial" w:cs="Arial"/>
        </w:rPr>
      </w:pPr>
      <w:bookmarkStart w:id="22" w:name="_Toc45875965"/>
      <w:r w:rsidRPr="00156A9D">
        <w:rPr>
          <w:rFonts w:ascii="Arial" w:hAnsi="Arial" w:cs="Arial"/>
        </w:rPr>
        <w:lastRenderedPageBreak/>
        <w:t>Question on Policy Letter 20-02</w:t>
      </w:r>
      <w:bookmarkEnd w:id="22"/>
    </w:p>
    <w:p w14:paraId="0CD96F80" w14:textId="77777777" w:rsidR="00156A9D" w:rsidRPr="00CD5A9A" w:rsidRDefault="00156A9D" w:rsidP="00156A9D">
      <w:pPr>
        <w:spacing w:after="0" w:line="240" w:lineRule="auto"/>
        <w:rPr>
          <w:rFonts w:ascii="Arial" w:eastAsia="Times New Roman" w:hAnsi="Arial" w:cs="Arial"/>
          <w:szCs w:val="24"/>
        </w:rPr>
      </w:pPr>
      <w:r w:rsidRPr="00CD5A9A">
        <w:rPr>
          <w:rFonts w:ascii="Arial" w:hAnsi="Arial" w:cs="Arial"/>
          <w:b/>
          <w:szCs w:val="24"/>
        </w:rPr>
        <w:t>Target Audience</w:t>
      </w:r>
      <w:r w:rsidRPr="00CD5A9A">
        <w:rPr>
          <w:rFonts w:ascii="Arial" w:hAnsi="Arial" w:cs="Arial"/>
          <w:szCs w:val="24"/>
        </w:rPr>
        <w:t>:</w:t>
      </w:r>
      <w:r w:rsidRPr="00CD5A9A">
        <w:rPr>
          <w:rFonts w:ascii="Arial" w:eastAsia="Times New Roman" w:hAnsi="Arial" w:cs="Arial"/>
          <w:szCs w:val="24"/>
        </w:rPr>
        <w:t xml:space="preserve"> </w:t>
      </w:r>
      <w:r w:rsidRPr="00CD5A9A">
        <w:rPr>
          <w:rFonts w:ascii="Arial" w:hAnsi="Arial" w:cs="Arial"/>
          <w:szCs w:val="24"/>
        </w:rPr>
        <w:t>PMC Claims Processors</w:t>
      </w:r>
    </w:p>
    <w:p w14:paraId="0C974C35" w14:textId="68CFEF6B" w:rsidR="00156A9D" w:rsidRDefault="00156A9D" w:rsidP="00156A9D">
      <w:pPr>
        <w:spacing w:after="0" w:line="240" w:lineRule="auto"/>
        <w:rPr>
          <w:rFonts w:ascii="Arial" w:hAnsi="Arial" w:cs="Arial"/>
          <w:szCs w:val="24"/>
        </w:rPr>
      </w:pPr>
    </w:p>
    <w:p w14:paraId="0C20CB25" w14:textId="509B549F" w:rsidR="00156A9D" w:rsidRDefault="00156A9D" w:rsidP="00156A9D">
      <w:pPr>
        <w:spacing w:after="0" w:line="240" w:lineRule="auto"/>
        <w:rPr>
          <w:rFonts w:ascii="Arial" w:hAnsi="Arial" w:cs="Arial"/>
          <w:szCs w:val="24"/>
        </w:rPr>
      </w:pPr>
      <w:r w:rsidRPr="00156A9D">
        <w:rPr>
          <w:rFonts w:ascii="Arial" w:hAnsi="Arial" w:cs="Arial"/>
          <w:szCs w:val="24"/>
        </w:rPr>
        <w:t>We would like to ask a couple of questions regarding Policy Letter 20-02, particular the “Date of Receipt Guidance.”  As noted “In the event there is no postmark or date stamp by USPS, VA will consider any correspondence with a VA date stamp or Claims Intake Center COVID-19 watermark during the designated period as received no later than February 29, 2020.”   We are starting to see some situations that require clarification.</w:t>
      </w:r>
    </w:p>
    <w:p w14:paraId="551EE380" w14:textId="1D0A9226" w:rsidR="00156A9D" w:rsidRDefault="00156A9D" w:rsidP="00156A9D">
      <w:pPr>
        <w:spacing w:after="0" w:line="240" w:lineRule="auto"/>
        <w:rPr>
          <w:rFonts w:ascii="Arial" w:hAnsi="Arial" w:cs="Arial"/>
          <w:szCs w:val="24"/>
        </w:rPr>
      </w:pPr>
    </w:p>
    <w:p w14:paraId="44D49F08" w14:textId="77777777" w:rsidR="00156A9D" w:rsidRDefault="00156A9D" w:rsidP="00156A9D">
      <w:pPr>
        <w:pStyle w:val="ListParagraph"/>
        <w:spacing w:after="0" w:line="240" w:lineRule="auto"/>
        <w:ind w:left="0"/>
        <w:rPr>
          <w:rFonts w:ascii="Arial" w:eastAsia="Times New Roman" w:hAnsi="Arial" w:cs="Arial"/>
          <w:szCs w:val="24"/>
        </w:rPr>
      </w:pPr>
      <w:r>
        <w:rPr>
          <w:rFonts w:ascii="Arial" w:eastAsia="Times New Roman" w:hAnsi="Arial" w:cs="Arial"/>
          <w:b/>
          <w:bCs/>
          <w:szCs w:val="24"/>
        </w:rPr>
        <w:t>Question 1:</w:t>
      </w:r>
      <w:r>
        <w:rPr>
          <w:rFonts w:ascii="Arial" w:eastAsia="Times New Roman" w:hAnsi="Arial" w:cs="Arial"/>
          <w:szCs w:val="24"/>
        </w:rPr>
        <w:t xml:space="preserve">  In situations where the claimant has written that he or she signed the documents after February 29, 2020, would we continue to follow this guidance?</w:t>
      </w:r>
    </w:p>
    <w:p w14:paraId="2BE5CCD3" w14:textId="77777777" w:rsidR="00156A9D" w:rsidRDefault="00156A9D" w:rsidP="00156A9D">
      <w:pPr>
        <w:pStyle w:val="ListParagraph"/>
        <w:spacing w:after="0" w:line="240" w:lineRule="auto"/>
        <w:ind w:left="0"/>
        <w:rPr>
          <w:rFonts w:ascii="Arial" w:eastAsia="Times New Roman" w:hAnsi="Arial" w:cs="Arial"/>
          <w:szCs w:val="24"/>
        </w:rPr>
      </w:pPr>
    </w:p>
    <w:p w14:paraId="29EF891B" w14:textId="77777777" w:rsidR="00156A9D" w:rsidRDefault="00156A9D" w:rsidP="00156A9D">
      <w:pPr>
        <w:pStyle w:val="ListParagraph"/>
        <w:spacing w:after="0" w:line="240" w:lineRule="auto"/>
        <w:ind w:left="0"/>
        <w:rPr>
          <w:rFonts w:ascii="Arial" w:eastAsia="Times New Roman" w:hAnsi="Arial" w:cs="Arial"/>
          <w:szCs w:val="24"/>
        </w:rPr>
      </w:pPr>
      <w:r>
        <w:rPr>
          <w:rFonts w:ascii="Arial" w:eastAsia="Times New Roman" w:hAnsi="Arial" w:cs="Arial"/>
          <w:b/>
          <w:bCs/>
          <w:szCs w:val="24"/>
        </w:rPr>
        <w:t>Response 1:</w:t>
      </w:r>
      <w:r>
        <w:rPr>
          <w:rFonts w:ascii="Arial" w:eastAsia="Times New Roman" w:hAnsi="Arial" w:cs="Arial"/>
          <w:szCs w:val="24"/>
        </w:rPr>
        <w:t xml:space="preserve">  Yes, generally PMCs should follow Policy Letter 20-02 in situations where the claimant has written that he or she signed the documents after February 29, 2020.  However, there are exceptions such as the scenarios described below in the Inquiries 2 &amp; 3.  </w:t>
      </w:r>
    </w:p>
    <w:p w14:paraId="656B8B1A" w14:textId="77777777" w:rsidR="00156A9D" w:rsidRDefault="00156A9D" w:rsidP="00156A9D">
      <w:pPr>
        <w:pStyle w:val="ListParagraph"/>
        <w:spacing w:after="0" w:line="240" w:lineRule="auto"/>
        <w:ind w:left="0"/>
        <w:rPr>
          <w:rFonts w:ascii="Arial" w:eastAsia="Times New Roman" w:hAnsi="Arial" w:cs="Arial"/>
          <w:szCs w:val="24"/>
        </w:rPr>
      </w:pPr>
    </w:p>
    <w:p w14:paraId="69C44A6C" w14:textId="77777777" w:rsidR="00156A9D" w:rsidRDefault="00156A9D" w:rsidP="00156A9D">
      <w:pPr>
        <w:pStyle w:val="ListParagraph"/>
        <w:spacing w:after="0" w:line="240" w:lineRule="auto"/>
        <w:ind w:left="0"/>
        <w:rPr>
          <w:rFonts w:ascii="Arial" w:eastAsia="Times New Roman" w:hAnsi="Arial" w:cs="Arial"/>
          <w:szCs w:val="24"/>
        </w:rPr>
      </w:pPr>
      <w:r>
        <w:rPr>
          <w:rFonts w:ascii="Arial" w:eastAsia="Times New Roman" w:hAnsi="Arial" w:cs="Arial"/>
          <w:b/>
          <w:bCs/>
          <w:szCs w:val="24"/>
        </w:rPr>
        <w:t>Question 2:</w:t>
      </w:r>
      <w:r>
        <w:rPr>
          <w:rFonts w:ascii="Arial" w:eastAsia="Times New Roman" w:hAnsi="Arial" w:cs="Arial"/>
          <w:szCs w:val="24"/>
        </w:rPr>
        <w:t xml:space="preserve">  If we receive a non-postmarked original survivor claim where the Veteran passed away after February 29, 2020, how do we handle that?  We cannot establish a date of claim or entitlement date for survivor benefits prior to the Veteran’s passing.</w:t>
      </w:r>
    </w:p>
    <w:p w14:paraId="2A67F33E" w14:textId="77777777" w:rsidR="00156A9D" w:rsidRDefault="00156A9D" w:rsidP="00156A9D">
      <w:pPr>
        <w:pStyle w:val="ListParagraph"/>
        <w:spacing w:after="0" w:line="240" w:lineRule="auto"/>
        <w:ind w:left="0"/>
        <w:rPr>
          <w:rFonts w:ascii="Arial" w:eastAsia="Times New Roman" w:hAnsi="Arial" w:cs="Arial"/>
          <w:b/>
          <w:bCs/>
          <w:szCs w:val="24"/>
        </w:rPr>
      </w:pPr>
    </w:p>
    <w:p w14:paraId="70EB5B7A" w14:textId="362D1B91" w:rsidR="00156A9D" w:rsidRDefault="00156A9D" w:rsidP="00156A9D">
      <w:pPr>
        <w:pStyle w:val="ListParagraph"/>
        <w:spacing w:after="0" w:line="240" w:lineRule="auto"/>
        <w:ind w:left="0"/>
        <w:rPr>
          <w:rFonts w:ascii="Arial" w:eastAsia="Calibri" w:hAnsi="Arial" w:cs="Arial"/>
          <w:szCs w:val="24"/>
        </w:rPr>
      </w:pPr>
      <w:r>
        <w:rPr>
          <w:rFonts w:ascii="Arial" w:eastAsia="Times New Roman" w:hAnsi="Arial" w:cs="Arial"/>
          <w:b/>
          <w:bCs/>
          <w:szCs w:val="24"/>
        </w:rPr>
        <w:t xml:space="preserve">Response 2:  </w:t>
      </w:r>
      <w:r>
        <w:rPr>
          <w:rFonts w:ascii="Arial" w:hAnsi="Arial" w:cs="Arial"/>
          <w:szCs w:val="24"/>
        </w:rPr>
        <w:t xml:space="preserve">In scenarios like this, it would not be appropriate to use a date of claim that is earlier than the Veteran’s death, processors should use the Veteran’s date of death as the date of claim.  </w:t>
      </w:r>
      <w:r w:rsidR="003B42D7">
        <w:rPr>
          <w:rFonts w:ascii="Arial" w:hAnsi="Arial" w:cs="Arial"/>
          <w:szCs w:val="24"/>
        </w:rPr>
        <w:t>This guidance will be clarified in a forthcoming update to Policy Letter 20-02 and is reiterated in our response to ‘</w:t>
      </w:r>
      <w:r w:rsidR="003B42D7" w:rsidRPr="003B42D7">
        <w:rPr>
          <w:rFonts w:ascii="Arial" w:hAnsi="Arial" w:cs="Arial"/>
          <w:szCs w:val="24"/>
        </w:rPr>
        <w:t>DOC FOR NOVEL CORONAVIRUS (COVID-19) CLAIMS</w:t>
      </w:r>
      <w:r w:rsidR="003B42D7">
        <w:rPr>
          <w:rFonts w:ascii="Arial" w:hAnsi="Arial" w:cs="Arial"/>
          <w:szCs w:val="24"/>
        </w:rPr>
        <w:t>’, shown above in this same document.</w:t>
      </w:r>
    </w:p>
    <w:p w14:paraId="10213BE1" w14:textId="77777777" w:rsidR="00156A9D" w:rsidRDefault="00156A9D" w:rsidP="00156A9D">
      <w:pPr>
        <w:pStyle w:val="ListParagraph"/>
        <w:spacing w:after="0" w:line="240" w:lineRule="auto"/>
        <w:ind w:left="0"/>
        <w:rPr>
          <w:rFonts w:ascii="Arial" w:eastAsia="Times New Roman" w:hAnsi="Arial" w:cs="Arial"/>
          <w:szCs w:val="24"/>
        </w:rPr>
      </w:pPr>
    </w:p>
    <w:p w14:paraId="6602D138" w14:textId="77777777" w:rsidR="00156A9D" w:rsidRDefault="00156A9D" w:rsidP="00156A9D">
      <w:pPr>
        <w:pStyle w:val="ListParagraph"/>
        <w:spacing w:after="0" w:line="240" w:lineRule="auto"/>
        <w:ind w:left="0"/>
        <w:rPr>
          <w:rFonts w:ascii="Arial" w:eastAsia="Times New Roman" w:hAnsi="Arial" w:cs="Arial"/>
          <w:szCs w:val="24"/>
        </w:rPr>
      </w:pPr>
      <w:r>
        <w:rPr>
          <w:rFonts w:ascii="Arial" w:eastAsia="Times New Roman" w:hAnsi="Arial" w:cs="Arial"/>
          <w:b/>
          <w:bCs/>
          <w:szCs w:val="24"/>
        </w:rPr>
        <w:t>Question 3:</w:t>
      </w:r>
      <w:r>
        <w:rPr>
          <w:rFonts w:ascii="Arial" w:eastAsia="Times New Roman" w:hAnsi="Arial" w:cs="Arial"/>
          <w:szCs w:val="24"/>
        </w:rPr>
        <w:t xml:space="preserve">  There are situations that establishing an earlier date of claim for a Pension claim may not be to a claimant’s advantage, especially in a situation where the Veteran experienced a dependency change (death of spouse) after February 29, 2020 or a medical expense change (moved into assisted living) after February 29, 2020.  Are we compelled to follow this guidance even when delaying the effective date may prove to be more advantageous (especially in instances where it appears the claimant did not file before February 29, 2020)?</w:t>
      </w:r>
    </w:p>
    <w:p w14:paraId="1521512D" w14:textId="77777777" w:rsidR="00156A9D" w:rsidRDefault="00156A9D" w:rsidP="00156A9D">
      <w:pPr>
        <w:spacing w:after="0" w:line="240" w:lineRule="auto"/>
        <w:rPr>
          <w:rFonts w:ascii="Arial" w:eastAsia="Times New Roman" w:hAnsi="Arial" w:cs="Arial"/>
          <w:szCs w:val="24"/>
        </w:rPr>
      </w:pPr>
    </w:p>
    <w:p w14:paraId="3A33DA2E" w14:textId="108398D9" w:rsidR="00156A9D" w:rsidRDefault="00156A9D" w:rsidP="00156A9D">
      <w:pPr>
        <w:pStyle w:val="ListParagraph"/>
        <w:spacing w:after="0" w:line="240" w:lineRule="auto"/>
        <w:ind w:left="0"/>
        <w:rPr>
          <w:rFonts w:ascii="Arial" w:eastAsiaTheme="minorHAnsi" w:hAnsi="Arial" w:cs="Arial"/>
          <w:szCs w:val="24"/>
        </w:rPr>
      </w:pPr>
      <w:r>
        <w:rPr>
          <w:rFonts w:ascii="Arial" w:eastAsia="Times New Roman" w:hAnsi="Arial" w:cs="Arial"/>
          <w:b/>
          <w:bCs/>
          <w:szCs w:val="24"/>
        </w:rPr>
        <w:t xml:space="preserve">Response 3:  </w:t>
      </w:r>
      <w:r>
        <w:rPr>
          <w:rFonts w:ascii="Arial" w:eastAsia="Times New Roman" w:hAnsi="Arial" w:cs="Arial"/>
          <w:szCs w:val="24"/>
        </w:rPr>
        <w:t xml:space="preserve">In situations where a later date of claim is more advantageous to the claimant, use the date of claim that is most advantageous to the claimant.  </w:t>
      </w:r>
      <w:r w:rsidR="003B42D7">
        <w:rPr>
          <w:rFonts w:ascii="Arial" w:hAnsi="Arial" w:cs="Arial"/>
          <w:szCs w:val="24"/>
        </w:rPr>
        <w:t>This guidance will be clarified in a forthcoming update to Policy Letter 20-02.</w:t>
      </w:r>
    </w:p>
    <w:p w14:paraId="7245DE57" w14:textId="77777777" w:rsidR="00156A9D" w:rsidRDefault="00156A9D" w:rsidP="00156A9D">
      <w:pPr>
        <w:spacing w:after="0" w:line="240" w:lineRule="auto"/>
        <w:rPr>
          <w:rFonts w:ascii="Arial" w:hAnsi="Arial" w:cs="Arial"/>
          <w:b/>
          <w:bCs/>
          <w:szCs w:val="24"/>
        </w:rPr>
      </w:pPr>
    </w:p>
    <w:p w14:paraId="62C9F6CB" w14:textId="42F347E8" w:rsidR="00156A9D" w:rsidRDefault="00156A9D" w:rsidP="00156A9D">
      <w:pPr>
        <w:spacing w:after="0" w:line="240" w:lineRule="auto"/>
        <w:rPr>
          <w:rFonts w:ascii="Arial" w:hAnsi="Arial" w:cs="Arial"/>
          <w:szCs w:val="24"/>
        </w:rPr>
      </w:pPr>
      <w:r>
        <w:rPr>
          <w:rFonts w:ascii="Arial" w:hAnsi="Arial" w:cs="Arial"/>
          <w:b/>
          <w:bCs/>
          <w:szCs w:val="24"/>
        </w:rPr>
        <w:t xml:space="preserve">Example:  </w:t>
      </w:r>
      <w:r>
        <w:rPr>
          <w:rFonts w:ascii="Arial" w:hAnsi="Arial" w:cs="Arial"/>
          <w:szCs w:val="24"/>
        </w:rPr>
        <w:t xml:space="preserve">VA receives an original claim for Veterans Pension with no postmark or date stamp by USPS, but a VA date stamp of April 20, 2020.  The Veteran received an inheritance of $50,000 on April 4, 2020.  PMCs should use the April 20, 2020 as the date of claim since that is more advantageous to the Veteran and not include the inheritance as income for calculating pension.  </w:t>
      </w:r>
    </w:p>
    <w:p w14:paraId="0A1A6B86" w14:textId="77777777" w:rsidR="00156A9D" w:rsidRPr="00CD5A9A" w:rsidRDefault="00156A9D" w:rsidP="00156A9D">
      <w:pPr>
        <w:spacing w:after="0" w:line="240" w:lineRule="auto"/>
        <w:rPr>
          <w:rFonts w:ascii="Arial" w:hAnsi="Arial" w:cs="Arial"/>
          <w:szCs w:val="24"/>
        </w:rPr>
      </w:pPr>
    </w:p>
    <w:p w14:paraId="790DB650" w14:textId="77777777" w:rsidR="00156A9D" w:rsidRPr="00CD5A9A" w:rsidRDefault="00156A9D" w:rsidP="00156A9D">
      <w:pPr>
        <w:spacing w:after="0" w:line="240" w:lineRule="auto"/>
        <w:rPr>
          <w:rFonts w:ascii="Arial" w:hAnsi="Arial" w:cs="Arial"/>
          <w:szCs w:val="24"/>
        </w:rPr>
      </w:pPr>
      <w:r w:rsidRPr="00CD5A9A">
        <w:rPr>
          <w:rFonts w:ascii="Arial" w:hAnsi="Arial" w:cs="Arial"/>
          <w:b/>
          <w:szCs w:val="24"/>
        </w:rPr>
        <w:lastRenderedPageBreak/>
        <w:t>Result:</w:t>
      </w:r>
      <w:r w:rsidRPr="00CD5A9A">
        <w:rPr>
          <w:rFonts w:ascii="Arial" w:hAnsi="Arial" w:cs="Arial"/>
          <w:szCs w:val="24"/>
        </w:rPr>
        <w:t xml:space="preserve">  Clarification provided.</w:t>
      </w:r>
    </w:p>
    <w:p w14:paraId="4B9CE5AC" w14:textId="77777777" w:rsidR="00AA74F6" w:rsidRPr="00900D56" w:rsidRDefault="00AA74F6" w:rsidP="00AA74F6">
      <w:pPr>
        <w:pStyle w:val="Heading1"/>
        <w:rPr>
          <w:rFonts w:ascii="Arial" w:hAnsi="Arial" w:cs="Arial"/>
          <w:b/>
          <w:color w:val="auto"/>
          <w:sz w:val="36"/>
        </w:rPr>
      </w:pPr>
      <w:bookmarkStart w:id="23" w:name="_Toc45875966"/>
      <w:r w:rsidRPr="00900D56">
        <w:rPr>
          <w:rFonts w:ascii="Arial" w:hAnsi="Arial" w:cs="Arial"/>
          <w:b/>
          <w:color w:val="auto"/>
          <w:sz w:val="36"/>
        </w:rPr>
        <w:t>Fiduciary HUB Related Inquiries</w:t>
      </w:r>
      <w:bookmarkEnd w:id="12"/>
      <w:bookmarkEnd w:id="23"/>
    </w:p>
    <w:p w14:paraId="5D23DDD6" w14:textId="13279B51" w:rsidR="00171D09" w:rsidRPr="003C7AC3" w:rsidRDefault="00131BD5" w:rsidP="00171D09">
      <w:pPr>
        <w:pStyle w:val="Heading1"/>
        <w:rPr>
          <w:rFonts w:ascii="Arial" w:hAnsi="Arial" w:cs="Arial"/>
        </w:rPr>
      </w:pPr>
      <w:bookmarkStart w:id="24" w:name="_Toc45875967"/>
      <w:r>
        <w:rPr>
          <w:rFonts w:ascii="Arial" w:hAnsi="Arial" w:cs="Arial"/>
        </w:rPr>
        <w:t>Policy Question</w:t>
      </w:r>
      <w:bookmarkEnd w:id="24"/>
    </w:p>
    <w:p w14:paraId="4402393A" w14:textId="705333BD" w:rsidR="00171D09" w:rsidRPr="00B06081" w:rsidRDefault="00171D09" w:rsidP="00171D09">
      <w:pPr>
        <w:spacing w:after="0" w:line="240" w:lineRule="auto"/>
        <w:rPr>
          <w:rFonts w:ascii="Arial" w:hAnsi="Arial" w:cs="Arial"/>
          <w:szCs w:val="24"/>
        </w:rPr>
      </w:pPr>
      <w:r w:rsidRPr="00824543">
        <w:rPr>
          <w:rFonts w:ascii="Arial" w:hAnsi="Arial" w:cs="Arial"/>
          <w:b/>
          <w:szCs w:val="24"/>
        </w:rPr>
        <w:t>Target Audience</w:t>
      </w:r>
      <w:r w:rsidRPr="00824543">
        <w:rPr>
          <w:rFonts w:ascii="Arial" w:hAnsi="Arial" w:cs="Arial"/>
          <w:szCs w:val="24"/>
        </w:rPr>
        <w:t xml:space="preserve">: </w:t>
      </w:r>
      <w:r w:rsidR="00DD4888">
        <w:rPr>
          <w:rFonts w:ascii="Arial" w:hAnsi="Arial" w:cs="Arial"/>
          <w:szCs w:val="24"/>
        </w:rPr>
        <w:t xml:space="preserve"> </w:t>
      </w:r>
      <w:r w:rsidR="00131BD5" w:rsidRPr="00131BD5">
        <w:rPr>
          <w:rFonts w:ascii="Arial" w:hAnsi="Arial" w:cs="Arial"/>
          <w:szCs w:val="24"/>
        </w:rPr>
        <w:t>Fiduciary Hub personnel</w:t>
      </w:r>
    </w:p>
    <w:p w14:paraId="245A41C9" w14:textId="77777777" w:rsidR="00171D09" w:rsidRPr="00C16AEC" w:rsidRDefault="00171D09" w:rsidP="00856559">
      <w:pPr>
        <w:spacing w:after="0" w:line="240" w:lineRule="auto"/>
        <w:rPr>
          <w:rFonts w:ascii="Arial" w:hAnsi="Arial" w:cs="Arial"/>
          <w:szCs w:val="24"/>
        </w:rPr>
      </w:pPr>
    </w:p>
    <w:p w14:paraId="2E067F68" w14:textId="121B59CB" w:rsidR="00131BD5" w:rsidRPr="00131BD5" w:rsidRDefault="00131BD5" w:rsidP="00131BD5">
      <w:pPr>
        <w:spacing w:after="0" w:line="240" w:lineRule="auto"/>
        <w:rPr>
          <w:rFonts w:ascii="Arial" w:hAnsi="Arial" w:cs="Arial"/>
          <w:szCs w:val="24"/>
        </w:rPr>
      </w:pPr>
      <w:r>
        <w:rPr>
          <w:rFonts w:ascii="Arial" w:hAnsi="Arial" w:cs="Arial"/>
          <w:b/>
          <w:bCs/>
          <w:szCs w:val="24"/>
        </w:rPr>
        <w:t>Question 1</w:t>
      </w:r>
      <w:r w:rsidRPr="00131BD5">
        <w:rPr>
          <w:rFonts w:ascii="Arial" w:hAnsi="Arial" w:cs="Arial"/>
          <w:szCs w:val="24"/>
        </w:rPr>
        <w:t>:  What are the acceptable methods of verifying VA FUM when auditing an accounting?</w:t>
      </w:r>
    </w:p>
    <w:p w14:paraId="4A52734D" w14:textId="77777777" w:rsidR="00131BD5" w:rsidRPr="00131BD5" w:rsidRDefault="00131BD5" w:rsidP="00131BD5">
      <w:pPr>
        <w:spacing w:after="0" w:line="240" w:lineRule="auto"/>
        <w:rPr>
          <w:rFonts w:ascii="Arial" w:hAnsi="Arial" w:cs="Arial"/>
          <w:szCs w:val="24"/>
        </w:rPr>
      </w:pPr>
      <w:r w:rsidRPr="00131BD5">
        <w:rPr>
          <w:rFonts w:ascii="Arial" w:hAnsi="Arial" w:cs="Arial"/>
          <w:szCs w:val="24"/>
        </w:rPr>
        <w:t xml:space="preserve"> </w:t>
      </w:r>
    </w:p>
    <w:p w14:paraId="581E257E" w14:textId="68AA1DF5" w:rsidR="00131BD5" w:rsidRPr="00131BD5" w:rsidRDefault="00131BD5" w:rsidP="00131BD5">
      <w:pPr>
        <w:spacing w:after="0" w:line="240" w:lineRule="auto"/>
        <w:rPr>
          <w:rFonts w:ascii="Arial" w:hAnsi="Arial" w:cs="Arial"/>
          <w:szCs w:val="24"/>
        </w:rPr>
      </w:pPr>
      <w:r>
        <w:rPr>
          <w:rFonts w:ascii="Arial" w:hAnsi="Arial" w:cs="Arial"/>
          <w:b/>
          <w:bCs/>
          <w:szCs w:val="24"/>
        </w:rPr>
        <w:t>Response 1</w:t>
      </w:r>
      <w:r w:rsidRPr="00131BD5">
        <w:rPr>
          <w:rFonts w:ascii="Arial" w:hAnsi="Arial" w:cs="Arial"/>
          <w:szCs w:val="24"/>
        </w:rPr>
        <w:t>:  When auditing an accounting, FPM 3.D.5.b provides the steps required when verifying all known accounts and funds under management. The first step requires verification of receipt of all original, photocopied, or computer-generated bank statements.  Receipt of these documents assist in verifying funds under management.</w:t>
      </w:r>
    </w:p>
    <w:p w14:paraId="1791286B" w14:textId="77777777" w:rsidR="00131BD5" w:rsidRPr="00131BD5" w:rsidRDefault="00131BD5" w:rsidP="00131BD5">
      <w:pPr>
        <w:spacing w:after="0" w:line="240" w:lineRule="auto"/>
        <w:rPr>
          <w:rFonts w:ascii="Arial" w:hAnsi="Arial" w:cs="Arial"/>
          <w:szCs w:val="24"/>
        </w:rPr>
      </w:pPr>
      <w:r w:rsidRPr="00131BD5">
        <w:rPr>
          <w:rFonts w:ascii="Arial" w:hAnsi="Arial" w:cs="Arial"/>
          <w:szCs w:val="24"/>
        </w:rPr>
        <w:t xml:space="preserve"> </w:t>
      </w:r>
    </w:p>
    <w:p w14:paraId="36C85BF3" w14:textId="77777777" w:rsidR="00131BD5" w:rsidRPr="00131BD5" w:rsidRDefault="00131BD5" w:rsidP="00131BD5">
      <w:pPr>
        <w:spacing w:after="0" w:line="240" w:lineRule="auto"/>
        <w:rPr>
          <w:rFonts w:ascii="Arial" w:hAnsi="Arial" w:cs="Arial"/>
          <w:szCs w:val="24"/>
        </w:rPr>
      </w:pPr>
      <w:r w:rsidRPr="00131BD5">
        <w:rPr>
          <w:rFonts w:ascii="Arial" w:hAnsi="Arial" w:cs="Arial"/>
          <w:b/>
          <w:bCs/>
          <w:szCs w:val="24"/>
        </w:rPr>
        <w:t>Question 2</w:t>
      </w:r>
      <w:r w:rsidRPr="00131BD5">
        <w:rPr>
          <w:rFonts w:ascii="Arial" w:hAnsi="Arial" w:cs="Arial"/>
          <w:szCs w:val="24"/>
        </w:rPr>
        <w:t>:  Is the guidance received in April 2019 still valid? Explanation – State and Federal agencies are not required to obtain a surety bond if the VA is unable to verify FUM. Because State and Federal agencies are not required to obtain a properly titled account (PTA) and they use locally maintained ledgers and RTAs, we are unable to verify VA FUM.</w:t>
      </w:r>
    </w:p>
    <w:p w14:paraId="3F7C5344" w14:textId="77777777" w:rsidR="00131BD5" w:rsidRPr="00131BD5" w:rsidRDefault="00131BD5" w:rsidP="00131BD5">
      <w:pPr>
        <w:spacing w:after="0" w:line="240" w:lineRule="auto"/>
        <w:rPr>
          <w:rFonts w:ascii="Arial" w:hAnsi="Arial" w:cs="Arial"/>
          <w:szCs w:val="24"/>
        </w:rPr>
      </w:pPr>
      <w:r w:rsidRPr="00131BD5">
        <w:rPr>
          <w:rFonts w:ascii="Arial" w:hAnsi="Arial" w:cs="Arial"/>
          <w:szCs w:val="24"/>
        </w:rPr>
        <w:t xml:space="preserve"> </w:t>
      </w:r>
    </w:p>
    <w:p w14:paraId="64B5CE32" w14:textId="2252C735" w:rsidR="00131BD5" w:rsidRDefault="00131BD5" w:rsidP="00131BD5">
      <w:pPr>
        <w:spacing w:after="0" w:line="240" w:lineRule="auto"/>
        <w:rPr>
          <w:rFonts w:ascii="Arial" w:hAnsi="Arial" w:cs="Arial"/>
          <w:szCs w:val="24"/>
        </w:rPr>
      </w:pPr>
      <w:r w:rsidRPr="00131BD5">
        <w:rPr>
          <w:rFonts w:ascii="Arial" w:hAnsi="Arial" w:cs="Arial"/>
          <w:b/>
          <w:bCs/>
          <w:szCs w:val="24"/>
        </w:rPr>
        <w:t>Response 2</w:t>
      </w:r>
      <w:r w:rsidRPr="00131BD5">
        <w:rPr>
          <w:rFonts w:ascii="Arial" w:hAnsi="Arial" w:cs="Arial"/>
          <w:szCs w:val="24"/>
        </w:rPr>
        <w:t>:  P</w:t>
      </w:r>
      <w:r w:rsidR="00970BD5">
        <w:rPr>
          <w:rFonts w:ascii="Arial" w:hAnsi="Arial" w:cs="Arial"/>
          <w:szCs w:val="24"/>
        </w:rPr>
        <w:t>&amp;F</w:t>
      </w:r>
      <w:r w:rsidRPr="00131BD5">
        <w:rPr>
          <w:rFonts w:ascii="Arial" w:hAnsi="Arial" w:cs="Arial"/>
          <w:szCs w:val="24"/>
        </w:rPr>
        <w:t xml:space="preserve"> Service has conducted research and consulted with the Office of General Counsel regarding whether a blanket insurance policy managed by a State for a State agency is acceptable in lieu of a corporate surety bond.  Although prior guidance received by your hub indicated that State and Federal agencies are not required to obtain a surety bond if the VA is unable to verify funds under management, VA may accept liability insurance, or a state blanket bond in lieu of a corporate surety bond from State agencies that are serving as a VA fiduciary.  As a result, verification of funds under management for the purpose of obtaining a surety bond from a State or local agency is not required when the agency has liability insurance or a blanket bond and verification of this is obtained by VA.</w:t>
      </w:r>
    </w:p>
    <w:p w14:paraId="61AC087A" w14:textId="5D490CCA" w:rsidR="00131BD5" w:rsidRDefault="00131BD5" w:rsidP="00856559">
      <w:pPr>
        <w:spacing w:after="0" w:line="240" w:lineRule="auto"/>
        <w:rPr>
          <w:rFonts w:ascii="Arial" w:hAnsi="Arial" w:cs="Arial"/>
          <w:szCs w:val="24"/>
        </w:rPr>
      </w:pPr>
    </w:p>
    <w:p w14:paraId="6D41C046" w14:textId="77777777" w:rsidR="00131BD5" w:rsidRPr="00B06081" w:rsidRDefault="00131BD5" w:rsidP="00131BD5">
      <w:pPr>
        <w:spacing w:after="0" w:line="240" w:lineRule="auto"/>
        <w:rPr>
          <w:rFonts w:ascii="Arial" w:hAnsi="Arial" w:cs="Arial"/>
          <w:szCs w:val="24"/>
        </w:rPr>
      </w:pPr>
      <w:r w:rsidRPr="003C7AC3">
        <w:rPr>
          <w:rFonts w:ascii="Arial" w:hAnsi="Arial" w:cs="Arial"/>
          <w:b/>
          <w:szCs w:val="24"/>
        </w:rPr>
        <w:t>Result:</w:t>
      </w:r>
      <w:r w:rsidRPr="003C7AC3">
        <w:rPr>
          <w:rFonts w:ascii="Arial" w:hAnsi="Arial" w:cs="Arial"/>
          <w:szCs w:val="24"/>
        </w:rPr>
        <w:t xml:space="preserve"> </w:t>
      </w:r>
      <w:r>
        <w:rPr>
          <w:rFonts w:ascii="Arial" w:hAnsi="Arial" w:cs="Arial"/>
          <w:szCs w:val="24"/>
        </w:rPr>
        <w:t xml:space="preserve"> Clarification provided.</w:t>
      </w:r>
    </w:p>
    <w:p w14:paraId="325BCADC" w14:textId="247996A6" w:rsidR="00AB6F09" w:rsidRPr="003C7AC3" w:rsidRDefault="009616C0" w:rsidP="00AB6F09">
      <w:pPr>
        <w:pStyle w:val="Heading1"/>
        <w:rPr>
          <w:rFonts w:ascii="Arial" w:hAnsi="Arial" w:cs="Arial"/>
        </w:rPr>
      </w:pPr>
      <w:bookmarkStart w:id="25" w:name="_Toc45875968"/>
      <w:r>
        <w:rPr>
          <w:rFonts w:ascii="Arial" w:hAnsi="Arial" w:cs="Arial"/>
        </w:rPr>
        <w:t>Advanced Find Criteria</w:t>
      </w:r>
      <w:bookmarkEnd w:id="25"/>
    </w:p>
    <w:p w14:paraId="06822A19" w14:textId="246E60E8" w:rsidR="00AB6F09" w:rsidRPr="00B06081" w:rsidRDefault="00AB6F09" w:rsidP="003049DF">
      <w:pPr>
        <w:spacing w:after="0" w:line="240" w:lineRule="auto"/>
        <w:rPr>
          <w:rFonts w:ascii="Arial" w:hAnsi="Arial" w:cs="Arial"/>
          <w:szCs w:val="24"/>
        </w:rPr>
      </w:pPr>
      <w:r w:rsidRPr="00824543">
        <w:rPr>
          <w:rFonts w:ascii="Arial" w:hAnsi="Arial" w:cs="Arial"/>
          <w:b/>
          <w:szCs w:val="24"/>
        </w:rPr>
        <w:t>Target Audience</w:t>
      </w:r>
      <w:r w:rsidRPr="00824543">
        <w:rPr>
          <w:rFonts w:ascii="Arial" w:hAnsi="Arial" w:cs="Arial"/>
          <w:szCs w:val="24"/>
        </w:rPr>
        <w:t xml:space="preserve">: </w:t>
      </w:r>
      <w:r>
        <w:rPr>
          <w:rFonts w:ascii="Arial" w:hAnsi="Arial" w:cs="Arial"/>
          <w:szCs w:val="24"/>
        </w:rPr>
        <w:t xml:space="preserve"> </w:t>
      </w:r>
      <w:r w:rsidR="00FA52C6">
        <w:rPr>
          <w:rFonts w:ascii="Arial" w:hAnsi="Arial" w:cs="Arial"/>
        </w:rPr>
        <w:t>Field Examiners</w:t>
      </w:r>
    </w:p>
    <w:p w14:paraId="4A95C232" w14:textId="466CB5A6" w:rsidR="00AB6F09" w:rsidRDefault="00AB6F09" w:rsidP="003049DF">
      <w:pPr>
        <w:spacing w:after="0" w:line="240" w:lineRule="auto"/>
        <w:rPr>
          <w:rFonts w:ascii="Arial" w:hAnsi="Arial" w:cs="Arial"/>
          <w:szCs w:val="24"/>
        </w:rPr>
      </w:pPr>
    </w:p>
    <w:p w14:paraId="2A2615EE" w14:textId="48ABCA7B" w:rsidR="0030160A" w:rsidRDefault="003049DF" w:rsidP="009616C0">
      <w:pPr>
        <w:spacing w:after="0" w:line="240" w:lineRule="auto"/>
        <w:rPr>
          <w:rFonts w:ascii="Arial" w:hAnsi="Arial" w:cs="Arial"/>
        </w:rPr>
      </w:pPr>
      <w:r>
        <w:rPr>
          <w:rFonts w:ascii="Arial" w:hAnsi="Arial" w:cs="Arial"/>
          <w:b/>
        </w:rPr>
        <w:t>Question</w:t>
      </w:r>
      <w:r>
        <w:rPr>
          <w:rFonts w:ascii="Arial" w:hAnsi="Arial" w:cs="Arial"/>
        </w:rPr>
        <w:t xml:space="preserve">:  </w:t>
      </w:r>
      <w:r w:rsidR="009616C0" w:rsidRPr="009616C0">
        <w:rPr>
          <w:rFonts w:ascii="Arial" w:hAnsi="Arial" w:cs="Arial"/>
        </w:rPr>
        <w:t>We understand how you are wanting us to report in the Flag of how to put into system. But you are only giving VVC, Telephone, or Skype. So for FaceTime do the FEs put it down as FaceTime-Fiduciary?</w:t>
      </w:r>
    </w:p>
    <w:p w14:paraId="0B6A453F" w14:textId="77777777" w:rsidR="009616C0" w:rsidRPr="0030160A" w:rsidRDefault="009616C0" w:rsidP="009616C0">
      <w:pPr>
        <w:spacing w:after="0" w:line="240" w:lineRule="auto"/>
        <w:rPr>
          <w:rFonts w:ascii="Arial" w:hAnsi="Arial" w:cs="Arial"/>
        </w:rPr>
      </w:pPr>
    </w:p>
    <w:p w14:paraId="0F2ACD28" w14:textId="6B46D332" w:rsidR="009616C0" w:rsidRDefault="003049DF" w:rsidP="009616C0">
      <w:pPr>
        <w:spacing w:after="0" w:line="240" w:lineRule="auto"/>
        <w:rPr>
          <w:rFonts w:ascii="Arial" w:hAnsi="Arial" w:cs="Arial"/>
          <w:szCs w:val="24"/>
        </w:rPr>
      </w:pPr>
      <w:r w:rsidRPr="00FA52C6">
        <w:rPr>
          <w:rFonts w:ascii="Arial" w:hAnsi="Arial" w:cs="Arial"/>
          <w:b/>
        </w:rPr>
        <w:lastRenderedPageBreak/>
        <w:t>Response</w:t>
      </w:r>
      <w:r w:rsidRPr="00FA52C6">
        <w:rPr>
          <w:rFonts w:ascii="Arial" w:hAnsi="Arial" w:cs="Arial"/>
        </w:rPr>
        <w:t xml:space="preserve">:  </w:t>
      </w:r>
      <w:r w:rsidR="009616C0">
        <w:rPr>
          <w:rFonts w:ascii="Arial" w:hAnsi="Arial" w:cs="Arial"/>
          <w:szCs w:val="24"/>
        </w:rPr>
        <w:t xml:space="preserve">Currently, the only acceptable methods for video conferencing are VVC and Skype.  </w:t>
      </w:r>
    </w:p>
    <w:p w14:paraId="780D1E1E" w14:textId="77777777" w:rsidR="009616C0" w:rsidRDefault="009616C0" w:rsidP="009616C0">
      <w:pPr>
        <w:spacing w:after="0" w:line="240" w:lineRule="auto"/>
        <w:rPr>
          <w:rFonts w:ascii="Arial" w:hAnsi="Arial" w:cs="Arial"/>
          <w:szCs w:val="24"/>
        </w:rPr>
      </w:pPr>
    </w:p>
    <w:p w14:paraId="2A4953A5" w14:textId="77777777" w:rsidR="009616C0" w:rsidRDefault="009616C0" w:rsidP="009616C0">
      <w:pPr>
        <w:spacing w:after="0" w:line="240" w:lineRule="auto"/>
        <w:rPr>
          <w:rFonts w:ascii="Arial" w:hAnsi="Arial" w:cs="Arial"/>
          <w:szCs w:val="24"/>
        </w:rPr>
      </w:pPr>
      <w:r>
        <w:rPr>
          <w:rFonts w:ascii="Arial" w:hAnsi="Arial" w:cs="Arial"/>
          <w:szCs w:val="24"/>
        </w:rPr>
        <w:t xml:space="preserve">We are aware of the email sent on April 22, 2020 by the Office of Information and Technology.  Even though Facetime and other apps have been approved for meetings, we consider field exams to be equivalent to VHA clinical activities because the discussions potentially involve protected health information (PHI) and personally identifiable information (PII).  As such, Facetime is specifically prohibited in the category below:  </w:t>
      </w:r>
    </w:p>
    <w:p w14:paraId="5A1AA666" w14:textId="77777777" w:rsidR="009616C0" w:rsidRDefault="009616C0" w:rsidP="009616C0">
      <w:pPr>
        <w:spacing w:after="0" w:line="240" w:lineRule="auto"/>
        <w:rPr>
          <w:rFonts w:ascii="Arial" w:hAnsi="Arial" w:cs="Arial"/>
          <w:szCs w:val="24"/>
        </w:rPr>
      </w:pPr>
    </w:p>
    <w:p w14:paraId="4B6E7F81" w14:textId="0CE0B3FA" w:rsidR="009616C0" w:rsidRDefault="009616C0" w:rsidP="009616C0">
      <w:pPr>
        <w:spacing w:after="0" w:line="240" w:lineRule="auto"/>
        <w:ind w:left="720"/>
        <w:rPr>
          <w:rFonts w:ascii="Arial" w:hAnsi="Arial" w:cs="Arial"/>
          <w:szCs w:val="24"/>
        </w:rPr>
      </w:pPr>
      <w:r>
        <w:rPr>
          <w:rFonts w:ascii="Arial" w:hAnsi="Arial" w:cs="Arial"/>
          <w:szCs w:val="24"/>
        </w:rPr>
        <w:t>All VA personnel not engaged in clinical activities may use non-public facing remote audio or video communication technology outside of VA network systems provided it does not involve PHI or PII.</w:t>
      </w:r>
    </w:p>
    <w:p w14:paraId="691E59A4" w14:textId="77777777" w:rsidR="009616C0" w:rsidRDefault="009616C0" w:rsidP="009616C0">
      <w:pPr>
        <w:spacing w:after="0" w:line="240" w:lineRule="auto"/>
        <w:rPr>
          <w:rFonts w:ascii="Arial" w:hAnsi="Arial" w:cs="Arial"/>
          <w:szCs w:val="24"/>
        </w:rPr>
      </w:pPr>
    </w:p>
    <w:p w14:paraId="4C61EA5A" w14:textId="77777777" w:rsidR="009616C0" w:rsidRDefault="009616C0" w:rsidP="009616C0">
      <w:pPr>
        <w:spacing w:after="0" w:line="240" w:lineRule="auto"/>
        <w:rPr>
          <w:rFonts w:ascii="Arial" w:hAnsi="Arial" w:cs="Arial"/>
          <w:sz w:val="22"/>
        </w:rPr>
      </w:pPr>
      <w:r>
        <w:rPr>
          <w:rFonts w:ascii="Arial" w:hAnsi="Arial" w:cs="Arial"/>
          <w:szCs w:val="24"/>
        </w:rPr>
        <w:t>Also note that the</w:t>
      </w:r>
      <w:r>
        <w:rPr>
          <w:rFonts w:ascii="Arial" w:hAnsi="Arial" w:cs="Arial"/>
          <w:i/>
          <w:iCs/>
          <w:szCs w:val="24"/>
        </w:rPr>
        <w:t xml:space="preserve"> </w:t>
      </w:r>
      <w:hyperlink r:id="rId34" w:history="1">
        <w:r>
          <w:rPr>
            <w:rStyle w:val="Hyperlink"/>
            <w:rFonts w:ascii="Arial" w:hAnsi="Arial" w:cs="Arial"/>
            <w:i/>
            <w:iCs/>
            <w:szCs w:val="24"/>
          </w:rPr>
          <w:t>Expansion of Temporary Field Examination Protocols- Testing Video Connect</w:t>
        </w:r>
      </w:hyperlink>
      <w:r>
        <w:rPr>
          <w:rFonts w:ascii="Arial" w:hAnsi="Arial" w:cs="Arial"/>
          <w:i/>
          <w:iCs/>
          <w:szCs w:val="24"/>
        </w:rPr>
        <w:t xml:space="preserve"> </w:t>
      </w:r>
      <w:r>
        <w:rPr>
          <w:rFonts w:ascii="Arial" w:hAnsi="Arial" w:cs="Arial"/>
          <w:szCs w:val="24"/>
        </w:rPr>
        <w:t>states, “To assess the beneficiary's environmental and social conditions, ask the beneficiary probing questions about their environment. Do not require a beneficiary/fiduciary to walk around to show living conditions.”  Hopefully this resolves any need for Facetime when the beneficiary</w:t>
      </w:r>
      <w:r>
        <w:rPr>
          <w:rFonts w:ascii="Arial" w:hAnsi="Arial" w:cs="Arial"/>
        </w:rPr>
        <w:t xml:space="preserve"> is unable to participate in VVC or Skype calls.</w:t>
      </w:r>
    </w:p>
    <w:p w14:paraId="08D0000C" w14:textId="77777777" w:rsidR="009616C0" w:rsidRDefault="009616C0" w:rsidP="009616C0">
      <w:pPr>
        <w:spacing w:after="0" w:line="240" w:lineRule="auto"/>
        <w:rPr>
          <w:rFonts w:ascii="Arial" w:hAnsi="Arial" w:cs="Arial"/>
          <w:szCs w:val="24"/>
        </w:rPr>
      </w:pPr>
    </w:p>
    <w:p w14:paraId="2814B3C5" w14:textId="1B08EC4D" w:rsidR="00AB6F09" w:rsidRPr="00B06081" w:rsidRDefault="00AB6F09" w:rsidP="009616C0">
      <w:pPr>
        <w:spacing w:after="0" w:line="240" w:lineRule="auto"/>
        <w:rPr>
          <w:rFonts w:ascii="Arial" w:hAnsi="Arial" w:cs="Arial"/>
          <w:szCs w:val="24"/>
        </w:rPr>
      </w:pPr>
      <w:r w:rsidRPr="003C7AC3">
        <w:rPr>
          <w:rFonts w:ascii="Arial" w:hAnsi="Arial" w:cs="Arial"/>
          <w:b/>
          <w:szCs w:val="24"/>
        </w:rPr>
        <w:t>Result:</w:t>
      </w:r>
      <w:r w:rsidRPr="003C7AC3">
        <w:rPr>
          <w:rFonts w:ascii="Arial" w:hAnsi="Arial" w:cs="Arial"/>
          <w:szCs w:val="24"/>
        </w:rPr>
        <w:t xml:space="preserve"> </w:t>
      </w:r>
      <w:r>
        <w:rPr>
          <w:rFonts w:ascii="Arial" w:hAnsi="Arial" w:cs="Arial"/>
          <w:szCs w:val="24"/>
        </w:rPr>
        <w:t xml:space="preserve"> </w:t>
      </w:r>
      <w:r w:rsidR="00FA52C6">
        <w:rPr>
          <w:rFonts w:ascii="Arial" w:hAnsi="Arial" w:cs="Arial"/>
          <w:szCs w:val="24"/>
        </w:rPr>
        <w:t>Clarification provided</w:t>
      </w:r>
      <w:r>
        <w:rPr>
          <w:rFonts w:ascii="Arial" w:hAnsi="Arial" w:cs="Arial"/>
          <w:szCs w:val="24"/>
        </w:rPr>
        <w:t>.</w:t>
      </w:r>
    </w:p>
    <w:p w14:paraId="63FC6565" w14:textId="5364ACD3" w:rsidR="00791992" w:rsidRPr="003C7AC3" w:rsidRDefault="004A3E20" w:rsidP="00791992">
      <w:pPr>
        <w:pStyle w:val="Heading1"/>
        <w:rPr>
          <w:rFonts w:ascii="Arial" w:hAnsi="Arial" w:cs="Arial"/>
        </w:rPr>
      </w:pPr>
      <w:bookmarkStart w:id="26" w:name="_Toc45875969"/>
      <w:r w:rsidRPr="004A3E20">
        <w:rPr>
          <w:rFonts w:ascii="Arial" w:hAnsi="Arial" w:cs="Arial"/>
        </w:rPr>
        <w:t>Fiduciary Program Manual Updates</w:t>
      </w:r>
      <w:bookmarkEnd w:id="26"/>
    </w:p>
    <w:p w14:paraId="64CAB386" w14:textId="57F6BE22" w:rsidR="00791992" w:rsidRPr="00B06081" w:rsidRDefault="00791992" w:rsidP="00791992">
      <w:pPr>
        <w:spacing w:after="0" w:line="240" w:lineRule="auto"/>
        <w:rPr>
          <w:rFonts w:ascii="Arial" w:hAnsi="Arial" w:cs="Arial"/>
          <w:szCs w:val="24"/>
        </w:rPr>
      </w:pPr>
      <w:r w:rsidRPr="00824543">
        <w:rPr>
          <w:rFonts w:ascii="Arial" w:hAnsi="Arial" w:cs="Arial"/>
          <w:b/>
          <w:szCs w:val="24"/>
        </w:rPr>
        <w:t>Target Audience</w:t>
      </w:r>
      <w:r w:rsidRPr="00824543">
        <w:rPr>
          <w:rFonts w:ascii="Arial" w:hAnsi="Arial" w:cs="Arial"/>
          <w:szCs w:val="24"/>
        </w:rPr>
        <w:t xml:space="preserve">: </w:t>
      </w:r>
      <w:r>
        <w:rPr>
          <w:rFonts w:ascii="Arial" w:hAnsi="Arial" w:cs="Arial"/>
          <w:szCs w:val="24"/>
        </w:rPr>
        <w:t xml:space="preserve"> </w:t>
      </w:r>
      <w:r w:rsidR="00511870">
        <w:rPr>
          <w:rFonts w:ascii="Arial" w:hAnsi="Arial" w:cs="Arial"/>
        </w:rPr>
        <w:t xml:space="preserve">Legal </w:t>
      </w:r>
      <w:r w:rsidR="00E15582">
        <w:rPr>
          <w:rFonts w:ascii="Arial" w:hAnsi="Arial" w:cs="Arial"/>
        </w:rPr>
        <w:t>Instruments</w:t>
      </w:r>
      <w:r w:rsidR="00511870">
        <w:rPr>
          <w:rFonts w:ascii="Arial" w:hAnsi="Arial" w:cs="Arial"/>
        </w:rPr>
        <w:t xml:space="preserve"> Examiners</w:t>
      </w:r>
      <w:r w:rsidR="005050CC">
        <w:rPr>
          <w:rFonts w:ascii="Arial" w:hAnsi="Arial" w:cs="Arial"/>
        </w:rPr>
        <w:t xml:space="preserve"> and Field Examiners</w:t>
      </w:r>
    </w:p>
    <w:p w14:paraId="4F5601BB" w14:textId="62F40034" w:rsidR="00791992" w:rsidRPr="00263A0E" w:rsidRDefault="00791992" w:rsidP="00263A0E">
      <w:pPr>
        <w:spacing w:after="0" w:line="240" w:lineRule="auto"/>
        <w:rPr>
          <w:rFonts w:ascii="Arial" w:hAnsi="Arial" w:cs="Arial"/>
          <w:szCs w:val="24"/>
        </w:rPr>
      </w:pPr>
    </w:p>
    <w:p w14:paraId="505C6BFE" w14:textId="6C86056F" w:rsidR="004A3E20" w:rsidRPr="004A3E20" w:rsidRDefault="00791992" w:rsidP="004A3E20">
      <w:pPr>
        <w:spacing w:after="0" w:line="240" w:lineRule="auto"/>
        <w:rPr>
          <w:rFonts w:ascii="Arial" w:hAnsi="Arial" w:cs="Arial"/>
          <w:szCs w:val="24"/>
        </w:rPr>
      </w:pPr>
      <w:r w:rsidRPr="003C7AC3">
        <w:rPr>
          <w:rFonts w:ascii="Arial" w:hAnsi="Arial" w:cs="Arial"/>
          <w:b/>
          <w:szCs w:val="24"/>
        </w:rPr>
        <w:t>Question</w:t>
      </w:r>
      <w:r w:rsidR="005050CC">
        <w:rPr>
          <w:rFonts w:ascii="Arial" w:hAnsi="Arial" w:cs="Arial"/>
          <w:b/>
          <w:szCs w:val="24"/>
        </w:rPr>
        <w:t xml:space="preserve">:  </w:t>
      </w:r>
      <w:r w:rsidR="004A3E20" w:rsidRPr="004A3E20">
        <w:rPr>
          <w:rFonts w:ascii="Arial" w:hAnsi="Arial" w:cs="Arial"/>
          <w:szCs w:val="24"/>
        </w:rPr>
        <w:t>On June 3</w:t>
      </w:r>
      <w:r w:rsidR="004A3E20" w:rsidRPr="004A3E20">
        <w:rPr>
          <w:rFonts w:ascii="Arial" w:hAnsi="Arial" w:cs="Arial"/>
          <w:szCs w:val="24"/>
          <w:vertAlign w:val="superscript"/>
        </w:rPr>
        <w:t>rd</w:t>
      </w:r>
      <w:r w:rsidR="004A3E20" w:rsidRPr="004A3E20">
        <w:rPr>
          <w:rFonts w:ascii="Arial" w:hAnsi="Arial" w:cs="Arial"/>
          <w:szCs w:val="24"/>
        </w:rPr>
        <w:t xml:space="preserve"> you updated 5.E.1.d to change the Notifications to the OIG for misuse cases to be completed once the Determination is completed and the letter is sent to the Fiduciary.  You moved this up in the workflow to be before the Reconsideration phase.   This seems premature since the Reconsideration can overturn the Determination and prevent the need to refer the case to the OIG, but our concern goes to 5.A.1.l BFFS Misuse Process.  That reference currently shows:</w:t>
      </w:r>
    </w:p>
    <w:p w14:paraId="32685FE4" w14:textId="77777777" w:rsidR="004A3E20" w:rsidRPr="004A3E20" w:rsidRDefault="004A3E20" w:rsidP="004A3E20">
      <w:pPr>
        <w:spacing w:after="0" w:line="240" w:lineRule="auto"/>
        <w:rPr>
          <w:rFonts w:ascii="Arial" w:hAnsi="Arial" w:cs="Arial"/>
          <w:szCs w:val="24"/>
        </w:rPr>
      </w:pPr>
    </w:p>
    <w:tbl>
      <w:tblPr>
        <w:tblW w:w="0" w:type="auto"/>
        <w:tblCellSpacing w:w="0" w:type="dxa"/>
        <w:tblCellMar>
          <w:left w:w="0" w:type="dxa"/>
          <w:right w:w="0" w:type="dxa"/>
        </w:tblCellMar>
        <w:tblLook w:val="04A0" w:firstRow="1" w:lastRow="0" w:firstColumn="1" w:lastColumn="0" w:noHBand="0" w:noVBand="1"/>
      </w:tblPr>
      <w:tblGrid>
        <w:gridCol w:w="1626"/>
        <w:gridCol w:w="111"/>
        <w:gridCol w:w="7623"/>
      </w:tblGrid>
      <w:tr w:rsidR="004A3E20" w:rsidRPr="004A3E20" w14:paraId="256AF7C2" w14:textId="77777777" w:rsidTr="004A3E20">
        <w:trPr>
          <w:trHeight w:val="120"/>
          <w:tblCellSpacing w:w="0" w:type="dxa"/>
        </w:trPr>
        <w:tc>
          <w:tcPr>
            <w:tcW w:w="1725" w:type="dxa"/>
            <w:hideMark/>
          </w:tcPr>
          <w:p w14:paraId="693381BF" w14:textId="77777777" w:rsidR="004A3E20" w:rsidRPr="004A3E20" w:rsidRDefault="004A3E20" w:rsidP="004A3E20">
            <w:pPr>
              <w:spacing w:after="0" w:line="240" w:lineRule="auto"/>
              <w:rPr>
                <w:rFonts w:ascii="Arial" w:hAnsi="Arial" w:cs="Arial"/>
                <w:b/>
                <w:bCs/>
                <w:szCs w:val="24"/>
              </w:rPr>
            </w:pPr>
            <w:r w:rsidRPr="004A3E20">
              <w:rPr>
                <w:rFonts w:ascii="Arial" w:hAnsi="Arial" w:cs="Arial"/>
                <w:b/>
                <w:bCs/>
                <w:szCs w:val="24"/>
              </w:rPr>
              <w:t>5.A.1.l</w:t>
            </w:r>
            <w:bookmarkStart w:id="27" w:name="1l"/>
            <w:r w:rsidRPr="004A3E20">
              <w:rPr>
                <w:rFonts w:ascii="Arial" w:hAnsi="Arial" w:cs="Arial"/>
                <w:b/>
                <w:bCs/>
                <w:szCs w:val="24"/>
              </w:rPr>
              <w:t>.</w:t>
            </w:r>
            <w:bookmarkEnd w:id="27"/>
            <w:r w:rsidRPr="004A3E20">
              <w:rPr>
                <w:rFonts w:ascii="Arial" w:hAnsi="Arial" w:cs="Arial"/>
                <w:b/>
                <w:bCs/>
                <w:szCs w:val="24"/>
              </w:rPr>
              <w:t>  BFFS Misuse Processing Timeliness and Misuse Protocol</w:t>
            </w:r>
          </w:p>
        </w:tc>
        <w:tc>
          <w:tcPr>
            <w:tcW w:w="225" w:type="dxa"/>
            <w:vAlign w:val="center"/>
            <w:hideMark/>
          </w:tcPr>
          <w:p w14:paraId="78056702" w14:textId="77777777" w:rsidR="004A3E20" w:rsidRPr="004A3E20" w:rsidRDefault="004A3E20" w:rsidP="004A3E20">
            <w:pPr>
              <w:spacing w:after="0" w:line="240" w:lineRule="auto"/>
              <w:rPr>
                <w:rFonts w:ascii="Arial" w:hAnsi="Arial" w:cs="Arial"/>
                <w:b/>
                <w:bCs/>
                <w:szCs w:val="24"/>
              </w:rPr>
            </w:pPr>
          </w:p>
        </w:tc>
        <w:tc>
          <w:tcPr>
            <w:tcW w:w="7740" w:type="dxa"/>
            <w:hideMark/>
          </w:tcPr>
          <w:p w14:paraId="024DA3C7" w14:textId="77777777" w:rsidR="004A3E20" w:rsidRPr="004A3E20" w:rsidRDefault="004A3E20" w:rsidP="004A3E20">
            <w:pPr>
              <w:spacing w:after="0" w:line="240" w:lineRule="auto"/>
              <w:rPr>
                <w:rFonts w:ascii="Arial" w:eastAsiaTheme="minorHAnsi" w:hAnsi="Arial" w:cs="Arial"/>
                <w:szCs w:val="24"/>
              </w:rPr>
            </w:pPr>
            <w:r w:rsidRPr="004A3E20">
              <w:rPr>
                <w:rFonts w:ascii="Arial" w:hAnsi="Arial" w:cs="Arial"/>
                <w:szCs w:val="24"/>
              </w:rPr>
              <w:t>The misuse work item within the Beneficiary Fiduciary Field System (BFFS) calculates misuse process timeliness from the receipt date of an allegation through the completion of the allegation or determination, as appropriate.</w:t>
            </w:r>
          </w:p>
          <w:p w14:paraId="7790BA11" w14:textId="77777777" w:rsidR="004A3E20" w:rsidRPr="004A3E20" w:rsidRDefault="004A3E20" w:rsidP="004A3E20">
            <w:pPr>
              <w:spacing w:after="0" w:line="240" w:lineRule="auto"/>
              <w:rPr>
                <w:rFonts w:ascii="Arial" w:hAnsi="Arial" w:cs="Arial"/>
                <w:szCs w:val="24"/>
              </w:rPr>
            </w:pPr>
            <w:r w:rsidRPr="004A3E20">
              <w:rPr>
                <w:rFonts w:ascii="Arial" w:hAnsi="Arial" w:cs="Arial"/>
                <w:szCs w:val="24"/>
              </w:rPr>
              <w:t>Use the table below to identify the key steps in the misuse protocol.</w:t>
            </w:r>
          </w:p>
          <w:p w14:paraId="063F27E6" w14:textId="77777777" w:rsidR="004A3E20" w:rsidRPr="004A3E20" w:rsidRDefault="004A3E20" w:rsidP="004A3E20">
            <w:pPr>
              <w:spacing w:after="0" w:line="240" w:lineRule="auto"/>
              <w:rPr>
                <w:rFonts w:ascii="Arial" w:hAnsi="Arial" w:cs="Arial"/>
                <w:szCs w:val="24"/>
              </w:rPr>
            </w:pPr>
            <w:r w:rsidRPr="004A3E20">
              <w:rPr>
                <w:rFonts w:ascii="Arial" w:hAnsi="Arial" w:cs="Arial"/>
                <w:szCs w:val="24"/>
              </w:rPr>
              <w:t> </w:t>
            </w:r>
          </w:p>
          <w:tbl>
            <w:tblPr>
              <w:tblW w:w="7500" w:type="dxa"/>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This is a step-action table.  The first column contains the step number and the second column contains the actions to take to complete the misuse protocol."/>
            </w:tblPr>
            <w:tblGrid>
              <w:gridCol w:w="895"/>
              <w:gridCol w:w="6605"/>
            </w:tblGrid>
            <w:tr w:rsidR="004A3E20" w:rsidRPr="004A3E20" w14:paraId="2AAACB92" w14:textId="77777777">
              <w:trPr>
                <w:tblHeader/>
                <w:tblCellSpacing w:w="7" w:type="dxa"/>
              </w:trPr>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FEA6790" w14:textId="77777777" w:rsidR="004A3E20" w:rsidRPr="004A3E20" w:rsidRDefault="004A3E20" w:rsidP="004A3E20">
                  <w:pPr>
                    <w:spacing w:after="0" w:line="240" w:lineRule="auto"/>
                    <w:jc w:val="center"/>
                    <w:rPr>
                      <w:rFonts w:ascii="Arial" w:hAnsi="Arial" w:cs="Arial"/>
                      <w:b/>
                      <w:bCs/>
                      <w:szCs w:val="24"/>
                    </w:rPr>
                  </w:pPr>
                  <w:r w:rsidRPr="004A3E20">
                    <w:rPr>
                      <w:rFonts w:ascii="Arial" w:hAnsi="Arial" w:cs="Arial"/>
                      <w:b/>
                      <w:bCs/>
                      <w:szCs w:val="24"/>
                    </w:rPr>
                    <w:t>Step</w:t>
                  </w:r>
                </w:p>
              </w:tc>
              <w:tc>
                <w:tcPr>
                  <w:tcW w:w="68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E93E451" w14:textId="77777777" w:rsidR="004A3E20" w:rsidRPr="004A3E20" w:rsidRDefault="004A3E20" w:rsidP="004A3E20">
                  <w:pPr>
                    <w:spacing w:after="0" w:line="240" w:lineRule="auto"/>
                    <w:jc w:val="center"/>
                    <w:rPr>
                      <w:rFonts w:ascii="Arial" w:hAnsi="Arial" w:cs="Arial"/>
                      <w:b/>
                      <w:bCs/>
                      <w:szCs w:val="24"/>
                    </w:rPr>
                  </w:pPr>
                  <w:r w:rsidRPr="004A3E20">
                    <w:rPr>
                      <w:rFonts w:ascii="Arial" w:hAnsi="Arial" w:cs="Arial"/>
                      <w:b/>
                      <w:bCs/>
                      <w:szCs w:val="24"/>
                    </w:rPr>
                    <w:t>Action</w:t>
                  </w:r>
                </w:p>
              </w:tc>
            </w:tr>
            <w:tr w:rsidR="004A3E20" w:rsidRPr="004A3E20" w14:paraId="4F64A298" w14:textId="77777777">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5507933" w14:textId="77777777" w:rsidR="004A3E20" w:rsidRPr="004A3E20" w:rsidRDefault="004A3E20" w:rsidP="004A3E20">
                  <w:pPr>
                    <w:spacing w:after="0" w:line="240" w:lineRule="auto"/>
                    <w:jc w:val="center"/>
                    <w:rPr>
                      <w:rFonts w:ascii="Arial" w:hAnsi="Arial" w:cs="Arial"/>
                      <w:szCs w:val="24"/>
                    </w:rPr>
                  </w:pPr>
                  <w:r w:rsidRPr="004A3E20">
                    <w:rPr>
                      <w:rFonts w:ascii="Arial" w:hAnsi="Arial" w:cs="Arial"/>
                      <w:szCs w:val="24"/>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B469F93" w14:textId="77777777" w:rsidR="004A3E20" w:rsidRPr="004A3E20" w:rsidRDefault="004A3E20" w:rsidP="004A3E20">
                  <w:pPr>
                    <w:spacing w:after="0" w:line="240" w:lineRule="auto"/>
                    <w:rPr>
                      <w:rFonts w:ascii="Arial" w:hAnsi="Arial" w:cs="Arial"/>
                      <w:szCs w:val="24"/>
                    </w:rPr>
                  </w:pPr>
                  <w:r w:rsidRPr="004A3E20">
                    <w:rPr>
                      <w:rFonts w:ascii="Arial" w:hAnsi="Arial" w:cs="Arial"/>
                      <w:szCs w:val="24"/>
                    </w:rPr>
                    <w:t>Complete the initial review of the misuse allegation.</w:t>
                  </w:r>
                </w:p>
              </w:tc>
            </w:tr>
            <w:tr w:rsidR="004A3E20" w:rsidRPr="004A3E20" w14:paraId="01FFFC5B" w14:textId="77777777">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2BE730A" w14:textId="77777777" w:rsidR="004A3E20" w:rsidRPr="004A3E20" w:rsidRDefault="004A3E20" w:rsidP="004A3E20">
                  <w:pPr>
                    <w:spacing w:after="0" w:line="240" w:lineRule="auto"/>
                    <w:jc w:val="center"/>
                    <w:rPr>
                      <w:rFonts w:ascii="Arial" w:hAnsi="Arial" w:cs="Arial"/>
                      <w:szCs w:val="24"/>
                    </w:rPr>
                  </w:pPr>
                  <w:r w:rsidRPr="004A3E20">
                    <w:rPr>
                      <w:rFonts w:ascii="Arial" w:hAnsi="Arial" w:cs="Arial"/>
                      <w:szCs w:val="24"/>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F502DF6" w14:textId="77777777" w:rsidR="004A3E20" w:rsidRPr="004A3E20" w:rsidRDefault="004A3E20" w:rsidP="004A3E20">
                  <w:pPr>
                    <w:spacing w:after="0" w:line="240" w:lineRule="auto"/>
                    <w:rPr>
                      <w:rFonts w:ascii="Arial" w:hAnsi="Arial" w:cs="Arial"/>
                      <w:szCs w:val="24"/>
                    </w:rPr>
                  </w:pPr>
                  <w:r w:rsidRPr="004A3E20">
                    <w:rPr>
                      <w:rFonts w:ascii="Arial" w:hAnsi="Arial" w:cs="Arial"/>
                      <w:szCs w:val="24"/>
                    </w:rPr>
                    <w:t>Complete the misuse investigation.</w:t>
                  </w:r>
                </w:p>
              </w:tc>
            </w:tr>
            <w:tr w:rsidR="004A3E20" w:rsidRPr="004A3E20" w14:paraId="5A8705E7" w14:textId="77777777">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480D532" w14:textId="77777777" w:rsidR="004A3E20" w:rsidRPr="004A3E20" w:rsidRDefault="004A3E20" w:rsidP="004A3E20">
                  <w:pPr>
                    <w:spacing w:after="0" w:line="240" w:lineRule="auto"/>
                    <w:jc w:val="center"/>
                    <w:rPr>
                      <w:rFonts w:ascii="Arial" w:hAnsi="Arial" w:cs="Arial"/>
                      <w:szCs w:val="24"/>
                    </w:rPr>
                  </w:pPr>
                  <w:r w:rsidRPr="004A3E20">
                    <w:rPr>
                      <w:rFonts w:ascii="Arial" w:hAnsi="Arial" w:cs="Arial"/>
                      <w:szCs w:val="24"/>
                    </w:rPr>
                    <w:t>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D7FCA76" w14:textId="77777777" w:rsidR="004A3E20" w:rsidRPr="004A3E20" w:rsidRDefault="004A3E20" w:rsidP="004A3E20">
                  <w:pPr>
                    <w:spacing w:after="0" w:line="240" w:lineRule="auto"/>
                    <w:rPr>
                      <w:rFonts w:ascii="Arial" w:hAnsi="Arial" w:cs="Arial"/>
                      <w:szCs w:val="24"/>
                    </w:rPr>
                  </w:pPr>
                  <w:r w:rsidRPr="004A3E20">
                    <w:rPr>
                      <w:rFonts w:ascii="Arial" w:hAnsi="Arial" w:cs="Arial"/>
                      <w:szCs w:val="24"/>
                    </w:rPr>
                    <w:t>Refer to Regional Counsel in court cases.</w:t>
                  </w:r>
                </w:p>
              </w:tc>
            </w:tr>
            <w:tr w:rsidR="004A3E20" w:rsidRPr="004A3E20" w14:paraId="7B1EC684" w14:textId="77777777">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8FA64A2" w14:textId="77777777" w:rsidR="004A3E20" w:rsidRPr="004A3E20" w:rsidRDefault="004A3E20" w:rsidP="004A3E20">
                  <w:pPr>
                    <w:spacing w:after="0" w:line="240" w:lineRule="auto"/>
                    <w:jc w:val="center"/>
                    <w:rPr>
                      <w:rFonts w:ascii="Arial" w:hAnsi="Arial" w:cs="Arial"/>
                      <w:szCs w:val="24"/>
                    </w:rPr>
                  </w:pPr>
                  <w:r w:rsidRPr="004A3E20">
                    <w:rPr>
                      <w:rFonts w:ascii="Arial" w:hAnsi="Arial" w:cs="Arial"/>
                      <w:szCs w:val="24"/>
                    </w:rPr>
                    <w:lastRenderedPageBreak/>
                    <w:t>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8F35C0B" w14:textId="77777777" w:rsidR="004A3E20" w:rsidRPr="004A3E20" w:rsidRDefault="004A3E20" w:rsidP="004A3E20">
                  <w:pPr>
                    <w:spacing w:after="0" w:line="240" w:lineRule="auto"/>
                    <w:rPr>
                      <w:rFonts w:ascii="Arial" w:hAnsi="Arial" w:cs="Arial"/>
                      <w:szCs w:val="24"/>
                    </w:rPr>
                  </w:pPr>
                  <w:r w:rsidRPr="004A3E20">
                    <w:rPr>
                      <w:rFonts w:ascii="Arial" w:hAnsi="Arial" w:cs="Arial"/>
                      <w:szCs w:val="24"/>
                    </w:rPr>
                    <w:t>Complete the misuse determination.</w:t>
                  </w:r>
                </w:p>
              </w:tc>
            </w:tr>
            <w:tr w:rsidR="004A3E20" w:rsidRPr="004A3E20" w14:paraId="64F501CD" w14:textId="77777777">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6B2C2D1" w14:textId="77777777" w:rsidR="004A3E20" w:rsidRPr="004A3E20" w:rsidRDefault="004A3E20" w:rsidP="004A3E20">
                  <w:pPr>
                    <w:spacing w:after="0" w:line="240" w:lineRule="auto"/>
                    <w:jc w:val="center"/>
                    <w:rPr>
                      <w:rFonts w:ascii="Arial" w:hAnsi="Arial" w:cs="Arial"/>
                      <w:szCs w:val="24"/>
                    </w:rPr>
                  </w:pPr>
                  <w:r w:rsidRPr="004A3E20">
                    <w:rPr>
                      <w:rFonts w:ascii="Arial" w:hAnsi="Arial" w:cs="Arial"/>
                      <w:szCs w:val="24"/>
                    </w:rPr>
                    <w:t>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2E8B858" w14:textId="77777777" w:rsidR="004A3E20" w:rsidRPr="004A3E20" w:rsidRDefault="004A3E20" w:rsidP="004A3E20">
                  <w:pPr>
                    <w:spacing w:after="0" w:line="240" w:lineRule="auto"/>
                    <w:rPr>
                      <w:rFonts w:ascii="Arial" w:hAnsi="Arial" w:cs="Arial"/>
                      <w:szCs w:val="24"/>
                    </w:rPr>
                  </w:pPr>
                  <w:r w:rsidRPr="004A3E20">
                    <w:rPr>
                      <w:rFonts w:ascii="Arial" w:hAnsi="Arial" w:cs="Arial"/>
                      <w:szCs w:val="24"/>
                    </w:rPr>
                    <w:t>Complete the misuse reconsideration determination.</w:t>
                  </w:r>
                </w:p>
              </w:tc>
            </w:tr>
            <w:tr w:rsidR="004A3E20" w:rsidRPr="004A3E20" w14:paraId="4DD2F701" w14:textId="77777777">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652FCCD" w14:textId="77777777" w:rsidR="004A3E20" w:rsidRPr="004A3E20" w:rsidRDefault="004A3E20" w:rsidP="004A3E20">
                  <w:pPr>
                    <w:spacing w:after="0" w:line="240" w:lineRule="auto"/>
                    <w:jc w:val="center"/>
                    <w:rPr>
                      <w:rFonts w:ascii="Arial" w:hAnsi="Arial" w:cs="Arial"/>
                      <w:szCs w:val="24"/>
                    </w:rPr>
                  </w:pPr>
                  <w:r w:rsidRPr="004A3E20">
                    <w:rPr>
                      <w:rFonts w:ascii="Arial" w:hAnsi="Arial" w:cs="Arial"/>
                      <w:szCs w:val="24"/>
                    </w:rPr>
                    <w:t>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8B90A74" w14:textId="77777777" w:rsidR="004A3E20" w:rsidRPr="004A3E20" w:rsidRDefault="004A3E20" w:rsidP="004A3E20">
                  <w:pPr>
                    <w:spacing w:after="0" w:line="240" w:lineRule="auto"/>
                    <w:rPr>
                      <w:rFonts w:ascii="Arial" w:hAnsi="Arial" w:cs="Arial"/>
                      <w:szCs w:val="24"/>
                    </w:rPr>
                  </w:pPr>
                  <w:r w:rsidRPr="004A3E20">
                    <w:rPr>
                      <w:rFonts w:ascii="Arial" w:hAnsi="Arial" w:cs="Arial"/>
                      <w:szCs w:val="24"/>
                    </w:rPr>
                    <w:t>Refer to OIG.</w:t>
                  </w:r>
                </w:p>
              </w:tc>
            </w:tr>
            <w:tr w:rsidR="004A3E20" w:rsidRPr="004A3E20" w14:paraId="20294D3B" w14:textId="77777777">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15ACCA9" w14:textId="77777777" w:rsidR="004A3E20" w:rsidRPr="004A3E20" w:rsidRDefault="004A3E20" w:rsidP="004A3E20">
                  <w:pPr>
                    <w:spacing w:after="0" w:line="240" w:lineRule="auto"/>
                    <w:jc w:val="center"/>
                    <w:rPr>
                      <w:rFonts w:ascii="Arial" w:hAnsi="Arial" w:cs="Arial"/>
                      <w:szCs w:val="24"/>
                    </w:rPr>
                  </w:pPr>
                  <w:r w:rsidRPr="004A3E20">
                    <w:rPr>
                      <w:rFonts w:ascii="Arial" w:hAnsi="Arial" w:cs="Arial"/>
                      <w:szCs w:val="24"/>
                    </w:rPr>
                    <w:t>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36A4D6F" w14:textId="77777777" w:rsidR="004A3E20" w:rsidRPr="004A3E20" w:rsidRDefault="004A3E20" w:rsidP="004A3E20">
                  <w:pPr>
                    <w:spacing w:after="0" w:line="240" w:lineRule="auto"/>
                    <w:rPr>
                      <w:rFonts w:ascii="Arial" w:hAnsi="Arial" w:cs="Arial"/>
                      <w:szCs w:val="24"/>
                    </w:rPr>
                  </w:pPr>
                  <w:r w:rsidRPr="004A3E20">
                    <w:rPr>
                      <w:rFonts w:ascii="Arial" w:hAnsi="Arial" w:cs="Arial"/>
                      <w:szCs w:val="24"/>
                    </w:rPr>
                    <w:t>Refer to the regional office finance activity for debt establishment.</w:t>
                  </w:r>
                </w:p>
              </w:tc>
            </w:tr>
            <w:tr w:rsidR="004A3E20" w:rsidRPr="004A3E20" w14:paraId="0640595A" w14:textId="77777777">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B8482DC" w14:textId="77777777" w:rsidR="004A3E20" w:rsidRPr="004A3E20" w:rsidRDefault="004A3E20" w:rsidP="004A3E20">
                  <w:pPr>
                    <w:spacing w:after="0" w:line="240" w:lineRule="auto"/>
                    <w:jc w:val="center"/>
                    <w:rPr>
                      <w:rFonts w:ascii="Arial" w:hAnsi="Arial" w:cs="Arial"/>
                      <w:szCs w:val="24"/>
                    </w:rPr>
                  </w:pPr>
                  <w:r w:rsidRPr="004A3E20">
                    <w:rPr>
                      <w:rFonts w:ascii="Arial" w:hAnsi="Arial" w:cs="Arial"/>
                      <w:szCs w:val="24"/>
                    </w:rPr>
                    <w:t>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59D1520" w14:textId="77777777" w:rsidR="004A3E20" w:rsidRPr="004A3E20" w:rsidRDefault="004A3E20" w:rsidP="004A3E20">
                  <w:pPr>
                    <w:spacing w:after="0" w:line="240" w:lineRule="auto"/>
                    <w:rPr>
                      <w:rFonts w:ascii="Arial" w:hAnsi="Arial" w:cs="Arial"/>
                      <w:szCs w:val="24"/>
                    </w:rPr>
                  </w:pPr>
                  <w:r w:rsidRPr="004A3E20">
                    <w:rPr>
                      <w:rFonts w:ascii="Arial" w:hAnsi="Arial" w:cs="Arial"/>
                      <w:szCs w:val="24"/>
                    </w:rPr>
                    <w:t>Reissue benefits.</w:t>
                  </w:r>
                </w:p>
              </w:tc>
            </w:tr>
          </w:tbl>
          <w:p w14:paraId="6DB0744F" w14:textId="77777777" w:rsidR="004A3E20" w:rsidRPr="004A3E20" w:rsidRDefault="004A3E20" w:rsidP="004A3E20">
            <w:pPr>
              <w:spacing w:after="0" w:line="240" w:lineRule="auto"/>
              <w:rPr>
                <w:rFonts w:ascii="Arial" w:eastAsia="Times New Roman" w:hAnsi="Arial" w:cs="Arial"/>
                <w:szCs w:val="24"/>
              </w:rPr>
            </w:pPr>
          </w:p>
        </w:tc>
      </w:tr>
    </w:tbl>
    <w:p w14:paraId="13AF8719" w14:textId="77777777" w:rsidR="004A3E20" w:rsidRPr="004A3E20" w:rsidRDefault="004A3E20" w:rsidP="004A3E20">
      <w:pPr>
        <w:spacing w:after="0" w:line="240" w:lineRule="auto"/>
        <w:rPr>
          <w:rFonts w:ascii="Arial" w:eastAsiaTheme="minorHAnsi" w:hAnsi="Arial" w:cs="Arial"/>
          <w:szCs w:val="24"/>
        </w:rPr>
      </w:pPr>
    </w:p>
    <w:p w14:paraId="4FDE97B5" w14:textId="77777777" w:rsidR="004A3E20" w:rsidRPr="004A3E20" w:rsidRDefault="004A3E20" w:rsidP="004A3E20">
      <w:pPr>
        <w:spacing w:after="0" w:line="240" w:lineRule="auto"/>
        <w:rPr>
          <w:rFonts w:ascii="Arial" w:hAnsi="Arial" w:cs="Arial"/>
          <w:szCs w:val="24"/>
        </w:rPr>
      </w:pPr>
      <w:r w:rsidRPr="004A3E20">
        <w:rPr>
          <w:rFonts w:ascii="Arial" w:hAnsi="Arial" w:cs="Arial"/>
          <w:szCs w:val="24"/>
        </w:rPr>
        <w:t>In this reference, does step 6 have to flipflop with step 5?</w:t>
      </w:r>
    </w:p>
    <w:p w14:paraId="0B6E46F1" w14:textId="77777777" w:rsidR="004A3E20" w:rsidRPr="004A3E20" w:rsidRDefault="004A3E20" w:rsidP="004A3E20">
      <w:pPr>
        <w:spacing w:after="0" w:line="240" w:lineRule="auto"/>
        <w:rPr>
          <w:rFonts w:ascii="Arial" w:hAnsi="Arial" w:cs="Arial"/>
          <w:bCs/>
          <w:szCs w:val="24"/>
        </w:rPr>
      </w:pPr>
    </w:p>
    <w:p w14:paraId="4305C1AF" w14:textId="16E40A1B" w:rsidR="004A3E20" w:rsidRDefault="00511870" w:rsidP="004A3E20">
      <w:pPr>
        <w:spacing w:after="0" w:line="240" w:lineRule="auto"/>
        <w:rPr>
          <w:rFonts w:ascii="Arial" w:hAnsi="Arial" w:cs="Arial"/>
          <w:szCs w:val="24"/>
        </w:rPr>
      </w:pPr>
      <w:r w:rsidRPr="00511870">
        <w:rPr>
          <w:rFonts w:ascii="Arial" w:hAnsi="Arial" w:cs="Arial"/>
          <w:b/>
          <w:szCs w:val="24"/>
        </w:rPr>
        <w:t>Response</w:t>
      </w:r>
      <w:r w:rsidRPr="00511870">
        <w:rPr>
          <w:rFonts w:ascii="Arial" w:hAnsi="Arial" w:cs="Arial"/>
          <w:szCs w:val="24"/>
        </w:rPr>
        <w:t xml:space="preserve">: </w:t>
      </w:r>
      <w:r w:rsidR="00974992">
        <w:rPr>
          <w:rFonts w:ascii="Arial" w:hAnsi="Arial" w:cs="Arial"/>
          <w:szCs w:val="24"/>
        </w:rPr>
        <w:t xml:space="preserve"> </w:t>
      </w:r>
      <w:r w:rsidR="004A3E20">
        <w:rPr>
          <w:rFonts w:ascii="Arial" w:hAnsi="Arial" w:cs="Arial"/>
          <w:szCs w:val="24"/>
        </w:rPr>
        <w:t>Follow most recent guidance as outlined in FPM 5.E.1.d, which states that hubs must refer all misuse determinations to VA OIG concurrent to sending the fiduciary the finding of misuse.</w:t>
      </w:r>
    </w:p>
    <w:p w14:paraId="4EE43D9A" w14:textId="77777777" w:rsidR="004A3E20" w:rsidRDefault="004A3E20" w:rsidP="004A3E20">
      <w:pPr>
        <w:spacing w:after="0" w:line="240" w:lineRule="auto"/>
        <w:rPr>
          <w:rFonts w:ascii="Arial" w:hAnsi="Arial" w:cs="Arial"/>
          <w:szCs w:val="24"/>
        </w:rPr>
      </w:pPr>
    </w:p>
    <w:p w14:paraId="251C0D6C" w14:textId="77777777" w:rsidR="004A3E20" w:rsidRDefault="004A3E20" w:rsidP="004A3E20">
      <w:pPr>
        <w:spacing w:after="0" w:line="240" w:lineRule="auto"/>
        <w:rPr>
          <w:rFonts w:ascii="Arial" w:hAnsi="Arial" w:cs="Arial"/>
          <w:szCs w:val="24"/>
        </w:rPr>
      </w:pPr>
      <w:r>
        <w:rPr>
          <w:rFonts w:ascii="Arial" w:hAnsi="Arial" w:cs="Arial"/>
          <w:szCs w:val="24"/>
        </w:rPr>
        <w:t xml:space="preserve">P&amp;F Service will update FPM 5.A.1.l to be consistent with the direction in FPM 5.E.1.d in the future. The correct order of the step action table in FPM 5.E.1.d is outlined below with key changes highlighted in yellow. </w:t>
      </w:r>
    </w:p>
    <w:p w14:paraId="403B9EDB" w14:textId="77777777" w:rsidR="004A3E20" w:rsidRDefault="004A3E20" w:rsidP="004A3E20">
      <w:pPr>
        <w:spacing w:after="0" w:line="240" w:lineRule="auto"/>
        <w:rPr>
          <w:rFonts w:ascii="Arial" w:hAnsi="Arial" w:cs="Arial"/>
          <w:szCs w:val="24"/>
        </w:rPr>
      </w:pPr>
    </w:p>
    <w:tbl>
      <w:tblPr>
        <w:tblW w:w="7500" w:type="dxa"/>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5"/>
        <w:gridCol w:w="6605"/>
      </w:tblGrid>
      <w:tr w:rsidR="004A3E20" w14:paraId="12849EAD" w14:textId="77777777" w:rsidTr="004A3E20">
        <w:trPr>
          <w:tblHeader/>
          <w:tblCellSpacing w:w="7" w:type="dxa"/>
        </w:trPr>
        <w:tc>
          <w:tcPr>
            <w:tcW w:w="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A4A215B" w14:textId="77777777" w:rsidR="004A3E20" w:rsidRDefault="004A3E20" w:rsidP="004A3E20">
            <w:pPr>
              <w:spacing w:after="0" w:line="240" w:lineRule="auto"/>
              <w:jc w:val="center"/>
              <w:rPr>
                <w:rFonts w:ascii="Arial" w:hAnsi="Arial" w:cs="Arial"/>
                <w:b/>
                <w:bCs/>
                <w:szCs w:val="24"/>
              </w:rPr>
            </w:pPr>
            <w:r>
              <w:rPr>
                <w:rFonts w:ascii="Arial" w:hAnsi="Arial" w:cs="Arial"/>
                <w:b/>
                <w:bCs/>
                <w:szCs w:val="24"/>
              </w:rPr>
              <w:t>Step</w:t>
            </w:r>
          </w:p>
        </w:tc>
        <w:tc>
          <w:tcPr>
            <w:tcW w:w="68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8EE8C2F" w14:textId="77777777" w:rsidR="004A3E20" w:rsidRDefault="004A3E20" w:rsidP="004A3E20">
            <w:pPr>
              <w:spacing w:after="0" w:line="240" w:lineRule="auto"/>
              <w:jc w:val="center"/>
              <w:rPr>
                <w:rFonts w:ascii="Arial" w:hAnsi="Arial" w:cs="Arial"/>
                <w:b/>
                <w:bCs/>
                <w:szCs w:val="24"/>
              </w:rPr>
            </w:pPr>
            <w:r>
              <w:rPr>
                <w:rFonts w:ascii="Arial" w:hAnsi="Arial" w:cs="Arial"/>
                <w:b/>
                <w:bCs/>
                <w:szCs w:val="24"/>
              </w:rPr>
              <w:t>Action</w:t>
            </w:r>
          </w:p>
        </w:tc>
      </w:tr>
      <w:tr w:rsidR="004A3E20" w14:paraId="7F1EA381" w14:textId="77777777" w:rsidTr="004A3E20">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4C7FDC9" w14:textId="77777777" w:rsidR="004A3E20" w:rsidRDefault="004A3E20" w:rsidP="004A3E20">
            <w:pPr>
              <w:spacing w:after="0" w:line="240" w:lineRule="auto"/>
              <w:jc w:val="center"/>
              <w:rPr>
                <w:rFonts w:ascii="Arial" w:hAnsi="Arial" w:cs="Arial"/>
                <w:szCs w:val="24"/>
              </w:rPr>
            </w:pPr>
            <w:r>
              <w:rPr>
                <w:rFonts w:ascii="Arial" w:hAnsi="Arial" w:cs="Arial"/>
                <w:szCs w:val="24"/>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75FBE92" w14:textId="77777777" w:rsidR="004A3E20" w:rsidRDefault="004A3E20" w:rsidP="004A3E20">
            <w:pPr>
              <w:spacing w:after="0" w:line="240" w:lineRule="auto"/>
              <w:rPr>
                <w:rFonts w:ascii="Arial" w:hAnsi="Arial" w:cs="Arial"/>
                <w:szCs w:val="24"/>
              </w:rPr>
            </w:pPr>
            <w:r>
              <w:rPr>
                <w:rFonts w:ascii="Arial" w:hAnsi="Arial" w:cs="Arial"/>
                <w:szCs w:val="24"/>
              </w:rPr>
              <w:t>Complete the initial review of the misuse allegation.</w:t>
            </w:r>
          </w:p>
        </w:tc>
      </w:tr>
      <w:tr w:rsidR="004A3E20" w14:paraId="5114B840" w14:textId="77777777" w:rsidTr="004A3E20">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5737C1B" w14:textId="77777777" w:rsidR="004A3E20" w:rsidRDefault="004A3E20" w:rsidP="004A3E20">
            <w:pPr>
              <w:spacing w:after="0" w:line="240" w:lineRule="auto"/>
              <w:jc w:val="center"/>
              <w:rPr>
                <w:rFonts w:ascii="Arial" w:hAnsi="Arial" w:cs="Arial"/>
                <w:szCs w:val="24"/>
              </w:rPr>
            </w:pPr>
            <w:r>
              <w:rPr>
                <w:rFonts w:ascii="Arial" w:hAnsi="Arial" w:cs="Arial"/>
                <w:szCs w:val="24"/>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A6CF58B" w14:textId="77777777" w:rsidR="004A3E20" w:rsidRDefault="004A3E20" w:rsidP="004A3E20">
            <w:pPr>
              <w:spacing w:after="0" w:line="240" w:lineRule="auto"/>
              <w:rPr>
                <w:rFonts w:ascii="Arial" w:hAnsi="Arial" w:cs="Arial"/>
                <w:szCs w:val="24"/>
              </w:rPr>
            </w:pPr>
            <w:r>
              <w:rPr>
                <w:rFonts w:ascii="Arial" w:hAnsi="Arial" w:cs="Arial"/>
                <w:szCs w:val="24"/>
              </w:rPr>
              <w:t>Complete the misuse investigation.</w:t>
            </w:r>
          </w:p>
        </w:tc>
      </w:tr>
      <w:tr w:rsidR="004A3E20" w14:paraId="28EB2069" w14:textId="77777777" w:rsidTr="004A3E20">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2ED5887" w14:textId="77777777" w:rsidR="004A3E20" w:rsidRDefault="004A3E20" w:rsidP="004A3E20">
            <w:pPr>
              <w:spacing w:after="0" w:line="240" w:lineRule="auto"/>
              <w:jc w:val="center"/>
              <w:rPr>
                <w:rFonts w:ascii="Arial" w:hAnsi="Arial" w:cs="Arial"/>
                <w:szCs w:val="24"/>
              </w:rPr>
            </w:pPr>
            <w:r>
              <w:rPr>
                <w:rFonts w:ascii="Arial" w:hAnsi="Arial" w:cs="Arial"/>
                <w:szCs w:val="24"/>
              </w:rPr>
              <w:t>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669EE64" w14:textId="77777777" w:rsidR="004A3E20" w:rsidRDefault="004A3E20" w:rsidP="004A3E20">
            <w:pPr>
              <w:spacing w:after="0" w:line="240" w:lineRule="auto"/>
              <w:rPr>
                <w:rFonts w:ascii="Arial" w:hAnsi="Arial" w:cs="Arial"/>
                <w:szCs w:val="24"/>
              </w:rPr>
            </w:pPr>
            <w:r>
              <w:rPr>
                <w:rFonts w:ascii="Arial" w:hAnsi="Arial" w:cs="Arial"/>
                <w:szCs w:val="24"/>
              </w:rPr>
              <w:t>Refer to Regional Counsel in court cases.</w:t>
            </w:r>
          </w:p>
        </w:tc>
      </w:tr>
      <w:tr w:rsidR="004A3E20" w14:paraId="3BA15A06" w14:textId="77777777" w:rsidTr="004A3E20">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F472AD1" w14:textId="77777777" w:rsidR="004A3E20" w:rsidRDefault="004A3E20" w:rsidP="004A3E20">
            <w:pPr>
              <w:spacing w:after="0" w:line="240" w:lineRule="auto"/>
              <w:jc w:val="center"/>
              <w:rPr>
                <w:rFonts w:ascii="Arial" w:hAnsi="Arial" w:cs="Arial"/>
                <w:szCs w:val="24"/>
              </w:rPr>
            </w:pPr>
            <w:r>
              <w:rPr>
                <w:rFonts w:ascii="Arial" w:hAnsi="Arial" w:cs="Arial"/>
                <w:szCs w:val="24"/>
              </w:rPr>
              <w:t>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842897D" w14:textId="77777777" w:rsidR="004A3E20" w:rsidRDefault="004A3E20" w:rsidP="004A3E20">
            <w:pPr>
              <w:spacing w:after="0" w:line="240" w:lineRule="auto"/>
              <w:rPr>
                <w:rFonts w:ascii="Arial" w:hAnsi="Arial" w:cs="Arial"/>
                <w:szCs w:val="24"/>
              </w:rPr>
            </w:pPr>
            <w:r>
              <w:rPr>
                <w:rFonts w:ascii="Arial" w:hAnsi="Arial" w:cs="Arial"/>
                <w:szCs w:val="24"/>
              </w:rPr>
              <w:t>Complete the misuse determination.</w:t>
            </w:r>
          </w:p>
        </w:tc>
      </w:tr>
      <w:tr w:rsidR="004A3E20" w14:paraId="67B10E3D" w14:textId="77777777" w:rsidTr="004A3E20">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8077B50" w14:textId="77777777" w:rsidR="004A3E20" w:rsidRDefault="004A3E20" w:rsidP="004A3E20">
            <w:pPr>
              <w:spacing w:after="0" w:line="240" w:lineRule="auto"/>
              <w:jc w:val="center"/>
              <w:rPr>
                <w:rFonts w:ascii="Arial" w:hAnsi="Arial" w:cs="Arial"/>
                <w:szCs w:val="24"/>
                <w:highlight w:val="yellow"/>
              </w:rPr>
            </w:pPr>
            <w:r>
              <w:rPr>
                <w:rFonts w:ascii="Arial" w:hAnsi="Arial" w:cs="Arial"/>
                <w:szCs w:val="24"/>
              </w:rPr>
              <w:t>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2126B74" w14:textId="77777777" w:rsidR="004A3E20" w:rsidRDefault="004A3E20" w:rsidP="004A3E20">
            <w:pPr>
              <w:spacing w:after="0" w:line="240" w:lineRule="auto"/>
              <w:rPr>
                <w:rFonts w:ascii="Arial" w:hAnsi="Arial" w:cs="Arial"/>
                <w:szCs w:val="24"/>
                <w:highlight w:val="yellow"/>
              </w:rPr>
            </w:pPr>
            <w:r>
              <w:rPr>
                <w:rFonts w:ascii="Arial" w:hAnsi="Arial" w:cs="Arial"/>
                <w:szCs w:val="24"/>
                <w:highlight w:val="yellow"/>
              </w:rPr>
              <w:t>Refer to OIG.</w:t>
            </w:r>
          </w:p>
        </w:tc>
      </w:tr>
      <w:tr w:rsidR="004A3E20" w14:paraId="09EA9809" w14:textId="77777777" w:rsidTr="004A3E20">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E7C36D8" w14:textId="77777777" w:rsidR="004A3E20" w:rsidRDefault="004A3E20" w:rsidP="004A3E20">
            <w:pPr>
              <w:spacing w:after="0" w:line="240" w:lineRule="auto"/>
              <w:jc w:val="center"/>
              <w:rPr>
                <w:rFonts w:ascii="Arial" w:hAnsi="Arial" w:cs="Arial"/>
                <w:szCs w:val="24"/>
                <w:highlight w:val="yellow"/>
              </w:rPr>
            </w:pPr>
            <w:r>
              <w:rPr>
                <w:rFonts w:ascii="Arial" w:hAnsi="Arial" w:cs="Arial"/>
                <w:szCs w:val="24"/>
              </w:rPr>
              <w:t>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E50B989" w14:textId="77777777" w:rsidR="004A3E20" w:rsidRDefault="004A3E20" w:rsidP="004A3E20">
            <w:pPr>
              <w:spacing w:after="0" w:line="240" w:lineRule="auto"/>
              <w:rPr>
                <w:rFonts w:ascii="Arial" w:hAnsi="Arial" w:cs="Arial"/>
                <w:szCs w:val="24"/>
                <w:highlight w:val="yellow"/>
              </w:rPr>
            </w:pPr>
            <w:r>
              <w:rPr>
                <w:rFonts w:ascii="Arial" w:hAnsi="Arial" w:cs="Arial"/>
                <w:szCs w:val="24"/>
                <w:highlight w:val="yellow"/>
              </w:rPr>
              <w:t>Complete the misuse reconsideration determination, if necessary.</w:t>
            </w:r>
          </w:p>
        </w:tc>
      </w:tr>
      <w:tr w:rsidR="004A3E20" w14:paraId="7EAA007F" w14:textId="77777777" w:rsidTr="004A3E20">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7D74DE4" w14:textId="77777777" w:rsidR="004A3E20" w:rsidRDefault="004A3E20" w:rsidP="004A3E20">
            <w:pPr>
              <w:spacing w:after="0" w:line="240" w:lineRule="auto"/>
              <w:jc w:val="center"/>
              <w:rPr>
                <w:rFonts w:ascii="Arial" w:hAnsi="Arial" w:cs="Arial"/>
                <w:szCs w:val="24"/>
              </w:rPr>
            </w:pPr>
            <w:r>
              <w:rPr>
                <w:rFonts w:ascii="Arial" w:hAnsi="Arial" w:cs="Arial"/>
                <w:szCs w:val="24"/>
              </w:rPr>
              <w:t>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9D3D547" w14:textId="77777777" w:rsidR="004A3E20" w:rsidRDefault="004A3E20" w:rsidP="004A3E20">
            <w:pPr>
              <w:spacing w:after="0" w:line="240" w:lineRule="auto"/>
              <w:rPr>
                <w:rFonts w:ascii="Arial" w:hAnsi="Arial" w:cs="Arial"/>
                <w:szCs w:val="24"/>
              </w:rPr>
            </w:pPr>
            <w:r>
              <w:rPr>
                <w:rFonts w:ascii="Arial" w:hAnsi="Arial" w:cs="Arial"/>
                <w:szCs w:val="24"/>
              </w:rPr>
              <w:t>Refer to the regional office finance activity for debt establishment.</w:t>
            </w:r>
          </w:p>
        </w:tc>
      </w:tr>
      <w:tr w:rsidR="004A3E20" w14:paraId="6FB68027" w14:textId="77777777" w:rsidTr="004A3E20">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AE20411" w14:textId="77777777" w:rsidR="004A3E20" w:rsidRDefault="004A3E20" w:rsidP="004A3E20">
            <w:pPr>
              <w:spacing w:after="0" w:line="240" w:lineRule="auto"/>
              <w:jc w:val="center"/>
              <w:rPr>
                <w:rFonts w:ascii="Arial" w:hAnsi="Arial" w:cs="Arial"/>
                <w:szCs w:val="24"/>
              </w:rPr>
            </w:pPr>
            <w:r>
              <w:rPr>
                <w:rFonts w:ascii="Arial" w:hAnsi="Arial" w:cs="Arial"/>
                <w:szCs w:val="24"/>
              </w:rPr>
              <w:t>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BC2EACD" w14:textId="77777777" w:rsidR="004A3E20" w:rsidRDefault="004A3E20" w:rsidP="004A3E20">
            <w:pPr>
              <w:spacing w:after="0" w:line="240" w:lineRule="auto"/>
              <w:rPr>
                <w:rFonts w:ascii="Arial" w:hAnsi="Arial" w:cs="Arial"/>
                <w:szCs w:val="24"/>
              </w:rPr>
            </w:pPr>
            <w:r>
              <w:rPr>
                <w:rFonts w:ascii="Arial" w:hAnsi="Arial" w:cs="Arial"/>
                <w:szCs w:val="24"/>
              </w:rPr>
              <w:t>Reissue benefits.</w:t>
            </w:r>
          </w:p>
        </w:tc>
      </w:tr>
    </w:tbl>
    <w:p w14:paraId="12594D6C" w14:textId="77777777" w:rsidR="004A3E20" w:rsidRDefault="004A3E20" w:rsidP="004A3E20">
      <w:pPr>
        <w:spacing w:after="0" w:line="240" w:lineRule="auto"/>
        <w:rPr>
          <w:rFonts w:ascii="Arial" w:hAnsi="Arial" w:cs="Arial"/>
          <w:szCs w:val="24"/>
        </w:rPr>
      </w:pPr>
    </w:p>
    <w:p w14:paraId="7A938737" w14:textId="77777777" w:rsidR="00676BA5" w:rsidRDefault="00791992" w:rsidP="00791992">
      <w:pPr>
        <w:spacing w:after="0" w:line="240" w:lineRule="auto"/>
        <w:rPr>
          <w:rFonts w:ascii="Arial" w:hAnsi="Arial" w:cs="Arial"/>
          <w:szCs w:val="24"/>
        </w:rPr>
      </w:pPr>
      <w:r w:rsidRPr="00D911D2">
        <w:rPr>
          <w:rFonts w:ascii="Arial" w:hAnsi="Arial" w:cs="Arial"/>
          <w:b/>
          <w:szCs w:val="24"/>
        </w:rPr>
        <w:t>Result:</w:t>
      </w:r>
      <w:r w:rsidRPr="00D911D2">
        <w:rPr>
          <w:rFonts w:ascii="Arial" w:hAnsi="Arial" w:cs="Arial"/>
          <w:szCs w:val="24"/>
        </w:rPr>
        <w:t xml:space="preserve">  </w:t>
      </w:r>
      <w:r w:rsidR="004A3E20">
        <w:rPr>
          <w:rFonts w:ascii="Arial" w:hAnsi="Arial" w:cs="Arial"/>
          <w:szCs w:val="24"/>
        </w:rPr>
        <w:t xml:space="preserve">FPM 5.A.1.l </w:t>
      </w:r>
      <w:r w:rsidR="00676BA5">
        <w:rPr>
          <w:rFonts w:ascii="Arial" w:hAnsi="Arial" w:cs="Arial"/>
          <w:szCs w:val="24"/>
        </w:rPr>
        <w:t>will be updated.</w:t>
      </w:r>
    </w:p>
    <w:p w14:paraId="31DF4F3B" w14:textId="6B90F91E" w:rsidR="00A43A04" w:rsidRPr="003C7AC3" w:rsidRDefault="00A43A04" w:rsidP="00A43A04">
      <w:pPr>
        <w:pStyle w:val="Heading1"/>
        <w:rPr>
          <w:rFonts w:ascii="Arial" w:hAnsi="Arial" w:cs="Arial"/>
        </w:rPr>
      </w:pPr>
      <w:bookmarkStart w:id="28" w:name="_Toc45875970"/>
      <w:r>
        <w:rPr>
          <w:rFonts w:ascii="Arial" w:hAnsi="Arial" w:cs="Arial"/>
        </w:rPr>
        <w:t>Question Regarding Foreign Field Exams</w:t>
      </w:r>
      <w:bookmarkEnd w:id="28"/>
    </w:p>
    <w:p w14:paraId="5EEF603A" w14:textId="77777777" w:rsidR="00A43A04" w:rsidRPr="00A43A04" w:rsidRDefault="00A43A04" w:rsidP="00A43A04">
      <w:pPr>
        <w:spacing w:after="0" w:line="240" w:lineRule="auto"/>
        <w:rPr>
          <w:rFonts w:ascii="Arial" w:hAnsi="Arial" w:cs="Arial"/>
          <w:szCs w:val="24"/>
        </w:rPr>
      </w:pPr>
      <w:r w:rsidRPr="00A43A04">
        <w:rPr>
          <w:rFonts w:ascii="Arial" w:hAnsi="Arial" w:cs="Arial"/>
          <w:b/>
          <w:szCs w:val="24"/>
        </w:rPr>
        <w:t>Target Audience</w:t>
      </w:r>
      <w:r w:rsidRPr="00A43A04">
        <w:rPr>
          <w:rFonts w:ascii="Arial" w:hAnsi="Arial" w:cs="Arial"/>
          <w:szCs w:val="24"/>
        </w:rPr>
        <w:t>:  Fiduciary Hub personnel</w:t>
      </w:r>
    </w:p>
    <w:p w14:paraId="204B6A16" w14:textId="77777777" w:rsidR="00A43A04" w:rsidRPr="00A43A04" w:rsidRDefault="00A43A04" w:rsidP="00A43A04">
      <w:pPr>
        <w:spacing w:after="0" w:line="240" w:lineRule="auto"/>
        <w:rPr>
          <w:rFonts w:ascii="Arial" w:hAnsi="Arial" w:cs="Arial"/>
          <w:szCs w:val="24"/>
        </w:rPr>
      </w:pPr>
    </w:p>
    <w:p w14:paraId="7DB53EDF" w14:textId="77777777" w:rsidR="00A43A04" w:rsidRPr="00A43A04" w:rsidRDefault="00A43A04" w:rsidP="00A43A04">
      <w:pPr>
        <w:pStyle w:val="PlainText"/>
        <w:rPr>
          <w:rFonts w:ascii="Arial" w:hAnsi="Arial" w:cs="Arial"/>
          <w:sz w:val="24"/>
          <w:szCs w:val="24"/>
        </w:rPr>
      </w:pPr>
      <w:r w:rsidRPr="00A43A04">
        <w:rPr>
          <w:rFonts w:ascii="Arial" w:hAnsi="Arial" w:cs="Arial"/>
          <w:b/>
          <w:bCs/>
          <w:sz w:val="24"/>
          <w:szCs w:val="24"/>
        </w:rPr>
        <w:t>Question 1</w:t>
      </w:r>
      <w:r w:rsidRPr="00A43A04">
        <w:rPr>
          <w:rFonts w:ascii="Arial" w:hAnsi="Arial" w:cs="Arial"/>
          <w:sz w:val="24"/>
          <w:szCs w:val="24"/>
        </w:rPr>
        <w:t>: Is the Hub required to secure and review a CBI and Credit Report check on proposed fiduciaries that reside outside the United States, unless they otherwise meet an exemption reason listed in FPM 2.D.5.m.</w:t>
      </w:r>
    </w:p>
    <w:p w14:paraId="2D39DE2F" w14:textId="77777777" w:rsidR="00A43A04" w:rsidRPr="00A43A04" w:rsidRDefault="00A43A04" w:rsidP="00A43A04">
      <w:pPr>
        <w:pStyle w:val="PlainText"/>
        <w:rPr>
          <w:rFonts w:ascii="Arial" w:hAnsi="Arial" w:cs="Arial"/>
          <w:sz w:val="24"/>
          <w:szCs w:val="24"/>
        </w:rPr>
      </w:pPr>
      <w:r w:rsidRPr="00A43A04">
        <w:rPr>
          <w:rFonts w:ascii="Arial" w:hAnsi="Arial" w:cs="Arial"/>
          <w:sz w:val="24"/>
          <w:szCs w:val="24"/>
        </w:rPr>
        <w:t xml:space="preserve"> </w:t>
      </w:r>
    </w:p>
    <w:p w14:paraId="200D7D94" w14:textId="77777777" w:rsidR="00A43A04" w:rsidRPr="00A43A04" w:rsidRDefault="00A43A04" w:rsidP="00A43A04">
      <w:pPr>
        <w:pStyle w:val="PlainText"/>
        <w:rPr>
          <w:rFonts w:ascii="Arial" w:hAnsi="Arial" w:cs="Arial"/>
          <w:sz w:val="24"/>
          <w:szCs w:val="24"/>
        </w:rPr>
      </w:pPr>
      <w:r w:rsidRPr="00A43A04">
        <w:rPr>
          <w:rFonts w:ascii="Arial" w:hAnsi="Arial" w:cs="Arial"/>
          <w:b/>
          <w:bCs/>
          <w:sz w:val="24"/>
          <w:szCs w:val="24"/>
        </w:rPr>
        <w:t>Response 1</w:t>
      </w:r>
      <w:r w:rsidRPr="00A43A04">
        <w:rPr>
          <w:rFonts w:ascii="Arial" w:hAnsi="Arial" w:cs="Arial"/>
          <w:sz w:val="24"/>
          <w:szCs w:val="24"/>
        </w:rPr>
        <w:t xml:space="preserve">:  Per FPM 2.B.2.c, all foreign field examinations, with the exception of initial and successor initial appointments, follow the streamlined field examination guidelines. Per 38 U.S.C 5507, the hub must attempt to obtain a copy of a proposed </w:t>
      </w:r>
      <w:r w:rsidRPr="00A43A04">
        <w:rPr>
          <w:rFonts w:ascii="Arial" w:hAnsi="Arial" w:cs="Arial"/>
          <w:sz w:val="24"/>
          <w:szCs w:val="24"/>
        </w:rPr>
        <w:lastRenderedPageBreak/>
        <w:t>fiduciary’s credit report, when practicable. Per 38 CFR 13.100(f)(iii), the hub must review the proposed fiduciary’s criminal background to the extent possible. Therefore, the hub must request and review the credit and background report of a proposed fiduciary who lives in a foreign country prior to appointment.</w:t>
      </w:r>
    </w:p>
    <w:p w14:paraId="40975BB3" w14:textId="77777777" w:rsidR="00A43A04" w:rsidRPr="00A43A04" w:rsidRDefault="00A43A04" w:rsidP="00A43A04">
      <w:pPr>
        <w:pStyle w:val="PlainText"/>
        <w:rPr>
          <w:rFonts w:ascii="Arial" w:hAnsi="Arial" w:cs="Arial"/>
          <w:sz w:val="24"/>
          <w:szCs w:val="24"/>
        </w:rPr>
      </w:pPr>
      <w:r w:rsidRPr="00A43A04">
        <w:rPr>
          <w:rFonts w:ascii="Arial" w:hAnsi="Arial" w:cs="Arial"/>
          <w:sz w:val="24"/>
          <w:szCs w:val="24"/>
        </w:rPr>
        <w:t xml:space="preserve"> </w:t>
      </w:r>
    </w:p>
    <w:p w14:paraId="09A5C011" w14:textId="77777777" w:rsidR="00A43A04" w:rsidRPr="00A43A04" w:rsidRDefault="00A43A04" w:rsidP="00A43A04">
      <w:pPr>
        <w:pStyle w:val="PlainText"/>
        <w:rPr>
          <w:rFonts w:ascii="Arial" w:hAnsi="Arial" w:cs="Arial"/>
          <w:sz w:val="24"/>
          <w:szCs w:val="24"/>
        </w:rPr>
      </w:pPr>
      <w:r w:rsidRPr="00A43A04">
        <w:rPr>
          <w:rFonts w:ascii="Arial" w:hAnsi="Arial" w:cs="Arial"/>
          <w:b/>
          <w:bCs/>
          <w:sz w:val="24"/>
          <w:szCs w:val="24"/>
        </w:rPr>
        <w:t>Question 2</w:t>
      </w:r>
      <w:r w:rsidRPr="00A43A04">
        <w:rPr>
          <w:rFonts w:ascii="Arial" w:hAnsi="Arial" w:cs="Arial"/>
          <w:sz w:val="24"/>
          <w:szCs w:val="24"/>
        </w:rPr>
        <w:t>:  May a hub appoint a foreign fiduciary if the credit report returns no information?</w:t>
      </w:r>
    </w:p>
    <w:p w14:paraId="36C5FE14" w14:textId="77777777" w:rsidR="00A43A04" w:rsidRPr="00A43A04" w:rsidRDefault="00A43A04" w:rsidP="00A43A04">
      <w:pPr>
        <w:pStyle w:val="PlainText"/>
        <w:rPr>
          <w:rFonts w:ascii="Arial" w:hAnsi="Arial" w:cs="Arial"/>
          <w:sz w:val="24"/>
          <w:szCs w:val="24"/>
        </w:rPr>
      </w:pPr>
      <w:r w:rsidRPr="00A43A04">
        <w:rPr>
          <w:rFonts w:ascii="Arial" w:hAnsi="Arial" w:cs="Arial"/>
          <w:sz w:val="24"/>
          <w:szCs w:val="24"/>
        </w:rPr>
        <w:t xml:space="preserve"> </w:t>
      </w:r>
    </w:p>
    <w:p w14:paraId="64B11E0E" w14:textId="77777777" w:rsidR="00A43A04" w:rsidRPr="00A43A04" w:rsidRDefault="00A43A04" w:rsidP="00A43A04">
      <w:pPr>
        <w:pStyle w:val="PlainText"/>
        <w:rPr>
          <w:rFonts w:ascii="Arial" w:hAnsi="Arial" w:cs="Arial"/>
          <w:sz w:val="24"/>
          <w:szCs w:val="24"/>
        </w:rPr>
      </w:pPr>
      <w:r w:rsidRPr="00A43A04">
        <w:rPr>
          <w:rFonts w:ascii="Arial" w:hAnsi="Arial" w:cs="Arial"/>
          <w:b/>
          <w:bCs/>
          <w:sz w:val="24"/>
          <w:szCs w:val="24"/>
        </w:rPr>
        <w:t>Response 2</w:t>
      </w:r>
      <w:r w:rsidRPr="00A43A04">
        <w:rPr>
          <w:rFonts w:ascii="Arial" w:hAnsi="Arial" w:cs="Arial"/>
          <w:sz w:val="24"/>
          <w:szCs w:val="24"/>
        </w:rPr>
        <w:t>:  If the credit report does not return information for a foreign proposed fiduciary, records may not exist because the individual is not a United States citizen. The hub must determine if a bar to service per 38 CFR 13.130 applies, or if negative credit information exists through interview that would indicate that the appointment of the fiduciary is not in the best interest of the beneficiary.</w:t>
      </w:r>
    </w:p>
    <w:p w14:paraId="79DAE24A" w14:textId="77777777" w:rsidR="00A43A04" w:rsidRPr="00A43A04" w:rsidRDefault="00A43A04" w:rsidP="00A43A04">
      <w:pPr>
        <w:pStyle w:val="PlainText"/>
        <w:rPr>
          <w:rFonts w:ascii="Arial" w:hAnsi="Arial" w:cs="Arial"/>
          <w:sz w:val="24"/>
          <w:szCs w:val="24"/>
        </w:rPr>
      </w:pPr>
      <w:r w:rsidRPr="00A43A04">
        <w:rPr>
          <w:rFonts w:ascii="Arial" w:hAnsi="Arial" w:cs="Arial"/>
          <w:sz w:val="24"/>
          <w:szCs w:val="24"/>
        </w:rPr>
        <w:t xml:space="preserve"> </w:t>
      </w:r>
    </w:p>
    <w:p w14:paraId="5D281D9A" w14:textId="77777777" w:rsidR="00A43A04" w:rsidRPr="00A43A04" w:rsidRDefault="00A43A04" w:rsidP="00A43A04">
      <w:pPr>
        <w:pStyle w:val="PlainText"/>
        <w:rPr>
          <w:rFonts w:ascii="Arial" w:hAnsi="Arial" w:cs="Arial"/>
          <w:sz w:val="24"/>
          <w:szCs w:val="24"/>
        </w:rPr>
      </w:pPr>
      <w:r w:rsidRPr="00A43A04">
        <w:rPr>
          <w:rFonts w:ascii="Arial" w:hAnsi="Arial" w:cs="Arial"/>
          <w:b/>
          <w:bCs/>
          <w:sz w:val="24"/>
          <w:szCs w:val="24"/>
        </w:rPr>
        <w:t>Question 3</w:t>
      </w:r>
      <w:r w:rsidRPr="00A43A04">
        <w:rPr>
          <w:rFonts w:ascii="Arial" w:hAnsi="Arial" w:cs="Arial"/>
          <w:sz w:val="24"/>
          <w:szCs w:val="24"/>
        </w:rPr>
        <w:t>:  Are we allowed to appoint the proposed fiduciary if the CBI returns a red color code, so long as we can determine that the score was given based on multiple aliases and/or no previous credit history?</w:t>
      </w:r>
    </w:p>
    <w:p w14:paraId="67048C5D" w14:textId="77777777" w:rsidR="00A43A04" w:rsidRPr="00A43A04" w:rsidRDefault="00A43A04" w:rsidP="00A43A04">
      <w:pPr>
        <w:pStyle w:val="PlainText"/>
        <w:rPr>
          <w:rFonts w:ascii="Arial" w:hAnsi="Arial" w:cs="Arial"/>
          <w:sz w:val="24"/>
          <w:szCs w:val="24"/>
        </w:rPr>
      </w:pPr>
      <w:r w:rsidRPr="00A43A04">
        <w:rPr>
          <w:rFonts w:ascii="Arial" w:hAnsi="Arial" w:cs="Arial"/>
          <w:sz w:val="24"/>
          <w:szCs w:val="24"/>
        </w:rPr>
        <w:t xml:space="preserve"> </w:t>
      </w:r>
    </w:p>
    <w:p w14:paraId="3489A972" w14:textId="77777777" w:rsidR="00A43A04" w:rsidRPr="00A43A04" w:rsidRDefault="00A43A04" w:rsidP="00A43A04">
      <w:pPr>
        <w:pStyle w:val="PlainText"/>
        <w:rPr>
          <w:rFonts w:ascii="Arial" w:hAnsi="Arial" w:cs="Arial"/>
          <w:sz w:val="24"/>
          <w:szCs w:val="24"/>
        </w:rPr>
      </w:pPr>
      <w:r w:rsidRPr="00A43A04">
        <w:rPr>
          <w:rFonts w:ascii="Arial" w:hAnsi="Arial" w:cs="Arial"/>
          <w:b/>
          <w:bCs/>
          <w:sz w:val="24"/>
          <w:szCs w:val="24"/>
        </w:rPr>
        <w:t>Response 3</w:t>
      </w:r>
      <w:r w:rsidRPr="00A43A04">
        <w:rPr>
          <w:rFonts w:ascii="Arial" w:hAnsi="Arial" w:cs="Arial"/>
          <w:sz w:val="24"/>
          <w:szCs w:val="24"/>
        </w:rPr>
        <w:t>:  On May 26, 2020, P&amp;F Service provided guidance that the CLEAR Risk Assessment Scoring criteria has had been revised. Proposed foreign fiduciaries for whom a criminal background assessment returns red should not be appointed as red is an indicator of a bar to service under 38 CFR 13.130.</w:t>
      </w:r>
    </w:p>
    <w:p w14:paraId="20365634" w14:textId="77777777" w:rsidR="00A43A04" w:rsidRPr="00A43A04" w:rsidRDefault="00A43A04" w:rsidP="00A43A04">
      <w:pPr>
        <w:pStyle w:val="PlainText"/>
        <w:rPr>
          <w:rFonts w:ascii="Arial" w:hAnsi="Arial" w:cs="Arial"/>
          <w:sz w:val="24"/>
          <w:szCs w:val="24"/>
        </w:rPr>
      </w:pPr>
      <w:r w:rsidRPr="00A43A04">
        <w:rPr>
          <w:rFonts w:ascii="Arial" w:hAnsi="Arial" w:cs="Arial"/>
          <w:sz w:val="24"/>
          <w:szCs w:val="24"/>
        </w:rPr>
        <w:t xml:space="preserve"> </w:t>
      </w:r>
    </w:p>
    <w:p w14:paraId="5F95CFEC" w14:textId="77777777" w:rsidR="00A43A04" w:rsidRPr="00A43A04" w:rsidRDefault="00A43A04" w:rsidP="00A43A04">
      <w:pPr>
        <w:pStyle w:val="PlainText"/>
        <w:rPr>
          <w:rFonts w:ascii="Arial" w:hAnsi="Arial" w:cs="Arial"/>
          <w:sz w:val="24"/>
          <w:szCs w:val="24"/>
        </w:rPr>
      </w:pPr>
      <w:r w:rsidRPr="00A43A04">
        <w:rPr>
          <w:rFonts w:ascii="Arial" w:hAnsi="Arial" w:cs="Arial"/>
          <w:b/>
          <w:bCs/>
          <w:sz w:val="24"/>
          <w:szCs w:val="24"/>
        </w:rPr>
        <w:t>Question 4</w:t>
      </w:r>
      <w:r w:rsidRPr="00A43A04">
        <w:rPr>
          <w:rFonts w:ascii="Arial" w:hAnsi="Arial" w:cs="Arial"/>
          <w:sz w:val="24"/>
          <w:szCs w:val="24"/>
        </w:rPr>
        <w:t>:  Are we allowed to adjust the Risk Indicators in CLEAR to remove multiple aliases and no previous credit history from the computation on foreign Hispanic proposed fiduciaries?</w:t>
      </w:r>
    </w:p>
    <w:p w14:paraId="11567212" w14:textId="77777777" w:rsidR="00A43A04" w:rsidRPr="00A43A04" w:rsidRDefault="00A43A04" w:rsidP="00A43A04">
      <w:pPr>
        <w:pStyle w:val="PlainText"/>
        <w:rPr>
          <w:rFonts w:ascii="Arial" w:hAnsi="Arial" w:cs="Arial"/>
          <w:sz w:val="24"/>
          <w:szCs w:val="24"/>
        </w:rPr>
      </w:pPr>
      <w:r w:rsidRPr="00A43A04">
        <w:rPr>
          <w:rFonts w:ascii="Arial" w:hAnsi="Arial" w:cs="Arial"/>
          <w:sz w:val="24"/>
          <w:szCs w:val="24"/>
        </w:rPr>
        <w:t xml:space="preserve"> </w:t>
      </w:r>
    </w:p>
    <w:p w14:paraId="3C62CE24" w14:textId="51454F78" w:rsidR="00A43A04" w:rsidRPr="00A43A04" w:rsidRDefault="00A43A04" w:rsidP="00A43A04">
      <w:pPr>
        <w:pStyle w:val="PlainText"/>
        <w:rPr>
          <w:rFonts w:ascii="Arial" w:hAnsi="Arial" w:cs="Arial"/>
          <w:sz w:val="24"/>
          <w:szCs w:val="24"/>
        </w:rPr>
      </w:pPr>
      <w:r w:rsidRPr="00A43A04">
        <w:rPr>
          <w:rFonts w:ascii="Arial" w:hAnsi="Arial" w:cs="Arial"/>
          <w:b/>
          <w:bCs/>
          <w:sz w:val="24"/>
          <w:szCs w:val="24"/>
        </w:rPr>
        <w:t>Response 4</w:t>
      </w:r>
      <w:r w:rsidRPr="00A43A04">
        <w:rPr>
          <w:rFonts w:ascii="Arial" w:hAnsi="Arial" w:cs="Arial"/>
          <w:sz w:val="24"/>
          <w:szCs w:val="24"/>
        </w:rPr>
        <w:t>:  On May 26, 2020, P&amp;F Service provided guidance that the CLEAR Risk Assessment Scoring criteria had been revised.</w:t>
      </w:r>
    </w:p>
    <w:p w14:paraId="358B1E5C" w14:textId="77777777" w:rsidR="00A43A04" w:rsidRPr="00A43A04" w:rsidRDefault="00A43A04" w:rsidP="00A43A04">
      <w:pPr>
        <w:pStyle w:val="PlainText"/>
        <w:rPr>
          <w:rFonts w:ascii="Arial" w:hAnsi="Arial" w:cs="Arial"/>
          <w:sz w:val="24"/>
          <w:szCs w:val="24"/>
        </w:rPr>
      </w:pPr>
      <w:r w:rsidRPr="00A43A04">
        <w:rPr>
          <w:rFonts w:ascii="Arial" w:hAnsi="Arial" w:cs="Arial"/>
          <w:sz w:val="24"/>
          <w:szCs w:val="24"/>
        </w:rPr>
        <w:t xml:space="preserve"> </w:t>
      </w:r>
    </w:p>
    <w:p w14:paraId="35187CC0" w14:textId="77777777" w:rsidR="00A43A04" w:rsidRPr="00A43A04" w:rsidRDefault="00A43A04" w:rsidP="00A43A04">
      <w:pPr>
        <w:pStyle w:val="PlainText"/>
        <w:rPr>
          <w:rFonts w:ascii="Arial" w:hAnsi="Arial" w:cs="Arial"/>
          <w:sz w:val="24"/>
          <w:szCs w:val="24"/>
        </w:rPr>
      </w:pPr>
      <w:r w:rsidRPr="00A43A04">
        <w:rPr>
          <w:rFonts w:ascii="Arial" w:hAnsi="Arial" w:cs="Arial"/>
          <w:b/>
          <w:bCs/>
          <w:sz w:val="24"/>
          <w:szCs w:val="24"/>
        </w:rPr>
        <w:t>Question 5</w:t>
      </w:r>
      <w:r w:rsidRPr="00A43A04">
        <w:rPr>
          <w:rFonts w:ascii="Arial" w:hAnsi="Arial" w:cs="Arial"/>
          <w:sz w:val="24"/>
          <w:szCs w:val="24"/>
        </w:rPr>
        <w:t>:  May we manually deduct 5 points from the CLEAR provided score for each alias and compute a more accurate final score, thus possibly allowing us to appoint the proposed fiduciary?</w:t>
      </w:r>
    </w:p>
    <w:p w14:paraId="0776969D" w14:textId="77777777" w:rsidR="00A43A04" w:rsidRPr="00A43A04" w:rsidRDefault="00A43A04" w:rsidP="00A43A04">
      <w:pPr>
        <w:pStyle w:val="PlainText"/>
        <w:rPr>
          <w:rFonts w:ascii="Arial" w:hAnsi="Arial" w:cs="Arial"/>
          <w:sz w:val="24"/>
          <w:szCs w:val="24"/>
        </w:rPr>
      </w:pPr>
      <w:r w:rsidRPr="00A43A04">
        <w:rPr>
          <w:rFonts w:ascii="Arial" w:hAnsi="Arial" w:cs="Arial"/>
          <w:sz w:val="24"/>
          <w:szCs w:val="24"/>
        </w:rPr>
        <w:t xml:space="preserve"> </w:t>
      </w:r>
    </w:p>
    <w:p w14:paraId="6B7CB5BC" w14:textId="77777777" w:rsidR="00A43A04" w:rsidRPr="00A43A04" w:rsidRDefault="00A43A04" w:rsidP="00A43A04">
      <w:pPr>
        <w:pStyle w:val="PlainText"/>
        <w:rPr>
          <w:rFonts w:ascii="Arial" w:hAnsi="Arial" w:cs="Arial"/>
          <w:sz w:val="24"/>
          <w:szCs w:val="24"/>
        </w:rPr>
      </w:pPr>
      <w:r w:rsidRPr="00A43A04">
        <w:rPr>
          <w:rFonts w:ascii="Arial" w:hAnsi="Arial" w:cs="Arial"/>
          <w:b/>
          <w:bCs/>
          <w:sz w:val="24"/>
          <w:szCs w:val="24"/>
        </w:rPr>
        <w:t>Response 5</w:t>
      </w:r>
      <w:r w:rsidRPr="00A43A04">
        <w:rPr>
          <w:rFonts w:ascii="Arial" w:hAnsi="Arial" w:cs="Arial"/>
          <w:sz w:val="24"/>
          <w:szCs w:val="24"/>
        </w:rPr>
        <w:t>:  No, hubs must use the score provided by the CLEAR Risk Assessment without modification.</w:t>
      </w:r>
    </w:p>
    <w:p w14:paraId="2A54F00C" w14:textId="77777777" w:rsidR="00A43A04" w:rsidRPr="00A43A04" w:rsidRDefault="00A43A04" w:rsidP="00A43A04">
      <w:pPr>
        <w:pStyle w:val="PlainText"/>
        <w:rPr>
          <w:rFonts w:ascii="Arial" w:hAnsi="Arial" w:cs="Arial"/>
          <w:sz w:val="24"/>
          <w:szCs w:val="24"/>
        </w:rPr>
      </w:pPr>
      <w:r w:rsidRPr="00A43A04">
        <w:rPr>
          <w:rFonts w:ascii="Arial" w:hAnsi="Arial" w:cs="Arial"/>
          <w:sz w:val="24"/>
          <w:szCs w:val="24"/>
        </w:rPr>
        <w:t xml:space="preserve"> </w:t>
      </w:r>
    </w:p>
    <w:p w14:paraId="1789D4DA" w14:textId="77777777" w:rsidR="00A43A04" w:rsidRPr="00A43A04" w:rsidRDefault="00A43A04" w:rsidP="00A43A04">
      <w:pPr>
        <w:pStyle w:val="PlainText"/>
        <w:rPr>
          <w:rFonts w:ascii="Arial" w:hAnsi="Arial" w:cs="Arial"/>
          <w:sz w:val="24"/>
          <w:szCs w:val="24"/>
        </w:rPr>
      </w:pPr>
      <w:r w:rsidRPr="00A43A04">
        <w:rPr>
          <w:rFonts w:ascii="Arial" w:hAnsi="Arial" w:cs="Arial"/>
          <w:b/>
          <w:bCs/>
          <w:sz w:val="24"/>
          <w:szCs w:val="24"/>
        </w:rPr>
        <w:t>Question 6</w:t>
      </w:r>
      <w:r w:rsidRPr="00A43A04">
        <w:rPr>
          <w:rFonts w:ascii="Arial" w:hAnsi="Arial" w:cs="Arial"/>
          <w:sz w:val="24"/>
          <w:szCs w:val="24"/>
        </w:rPr>
        <w:t>:  If the foreign fiduciary is receiving a fee for fiduciary service for a foreign beneficiary and the beneficiary does not reside in a VAMC or a facility under VA Contract Care, may we conduct the follow up field exam as a Streamlined exam?</w:t>
      </w:r>
    </w:p>
    <w:p w14:paraId="1DB77688" w14:textId="77777777" w:rsidR="00A43A04" w:rsidRPr="00A43A04" w:rsidRDefault="00A43A04" w:rsidP="00A43A04">
      <w:pPr>
        <w:pStyle w:val="PlainText"/>
        <w:rPr>
          <w:rFonts w:ascii="Arial" w:hAnsi="Arial" w:cs="Arial"/>
          <w:sz w:val="24"/>
          <w:szCs w:val="24"/>
        </w:rPr>
      </w:pPr>
      <w:r w:rsidRPr="00A43A04">
        <w:rPr>
          <w:rFonts w:ascii="Arial" w:hAnsi="Arial" w:cs="Arial"/>
          <w:sz w:val="24"/>
          <w:szCs w:val="24"/>
        </w:rPr>
        <w:t xml:space="preserve"> </w:t>
      </w:r>
    </w:p>
    <w:p w14:paraId="224AEFE3" w14:textId="77777777" w:rsidR="00A43A04" w:rsidRPr="00A43A04" w:rsidRDefault="00A43A04" w:rsidP="00A43A04">
      <w:pPr>
        <w:pStyle w:val="PlainText"/>
        <w:rPr>
          <w:rFonts w:ascii="Arial" w:hAnsi="Arial" w:cs="Arial"/>
          <w:sz w:val="24"/>
          <w:szCs w:val="24"/>
        </w:rPr>
      </w:pPr>
      <w:r w:rsidRPr="00A43A04">
        <w:rPr>
          <w:rFonts w:ascii="Arial" w:hAnsi="Arial" w:cs="Arial"/>
          <w:b/>
          <w:bCs/>
          <w:sz w:val="24"/>
          <w:szCs w:val="24"/>
        </w:rPr>
        <w:t>Response 6</w:t>
      </w:r>
      <w:r w:rsidRPr="00A43A04">
        <w:rPr>
          <w:rFonts w:ascii="Arial" w:hAnsi="Arial" w:cs="Arial"/>
          <w:sz w:val="24"/>
          <w:szCs w:val="24"/>
        </w:rPr>
        <w:t>:  Yes, per FPM 2.B.2.c all foreign field exams with the exception of initial appointments and successor initial appointments follow streamlined protocol. Therefore, all follow-up foreign field examinations are conducted through streamlined field exam procedures.</w:t>
      </w:r>
    </w:p>
    <w:p w14:paraId="2FE19EF3" w14:textId="77777777" w:rsidR="00A43A04" w:rsidRPr="00A43A04" w:rsidRDefault="00A43A04" w:rsidP="00A43A04">
      <w:pPr>
        <w:pStyle w:val="PlainText"/>
        <w:rPr>
          <w:rFonts w:ascii="Arial" w:hAnsi="Arial" w:cs="Arial"/>
          <w:sz w:val="24"/>
          <w:szCs w:val="24"/>
        </w:rPr>
      </w:pPr>
      <w:r w:rsidRPr="00A43A04">
        <w:rPr>
          <w:rFonts w:ascii="Arial" w:hAnsi="Arial" w:cs="Arial"/>
          <w:sz w:val="24"/>
          <w:szCs w:val="24"/>
        </w:rPr>
        <w:t xml:space="preserve"> </w:t>
      </w:r>
    </w:p>
    <w:p w14:paraId="7D9B8EB0" w14:textId="77777777" w:rsidR="00A43A04" w:rsidRPr="00A43A04" w:rsidRDefault="00A43A04" w:rsidP="00A43A04">
      <w:pPr>
        <w:pStyle w:val="PlainText"/>
        <w:rPr>
          <w:rFonts w:ascii="Arial" w:hAnsi="Arial" w:cs="Arial"/>
          <w:sz w:val="24"/>
          <w:szCs w:val="24"/>
        </w:rPr>
      </w:pPr>
      <w:r w:rsidRPr="00A43A04">
        <w:rPr>
          <w:rFonts w:ascii="Arial" w:hAnsi="Arial" w:cs="Arial"/>
          <w:b/>
          <w:bCs/>
          <w:sz w:val="24"/>
          <w:szCs w:val="24"/>
        </w:rPr>
        <w:lastRenderedPageBreak/>
        <w:t>Question 7</w:t>
      </w:r>
      <w:r w:rsidRPr="00A43A04">
        <w:rPr>
          <w:rFonts w:ascii="Arial" w:hAnsi="Arial" w:cs="Arial"/>
          <w:sz w:val="24"/>
          <w:szCs w:val="24"/>
        </w:rPr>
        <w:t>:  If we are unable to conduct the aforementioned follow up field exam as a Streamlined exam, what is the recommended course of action the Hub should take to conduct a proper follow-up field exam?</w:t>
      </w:r>
    </w:p>
    <w:p w14:paraId="53BE01E7" w14:textId="77777777" w:rsidR="00A43A04" w:rsidRPr="00A43A04" w:rsidRDefault="00A43A04" w:rsidP="00A43A04">
      <w:pPr>
        <w:pStyle w:val="PlainText"/>
        <w:rPr>
          <w:rFonts w:ascii="Arial" w:hAnsi="Arial" w:cs="Arial"/>
          <w:sz w:val="24"/>
          <w:szCs w:val="24"/>
        </w:rPr>
      </w:pPr>
      <w:r w:rsidRPr="00A43A04">
        <w:rPr>
          <w:rFonts w:ascii="Arial" w:hAnsi="Arial" w:cs="Arial"/>
          <w:sz w:val="24"/>
          <w:szCs w:val="24"/>
        </w:rPr>
        <w:t xml:space="preserve"> </w:t>
      </w:r>
    </w:p>
    <w:p w14:paraId="3B5BE072" w14:textId="77777777" w:rsidR="00A43A04" w:rsidRPr="00A43A04" w:rsidRDefault="00A43A04" w:rsidP="00A43A04">
      <w:pPr>
        <w:pStyle w:val="PlainText"/>
        <w:rPr>
          <w:rFonts w:ascii="Arial" w:hAnsi="Arial" w:cs="Arial"/>
          <w:sz w:val="24"/>
          <w:szCs w:val="24"/>
        </w:rPr>
      </w:pPr>
      <w:r w:rsidRPr="00A43A04">
        <w:rPr>
          <w:rFonts w:ascii="Arial" w:hAnsi="Arial" w:cs="Arial"/>
          <w:b/>
          <w:bCs/>
          <w:sz w:val="24"/>
          <w:szCs w:val="24"/>
        </w:rPr>
        <w:t>Response 7</w:t>
      </w:r>
      <w:r w:rsidRPr="00A43A04">
        <w:rPr>
          <w:rFonts w:ascii="Arial" w:hAnsi="Arial" w:cs="Arial"/>
          <w:sz w:val="24"/>
          <w:szCs w:val="24"/>
        </w:rPr>
        <w:t>:  Hubs should follow the guidance in FPM 7.E.2 if the fiduciary or beneficiary withholds cooperation.</w:t>
      </w:r>
    </w:p>
    <w:p w14:paraId="3C5190B4" w14:textId="77777777" w:rsidR="00A43A04" w:rsidRPr="00A43A04" w:rsidRDefault="00A43A04" w:rsidP="00A43A04">
      <w:pPr>
        <w:spacing w:after="0" w:line="240" w:lineRule="auto"/>
        <w:rPr>
          <w:rFonts w:ascii="Arial" w:hAnsi="Arial" w:cs="Arial"/>
          <w:szCs w:val="24"/>
        </w:rPr>
      </w:pPr>
    </w:p>
    <w:p w14:paraId="202919DE" w14:textId="77777777" w:rsidR="00A43A04" w:rsidRPr="00B06081" w:rsidRDefault="00A43A04" w:rsidP="00A43A04">
      <w:pPr>
        <w:spacing w:after="0" w:line="240" w:lineRule="auto"/>
        <w:rPr>
          <w:rFonts w:ascii="Arial" w:hAnsi="Arial" w:cs="Arial"/>
          <w:szCs w:val="24"/>
        </w:rPr>
      </w:pPr>
      <w:r w:rsidRPr="003C7AC3">
        <w:rPr>
          <w:rFonts w:ascii="Arial" w:hAnsi="Arial" w:cs="Arial"/>
          <w:b/>
          <w:szCs w:val="24"/>
        </w:rPr>
        <w:t>Result:</w:t>
      </w:r>
      <w:r w:rsidRPr="003C7AC3">
        <w:rPr>
          <w:rFonts w:ascii="Arial" w:hAnsi="Arial" w:cs="Arial"/>
          <w:szCs w:val="24"/>
        </w:rPr>
        <w:t xml:space="preserve"> </w:t>
      </w:r>
      <w:r>
        <w:rPr>
          <w:rFonts w:ascii="Arial" w:hAnsi="Arial" w:cs="Arial"/>
          <w:szCs w:val="24"/>
        </w:rPr>
        <w:t xml:space="preserve"> Clarification provided.</w:t>
      </w:r>
    </w:p>
    <w:p w14:paraId="3D415E17" w14:textId="77777777" w:rsidR="00EF2D51" w:rsidRPr="00900D56" w:rsidRDefault="00EF2D51" w:rsidP="00EF2D51">
      <w:pPr>
        <w:pStyle w:val="Heading1"/>
        <w:rPr>
          <w:rFonts w:ascii="Arial" w:hAnsi="Arial" w:cs="Arial"/>
          <w:b/>
          <w:color w:val="auto"/>
          <w:sz w:val="36"/>
        </w:rPr>
      </w:pPr>
      <w:bookmarkStart w:id="29" w:name="_Toc45875971"/>
      <w:r>
        <w:rPr>
          <w:rFonts w:ascii="Arial" w:hAnsi="Arial" w:cs="Arial"/>
          <w:b/>
          <w:color w:val="auto"/>
          <w:sz w:val="36"/>
        </w:rPr>
        <w:t>P&amp;F Service Information</w:t>
      </w:r>
      <w:bookmarkEnd w:id="29"/>
    </w:p>
    <w:p w14:paraId="0FC363D0" w14:textId="77777777" w:rsidR="00F37B29" w:rsidRPr="003C7AC3" w:rsidRDefault="00F37B29" w:rsidP="00F37B29">
      <w:pPr>
        <w:pStyle w:val="Heading1"/>
        <w:rPr>
          <w:rFonts w:ascii="Arial" w:hAnsi="Arial" w:cs="Arial"/>
        </w:rPr>
      </w:pPr>
      <w:bookmarkStart w:id="30" w:name="_Toc45875972"/>
      <w:r>
        <w:rPr>
          <w:rFonts w:ascii="Arial" w:hAnsi="Arial" w:cs="Arial"/>
        </w:rPr>
        <w:t xml:space="preserve">P&amp;F Service </w:t>
      </w:r>
      <w:r w:rsidR="00517C4F">
        <w:rPr>
          <w:rFonts w:ascii="Arial" w:hAnsi="Arial" w:cs="Arial"/>
        </w:rPr>
        <w:t>C</w:t>
      </w:r>
      <w:r>
        <w:rPr>
          <w:rFonts w:ascii="Arial" w:hAnsi="Arial" w:cs="Arial"/>
        </w:rPr>
        <w:t xml:space="preserve">ontact </w:t>
      </w:r>
      <w:r w:rsidR="00517C4F">
        <w:rPr>
          <w:rFonts w:ascii="Arial" w:hAnsi="Arial" w:cs="Arial"/>
        </w:rPr>
        <w:t>I</w:t>
      </w:r>
      <w:r>
        <w:rPr>
          <w:rFonts w:ascii="Arial" w:hAnsi="Arial" w:cs="Arial"/>
        </w:rPr>
        <w:t>nformation</w:t>
      </w:r>
      <w:bookmarkEnd w:id="30"/>
    </w:p>
    <w:p w14:paraId="55D8D2AA" w14:textId="77777777" w:rsidR="006F3DA0" w:rsidRDefault="006F3DA0" w:rsidP="003C7AC3">
      <w:pPr>
        <w:spacing w:after="0" w:line="240" w:lineRule="auto"/>
        <w:rPr>
          <w:rFonts w:ascii="Arial" w:hAnsi="Arial" w:cs="Arial"/>
          <w:szCs w:val="24"/>
        </w:rPr>
      </w:pPr>
    </w:p>
    <w:p w14:paraId="7A16B51F" w14:textId="77777777" w:rsidR="003E2828" w:rsidRDefault="003E2828" w:rsidP="003E2828">
      <w:pPr>
        <w:spacing w:after="0" w:line="240" w:lineRule="auto"/>
        <w:rPr>
          <w:rFonts w:ascii="Arial" w:hAnsi="Arial" w:cs="Arial"/>
          <w:szCs w:val="24"/>
        </w:rPr>
      </w:pPr>
      <w:r>
        <w:rPr>
          <w:rFonts w:ascii="Arial" w:hAnsi="Arial" w:cs="Arial"/>
          <w:szCs w:val="24"/>
        </w:rPr>
        <w:t xml:space="preserve">Policy and Procedure questions from the PMCs or Fiduciary Hubs should be submitted to P&amp;F Service at </w:t>
      </w:r>
      <w:hyperlink r:id="rId35" w:history="1">
        <w:r w:rsidRPr="006F3DA0">
          <w:rPr>
            <w:rStyle w:val="Hyperlink"/>
            <w:rFonts w:ascii="Arial" w:hAnsi="Arial" w:cs="Arial"/>
            <w:szCs w:val="24"/>
          </w:rPr>
          <w:t>VAVBAWAS/CO/P&amp;F POL &amp; PROC</w:t>
        </w:r>
      </w:hyperlink>
      <w:r>
        <w:rPr>
          <w:rFonts w:ascii="Arial" w:hAnsi="Arial" w:cs="Arial"/>
          <w:szCs w:val="24"/>
        </w:rPr>
        <w:t xml:space="preserve"> by the Quality Review coach or PMC/Fiduciary HUB </w:t>
      </w:r>
      <w:r w:rsidR="00B02287">
        <w:rPr>
          <w:rFonts w:ascii="Arial" w:hAnsi="Arial" w:cs="Arial"/>
          <w:szCs w:val="24"/>
        </w:rPr>
        <w:t xml:space="preserve">Division </w:t>
      </w:r>
      <w:r>
        <w:rPr>
          <w:rFonts w:ascii="Arial" w:hAnsi="Arial" w:cs="Arial"/>
          <w:szCs w:val="24"/>
        </w:rPr>
        <w:t xml:space="preserve">Management. </w:t>
      </w:r>
    </w:p>
    <w:p w14:paraId="542F5FA5" w14:textId="77777777" w:rsidR="003E2828" w:rsidRDefault="003E2828" w:rsidP="003E2828">
      <w:pPr>
        <w:spacing w:after="0" w:line="240" w:lineRule="auto"/>
        <w:rPr>
          <w:rFonts w:ascii="Arial" w:hAnsi="Arial" w:cs="Arial"/>
          <w:szCs w:val="24"/>
        </w:rPr>
      </w:pPr>
    </w:p>
    <w:p w14:paraId="387520AC" w14:textId="77777777" w:rsidR="003E2828" w:rsidRDefault="003E2828" w:rsidP="003E2828">
      <w:pPr>
        <w:spacing w:after="0" w:line="240" w:lineRule="auto"/>
        <w:rPr>
          <w:rFonts w:ascii="Arial" w:hAnsi="Arial" w:cs="Arial"/>
          <w:szCs w:val="24"/>
        </w:rPr>
      </w:pPr>
      <w:r w:rsidRPr="00F65168">
        <w:rPr>
          <w:rFonts w:ascii="Arial" w:hAnsi="Arial" w:cs="Arial"/>
          <w:szCs w:val="24"/>
        </w:rPr>
        <w:t xml:space="preserve">P&amp;F Service would like to remind you that all inquiries sent to the Policy and Procedures Mailbox must include the references previously researched, key words or phrases used to search in CPKM.  P&amp;F Service is available to assist when there is confusion about a certain policy or procedure, however, PMCs </w:t>
      </w:r>
      <w:r>
        <w:rPr>
          <w:rFonts w:ascii="Arial" w:hAnsi="Arial" w:cs="Arial"/>
          <w:szCs w:val="24"/>
        </w:rPr>
        <w:t xml:space="preserve">and Fiduciary Hubs </w:t>
      </w:r>
      <w:r w:rsidRPr="00F65168">
        <w:rPr>
          <w:rFonts w:ascii="Arial" w:hAnsi="Arial" w:cs="Arial"/>
          <w:szCs w:val="24"/>
        </w:rPr>
        <w:t xml:space="preserve">are required to research and attempt to resolve the issue before sending the question to the </w:t>
      </w:r>
      <w:r>
        <w:rPr>
          <w:rFonts w:ascii="Arial" w:hAnsi="Arial" w:cs="Arial"/>
          <w:szCs w:val="24"/>
        </w:rPr>
        <w:t>P&amp;F Service</w:t>
      </w:r>
      <w:r w:rsidRPr="00F65168">
        <w:rPr>
          <w:rFonts w:ascii="Arial" w:hAnsi="Arial" w:cs="Arial"/>
          <w:szCs w:val="24"/>
        </w:rPr>
        <w:t xml:space="preserve"> Policy and Procedures Mailbox.  Additionally, including all words used to search topics in CPKM will allow P&amp;F Service to add those search words into CPKM if they were not already in the metadata for a certain manual reference.</w:t>
      </w:r>
    </w:p>
    <w:p w14:paraId="00733743" w14:textId="77777777" w:rsidR="003E2828" w:rsidRDefault="003E2828" w:rsidP="003E2828">
      <w:pPr>
        <w:spacing w:after="0" w:line="240" w:lineRule="auto"/>
        <w:rPr>
          <w:rFonts w:ascii="Arial" w:hAnsi="Arial" w:cs="Arial"/>
          <w:szCs w:val="24"/>
        </w:rPr>
      </w:pPr>
    </w:p>
    <w:p w14:paraId="5F1BB179" w14:textId="77777777" w:rsidR="003E2828" w:rsidRDefault="003E2828" w:rsidP="003E2828">
      <w:pPr>
        <w:spacing w:after="0" w:line="240" w:lineRule="auto"/>
        <w:rPr>
          <w:rFonts w:ascii="Arial" w:hAnsi="Arial" w:cs="Arial"/>
          <w:szCs w:val="24"/>
        </w:rPr>
      </w:pPr>
      <w:r>
        <w:rPr>
          <w:rFonts w:ascii="Arial" w:hAnsi="Arial" w:cs="Arial"/>
          <w:szCs w:val="24"/>
        </w:rPr>
        <w:t xml:space="preserve">Training and Quality questions can be directed to: </w:t>
      </w:r>
      <w:hyperlink r:id="rId36" w:history="1">
        <w:r w:rsidRPr="006F3DA0">
          <w:rPr>
            <w:rStyle w:val="Hyperlink"/>
            <w:rFonts w:ascii="Arial" w:hAnsi="Arial" w:cs="Arial"/>
            <w:szCs w:val="24"/>
          </w:rPr>
          <w:t>VAVBAWAS/CO/P&amp;F TNG QUAL OVRST</w:t>
        </w:r>
      </w:hyperlink>
      <w:r>
        <w:rPr>
          <w:rFonts w:ascii="Arial" w:hAnsi="Arial" w:cs="Arial"/>
          <w:szCs w:val="24"/>
        </w:rPr>
        <w:t>.</w:t>
      </w:r>
    </w:p>
    <w:p w14:paraId="44744846" w14:textId="77777777" w:rsidR="003E2828" w:rsidRDefault="003E2828" w:rsidP="003E2828">
      <w:pPr>
        <w:spacing w:after="0" w:line="240" w:lineRule="auto"/>
        <w:rPr>
          <w:rFonts w:ascii="Arial" w:hAnsi="Arial" w:cs="Arial"/>
          <w:szCs w:val="24"/>
        </w:rPr>
      </w:pPr>
    </w:p>
    <w:p w14:paraId="3C057827" w14:textId="77777777" w:rsidR="003E2828" w:rsidRDefault="003E2828" w:rsidP="003E2828">
      <w:pPr>
        <w:spacing w:after="0" w:line="240" w:lineRule="auto"/>
        <w:rPr>
          <w:rFonts w:ascii="Arial" w:hAnsi="Arial" w:cs="Arial"/>
          <w:szCs w:val="24"/>
        </w:rPr>
      </w:pPr>
      <w:r>
        <w:rPr>
          <w:rFonts w:ascii="Arial" w:hAnsi="Arial" w:cs="Arial"/>
          <w:szCs w:val="24"/>
        </w:rPr>
        <w:t xml:space="preserve">Systems-related questions can be directed to: </w:t>
      </w:r>
      <w:hyperlink r:id="rId37" w:history="1">
        <w:r w:rsidRPr="00A8246F">
          <w:rPr>
            <w:rStyle w:val="Hyperlink"/>
            <w:rFonts w:ascii="Arial" w:hAnsi="Arial" w:cs="Arial"/>
            <w:szCs w:val="24"/>
          </w:rPr>
          <w:t>VAVBAWAS/CO/P&amp;F BUS MGMT</w:t>
        </w:r>
      </w:hyperlink>
      <w:r>
        <w:rPr>
          <w:rFonts w:ascii="Arial" w:hAnsi="Arial" w:cs="Arial"/>
          <w:szCs w:val="24"/>
        </w:rPr>
        <w:t>.</w:t>
      </w:r>
    </w:p>
    <w:p w14:paraId="38DF3806" w14:textId="77777777" w:rsidR="00241F0B" w:rsidRPr="003C7AC3" w:rsidRDefault="00517C4F" w:rsidP="00241F0B">
      <w:pPr>
        <w:pStyle w:val="Heading1"/>
        <w:rPr>
          <w:rFonts w:ascii="Arial" w:hAnsi="Arial" w:cs="Arial"/>
        </w:rPr>
      </w:pPr>
      <w:bookmarkStart w:id="31" w:name="_Toc45875973"/>
      <w:r>
        <w:rPr>
          <w:rFonts w:ascii="Arial" w:hAnsi="Arial" w:cs="Arial"/>
        </w:rPr>
        <w:t>D</w:t>
      </w:r>
      <w:r w:rsidR="00241F0B">
        <w:rPr>
          <w:rFonts w:ascii="Arial" w:hAnsi="Arial" w:cs="Arial"/>
        </w:rPr>
        <w:t>isclaimer</w:t>
      </w:r>
      <w:bookmarkEnd w:id="31"/>
    </w:p>
    <w:p w14:paraId="66751F6F" w14:textId="77777777" w:rsidR="00241F0B" w:rsidRDefault="00241F0B" w:rsidP="00241F0B">
      <w:pPr>
        <w:spacing w:after="0" w:line="240" w:lineRule="auto"/>
        <w:rPr>
          <w:rFonts w:ascii="Arial" w:hAnsi="Arial" w:cs="Arial"/>
          <w:szCs w:val="24"/>
        </w:rPr>
      </w:pPr>
    </w:p>
    <w:p w14:paraId="2912A66D" w14:textId="77777777" w:rsidR="00905FDB" w:rsidRDefault="00905FDB" w:rsidP="00905FDB">
      <w:pPr>
        <w:spacing w:after="0" w:line="240" w:lineRule="auto"/>
        <w:rPr>
          <w:rFonts w:ascii="Arial" w:hAnsi="Arial" w:cs="Arial"/>
          <w:szCs w:val="24"/>
        </w:rPr>
      </w:pPr>
      <w:r>
        <w:rPr>
          <w:rFonts w:ascii="Arial" w:hAnsi="Arial" w:cs="Arial"/>
          <w:szCs w:val="24"/>
        </w:rPr>
        <w:t>Please note that all responses provided are for informational purposes only.  If changes to the M21-1 Adjudication Procedures Manual or Fiduciary Program Manual (FPM) are needed, they are made in conjunction with the response.  The M21-1 and FPM supersede any inquiry response.</w:t>
      </w:r>
    </w:p>
    <w:p w14:paraId="3643DCB0" w14:textId="60B8B55D" w:rsidR="00241F0B" w:rsidRDefault="00241F0B" w:rsidP="00905FDB">
      <w:pPr>
        <w:spacing w:after="0" w:line="240" w:lineRule="auto"/>
        <w:rPr>
          <w:rFonts w:ascii="Arial" w:hAnsi="Arial" w:cs="Arial"/>
          <w:szCs w:val="24"/>
        </w:rPr>
      </w:pPr>
    </w:p>
    <w:sectPr w:rsidR="00241F0B" w:rsidSect="0033182E">
      <w:type w:val="continuous"/>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72AA8D" w14:textId="77777777" w:rsidR="003D4601" w:rsidRDefault="003D4601" w:rsidP="004619BB">
      <w:pPr>
        <w:spacing w:after="0" w:line="240" w:lineRule="auto"/>
      </w:pPr>
      <w:r>
        <w:separator/>
      </w:r>
    </w:p>
    <w:p w14:paraId="2E05B4BF" w14:textId="77777777" w:rsidR="003D4601" w:rsidRDefault="003D4601"/>
    <w:p w14:paraId="2BF3CED7" w14:textId="77777777" w:rsidR="003D4601" w:rsidRDefault="003D4601"/>
  </w:endnote>
  <w:endnote w:type="continuationSeparator" w:id="0">
    <w:p w14:paraId="5E17A667" w14:textId="77777777" w:rsidR="003D4601" w:rsidRDefault="003D4601" w:rsidP="004619BB">
      <w:pPr>
        <w:spacing w:after="0" w:line="240" w:lineRule="auto"/>
      </w:pPr>
      <w:r>
        <w:continuationSeparator/>
      </w:r>
    </w:p>
    <w:p w14:paraId="4C57B6CD" w14:textId="77777777" w:rsidR="003D4601" w:rsidRDefault="003D4601"/>
    <w:p w14:paraId="5C0CBA33" w14:textId="77777777" w:rsidR="003D4601" w:rsidRDefault="003D4601"/>
  </w:endnote>
  <w:endnote w:type="continuationNotice" w:id="1">
    <w:p w14:paraId="71F4A540" w14:textId="77777777" w:rsidR="003D4601" w:rsidRDefault="003D4601">
      <w:pPr>
        <w:spacing w:after="0" w:line="240" w:lineRule="auto"/>
      </w:pPr>
    </w:p>
    <w:p w14:paraId="51748801" w14:textId="77777777" w:rsidR="003D4601" w:rsidRDefault="003D4601"/>
    <w:p w14:paraId="7E925CA9" w14:textId="77777777" w:rsidR="003D4601" w:rsidRDefault="003D46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C303E" w14:textId="3B34DC39" w:rsidR="00B80AC7" w:rsidRPr="00FD42FA" w:rsidRDefault="00B80AC7" w:rsidP="009C31D3">
    <w:pPr>
      <w:pStyle w:val="Footer"/>
      <w:pBdr>
        <w:top w:val="thinThickSmallGap" w:sz="24" w:space="1" w:color="622423" w:themeColor="accent2" w:themeShade="7F"/>
      </w:pBdr>
      <w:rPr>
        <w:rFonts w:ascii="Arial" w:hAnsi="Arial" w:cs="Arial"/>
      </w:rPr>
    </w:pPr>
    <w:r>
      <w:rPr>
        <w:rFonts w:ascii="Arial" w:hAnsi="Arial" w:cs="Arial"/>
      </w:rPr>
      <w:t>June 2020</w:t>
    </w:r>
    <w:r w:rsidRPr="00FD42FA">
      <w:rPr>
        <w:rFonts w:ascii="Arial" w:hAnsi="Arial" w:cs="Arial"/>
      </w:rPr>
      <w:ptab w:relativeTo="margin" w:alignment="right" w:leader="none"/>
    </w:r>
    <w:r w:rsidRPr="00FD42FA">
      <w:rPr>
        <w:rFonts w:ascii="Arial" w:hAnsi="Arial" w:cs="Arial"/>
      </w:rPr>
      <w:t xml:space="preserve">Page </w:t>
    </w:r>
    <w:r w:rsidRPr="00FD42FA">
      <w:rPr>
        <w:rFonts w:ascii="Arial" w:eastAsiaTheme="minorEastAsia" w:hAnsi="Arial" w:cs="Arial"/>
      </w:rPr>
      <w:fldChar w:fldCharType="begin"/>
    </w:r>
    <w:r w:rsidRPr="00FD42FA">
      <w:rPr>
        <w:rFonts w:ascii="Arial" w:hAnsi="Arial" w:cs="Arial"/>
      </w:rPr>
      <w:instrText xml:space="preserve"> PAGE   \* MERGEFORMAT </w:instrText>
    </w:r>
    <w:r w:rsidRPr="00FD42FA">
      <w:rPr>
        <w:rFonts w:ascii="Arial" w:eastAsiaTheme="minorEastAsia" w:hAnsi="Arial" w:cs="Arial"/>
      </w:rPr>
      <w:fldChar w:fldCharType="separate"/>
    </w:r>
    <w:r>
      <w:rPr>
        <w:rFonts w:ascii="Arial" w:hAnsi="Arial" w:cs="Arial"/>
        <w:noProof/>
      </w:rPr>
      <w:t>1</w:t>
    </w:r>
    <w:r w:rsidRPr="00FD42FA">
      <w:rPr>
        <w:rFonts w:ascii="Arial" w:hAnsi="Arial" w:cs="Arial"/>
        <w:noProof/>
      </w:rPr>
      <w:fldChar w:fldCharType="end"/>
    </w:r>
  </w:p>
  <w:p w14:paraId="6D03A7B1" w14:textId="77777777" w:rsidR="00B80AC7" w:rsidRPr="009C31D3" w:rsidRDefault="00B80AC7" w:rsidP="009C3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908D2B" w14:textId="77777777" w:rsidR="003D4601" w:rsidRDefault="003D4601" w:rsidP="004619BB">
      <w:pPr>
        <w:spacing w:after="0" w:line="240" w:lineRule="auto"/>
      </w:pPr>
      <w:r>
        <w:separator/>
      </w:r>
    </w:p>
    <w:p w14:paraId="328489B5" w14:textId="77777777" w:rsidR="003D4601" w:rsidRDefault="003D4601"/>
    <w:p w14:paraId="21A3AB7D" w14:textId="77777777" w:rsidR="003D4601" w:rsidRDefault="003D4601"/>
  </w:footnote>
  <w:footnote w:type="continuationSeparator" w:id="0">
    <w:p w14:paraId="765FF018" w14:textId="77777777" w:rsidR="003D4601" w:rsidRDefault="003D4601" w:rsidP="004619BB">
      <w:pPr>
        <w:spacing w:after="0" w:line="240" w:lineRule="auto"/>
      </w:pPr>
      <w:r>
        <w:continuationSeparator/>
      </w:r>
    </w:p>
    <w:p w14:paraId="598AD0DD" w14:textId="77777777" w:rsidR="003D4601" w:rsidRDefault="003D4601"/>
    <w:p w14:paraId="3D7B89C6" w14:textId="77777777" w:rsidR="003D4601" w:rsidRDefault="003D4601"/>
  </w:footnote>
  <w:footnote w:type="continuationNotice" w:id="1">
    <w:p w14:paraId="793F2797" w14:textId="77777777" w:rsidR="003D4601" w:rsidRDefault="003D4601">
      <w:pPr>
        <w:spacing w:after="0" w:line="240" w:lineRule="auto"/>
      </w:pPr>
    </w:p>
    <w:p w14:paraId="06DEC8B1" w14:textId="77777777" w:rsidR="003D4601" w:rsidRDefault="003D4601"/>
    <w:p w14:paraId="2BC5D318" w14:textId="77777777" w:rsidR="003D4601" w:rsidRDefault="003D460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D31B0"/>
    <w:multiLevelType w:val="hybridMultilevel"/>
    <w:tmpl w:val="DD6C241E"/>
    <w:lvl w:ilvl="0" w:tplc="C062E0CA">
      <w:start w:val="1"/>
      <w:numFmt w:val="bullet"/>
      <w:pStyle w:val="BulletText2"/>
      <w:lvlText w:val="-"/>
      <w:lvlJc w:val="left"/>
      <w:pPr>
        <w:tabs>
          <w:tab w:val="num" w:pos="360"/>
        </w:tabs>
        <w:ind w:left="360" w:hanging="18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06325"/>
    <w:multiLevelType w:val="hybridMultilevel"/>
    <w:tmpl w:val="7C6848C0"/>
    <w:lvl w:ilvl="0" w:tplc="B824D8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067F22"/>
    <w:multiLevelType w:val="multilevel"/>
    <w:tmpl w:val="4364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1273D6"/>
    <w:multiLevelType w:val="multilevel"/>
    <w:tmpl w:val="2F6E0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CA372E"/>
    <w:multiLevelType w:val="hybridMultilevel"/>
    <w:tmpl w:val="39667734"/>
    <w:lvl w:ilvl="0" w:tplc="94BEDD1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25610EB"/>
    <w:multiLevelType w:val="multilevel"/>
    <w:tmpl w:val="512C55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E9469C"/>
    <w:multiLevelType w:val="hybridMultilevel"/>
    <w:tmpl w:val="C9C63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B0E1F3F"/>
    <w:multiLevelType w:val="multilevel"/>
    <w:tmpl w:val="D4CE94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9C3A46"/>
    <w:multiLevelType w:val="multilevel"/>
    <w:tmpl w:val="8196F5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3C41C4"/>
    <w:multiLevelType w:val="hybridMultilevel"/>
    <w:tmpl w:val="5D609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1650B6"/>
    <w:multiLevelType w:val="multilevel"/>
    <w:tmpl w:val="3AE6E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43517B"/>
    <w:multiLevelType w:val="hybridMultilevel"/>
    <w:tmpl w:val="517A2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3A05E9"/>
    <w:multiLevelType w:val="hybridMultilevel"/>
    <w:tmpl w:val="B9E65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210F5E"/>
    <w:multiLevelType w:val="multilevel"/>
    <w:tmpl w:val="964667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8C124C"/>
    <w:multiLevelType w:val="multilevel"/>
    <w:tmpl w:val="3CBE97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FF10CF"/>
    <w:multiLevelType w:val="hybridMultilevel"/>
    <w:tmpl w:val="85EE80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75612BF"/>
    <w:multiLevelType w:val="hybridMultilevel"/>
    <w:tmpl w:val="2132E6AC"/>
    <w:lvl w:ilvl="0" w:tplc="E13A2B2C">
      <w:start w:val="1"/>
      <w:numFmt w:val="decimal"/>
      <w:lvlText w:val="%1."/>
      <w:lvlJc w:val="left"/>
      <w:pPr>
        <w:ind w:left="720" w:hanging="360"/>
      </w:pPr>
      <w:rPr>
        <w:rFonts w:ascii="Arial" w:hAnsi="Arial" w:cs="Arial"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A3F4FC1"/>
    <w:multiLevelType w:val="multilevel"/>
    <w:tmpl w:val="A65CC9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3E6CA5"/>
    <w:multiLevelType w:val="hybridMultilevel"/>
    <w:tmpl w:val="83C215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467D78A0"/>
    <w:multiLevelType w:val="hybridMultilevel"/>
    <w:tmpl w:val="E5D6D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72E7F2D"/>
    <w:multiLevelType w:val="hybridMultilevel"/>
    <w:tmpl w:val="3392E18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96D2BC6"/>
    <w:multiLevelType w:val="hybridMultilevel"/>
    <w:tmpl w:val="32A8C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5011AD"/>
    <w:multiLevelType w:val="hybridMultilevel"/>
    <w:tmpl w:val="A5204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3DC74E6"/>
    <w:multiLevelType w:val="multilevel"/>
    <w:tmpl w:val="DB0CF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CD2409"/>
    <w:multiLevelType w:val="multilevel"/>
    <w:tmpl w:val="6F187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20038F"/>
    <w:multiLevelType w:val="multilevel"/>
    <w:tmpl w:val="539E5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D65AF2"/>
    <w:multiLevelType w:val="multilevel"/>
    <w:tmpl w:val="7F00B2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602E1561"/>
    <w:multiLevelType w:val="hybridMultilevel"/>
    <w:tmpl w:val="AA446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F01E7C"/>
    <w:multiLevelType w:val="hybridMultilevel"/>
    <w:tmpl w:val="6486D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DB3D68"/>
    <w:multiLevelType w:val="hybridMultilevel"/>
    <w:tmpl w:val="BC929DC4"/>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261A88"/>
    <w:multiLevelType w:val="multilevel"/>
    <w:tmpl w:val="2028F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4A1402"/>
    <w:multiLevelType w:val="hybridMultilevel"/>
    <w:tmpl w:val="9B42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ED05C2"/>
    <w:multiLevelType w:val="multilevel"/>
    <w:tmpl w:val="00E6BD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4239B5"/>
    <w:multiLevelType w:val="hybridMultilevel"/>
    <w:tmpl w:val="47AA9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E586EB9"/>
    <w:multiLevelType w:val="hybridMultilevel"/>
    <w:tmpl w:val="E5A20E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17B42A3"/>
    <w:multiLevelType w:val="hybridMultilevel"/>
    <w:tmpl w:val="45869A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6" w15:restartNumberingAfterBreak="0">
    <w:nsid w:val="72CA6F5A"/>
    <w:multiLevelType w:val="hybridMultilevel"/>
    <w:tmpl w:val="1AF81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92D7DB4"/>
    <w:multiLevelType w:val="multilevel"/>
    <w:tmpl w:val="75B4F7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893FAC"/>
    <w:multiLevelType w:val="multilevel"/>
    <w:tmpl w:val="D4A08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533E3D"/>
    <w:multiLevelType w:val="multilevel"/>
    <w:tmpl w:val="C90EAE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9"/>
  </w:num>
  <w:num w:numId="2">
    <w:abstractNumId w:val="0"/>
  </w:num>
  <w:num w:numId="3">
    <w:abstractNumId w:val="12"/>
  </w:num>
  <w:num w:numId="4">
    <w:abstractNumId w:val="21"/>
  </w:num>
  <w:num w:numId="5">
    <w:abstractNumId w:val="9"/>
  </w:num>
  <w:num w:numId="6">
    <w:abstractNumId w:val="36"/>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20"/>
  </w:num>
  <w:num w:numId="11">
    <w:abstractNumId w:val="27"/>
  </w:num>
  <w:num w:numId="12">
    <w:abstractNumId w:val="31"/>
  </w:num>
  <w:num w:numId="13">
    <w:abstractNumId w:val="2"/>
  </w:num>
  <w:num w:numId="14">
    <w:abstractNumId w:val="38"/>
  </w:num>
  <w:num w:numId="15">
    <w:abstractNumId w:val="3"/>
  </w:num>
  <w:num w:numId="16">
    <w:abstractNumId w:val="25"/>
  </w:num>
  <w:num w:numId="17">
    <w:abstractNumId w:val="32"/>
  </w:num>
  <w:num w:numId="18">
    <w:abstractNumId w:val="24"/>
  </w:num>
  <w:num w:numId="19">
    <w:abstractNumId w:val="26"/>
  </w:num>
  <w:num w:numId="20">
    <w:abstractNumId w:val="10"/>
  </w:num>
  <w:num w:numId="21">
    <w:abstractNumId w:val="30"/>
  </w:num>
  <w:num w:numId="22">
    <w:abstractNumId w:val="33"/>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4"/>
  </w:num>
  <w:num w:numId="26">
    <w:abstractNumId w:val="1"/>
  </w:num>
  <w:num w:numId="27">
    <w:abstractNumId w:val="13"/>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num>
  <w:num w:numId="30">
    <w:abstractNumId w:val="18"/>
  </w:num>
  <w:num w:numId="31">
    <w:abstractNumId w:val="23"/>
  </w:num>
  <w:num w:numId="32">
    <w:abstractNumId w:val="22"/>
  </w:num>
  <w:num w:numId="33">
    <w:abstractNumId w:val="11"/>
  </w:num>
  <w:num w:numId="34">
    <w:abstractNumId w:val="37"/>
  </w:num>
  <w:num w:numId="35">
    <w:abstractNumId w:val="8"/>
  </w:num>
  <w:num w:numId="36">
    <w:abstractNumId w:val="28"/>
  </w:num>
  <w:num w:numId="37">
    <w:abstractNumId w:val="19"/>
  </w:num>
  <w:num w:numId="38">
    <w:abstractNumId w:val="6"/>
  </w:num>
  <w:num w:numId="39">
    <w:abstractNumId w:val="14"/>
  </w:num>
  <w:num w:numId="40">
    <w:abstractNumId w:val="17"/>
  </w:num>
  <w:num w:numId="41">
    <w:abstractNumId w:val="7"/>
  </w:num>
  <w:num w:numId="42">
    <w:abstractNumId w:val="3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readOnly"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D57"/>
    <w:rsid w:val="000015D6"/>
    <w:rsid w:val="00001A82"/>
    <w:rsid w:val="000027BC"/>
    <w:rsid w:val="0000457B"/>
    <w:rsid w:val="000056E3"/>
    <w:rsid w:val="00007221"/>
    <w:rsid w:val="00013D80"/>
    <w:rsid w:val="0001733C"/>
    <w:rsid w:val="0002032B"/>
    <w:rsid w:val="00020735"/>
    <w:rsid w:val="00020C49"/>
    <w:rsid w:val="00021FB3"/>
    <w:rsid w:val="0002601D"/>
    <w:rsid w:val="0003002C"/>
    <w:rsid w:val="00031185"/>
    <w:rsid w:val="000327A2"/>
    <w:rsid w:val="000332CA"/>
    <w:rsid w:val="00033C2C"/>
    <w:rsid w:val="00034669"/>
    <w:rsid w:val="00034AA6"/>
    <w:rsid w:val="00036E84"/>
    <w:rsid w:val="00040093"/>
    <w:rsid w:val="000402FE"/>
    <w:rsid w:val="000408DA"/>
    <w:rsid w:val="000413F6"/>
    <w:rsid w:val="00042EEC"/>
    <w:rsid w:val="00051513"/>
    <w:rsid w:val="000523AC"/>
    <w:rsid w:val="00054CD3"/>
    <w:rsid w:val="000573C0"/>
    <w:rsid w:val="00060812"/>
    <w:rsid w:val="000615FB"/>
    <w:rsid w:val="00065051"/>
    <w:rsid w:val="00065555"/>
    <w:rsid w:val="00067CCC"/>
    <w:rsid w:val="00070FD0"/>
    <w:rsid w:val="00072357"/>
    <w:rsid w:val="00073699"/>
    <w:rsid w:val="00074FD4"/>
    <w:rsid w:val="00075459"/>
    <w:rsid w:val="0007553A"/>
    <w:rsid w:val="000758A1"/>
    <w:rsid w:val="00076BED"/>
    <w:rsid w:val="00077102"/>
    <w:rsid w:val="0008010F"/>
    <w:rsid w:val="00084E8E"/>
    <w:rsid w:val="00085BCF"/>
    <w:rsid w:val="0008633D"/>
    <w:rsid w:val="000879AC"/>
    <w:rsid w:val="000904E8"/>
    <w:rsid w:val="00091BD8"/>
    <w:rsid w:val="00092356"/>
    <w:rsid w:val="00092CC9"/>
    <w:rsid w:val="00097356"/>
    <w:rsid w:val="000A1AB7"/>
    <w:rsid w:val="000A32BE"/>
    <w:rsid w:val="000A495E"/>
    <w:rsid w:val="000A4CBE"/>
    <w:rsid w:val="000A7C8F"/>
    <w:rsid w:val="000B0231"/>
    <w:rsid w:val="000B1417"/>
    <w:rsid w:val="000B1CA6"/>
    <w:rsid w:val="000B2200"/>
    <w:rsid w:val="000B276D"/>
    <w:rsid w:val="000B4A46"/>
    <w:rsid w:val="000B5BC8"/>
    <w:rsid w:val="000B5D13"/>
    <w:rsid w:val="000B7C4F"/>
    <w:rsid w:val="000B7F6F"/>
    <w:rsid w:val="000C25D0"/>
    <w:rsid w:val="000C31C0"/>
    <w:rsid w:val="000C345A"/>
    <w:rsid w:val="000C7176"/>
    <w:rsid w:val="000C766F"/>
    <w:rsid w:val="000D124D"/>
    <w:rsid w:val="000D31E2"/>
    <w:rsid w:val="000D736D"/>
    <w:rsid w:val="000E0F6E"/>
    <w:rsid w:val="000E2F07"/>
    <w:rsid w:val="000E58C4"/>
    <w:rsid w:val="000E5929"/>
    <w:rsid w:val="000E77D8"/>
    <w:rsid w:val="000F010C"/>
    <w:rsid w:val="000F11AD"/>
    <w:rsid w:val="000F538B"/>
    <w:rsid w:val="000F7DBA"/>
    <w:rsid w:val="00101428"/>
    <w:rsid w:val="001025F1"/>
    <w:rsid w:val="00102B15"/>
    <w:rsid w:val="001035A1"/>
    <w:rsid w:val="001060CD"/>
    <w:rsid w:val="001062A8"/>
    <w:rsid w:val="00112820"/>
    <w:rsid w:val="00112C9B"/>
    <w:rsid w:val="00113106"/>
    <w:rsid w:val="00113A17"/>
    <w:rsid w:val="001159BF"/>
    <w:rsid w:val="001168CF"/>
    <w:rsid w:val="0011757A"/>
    <w:rsid w:val="00120852"/>
    <w:rsid w:val="00120FB0"/>
    <w:rsid w:val="00122B84"/>
    <w:rsid w:val="001231FC"/>
    <w:rsid w:val="001240E6"/>
    <w:rsid w:val="001242A8"/>
    <w:rsid w:val="00125690"/>
    <w:rsid w:val="00125B17"/>
    <w:rsid w:val="00126139"/>
    <w:rsid w:val="0013027B"/>
    <w:rsid w:val="00131A7E"/>
    <w:rsid w:val="00131BD5"/>
    <w:rsid w:val="0013214E"/>
    <w:rsid w:val="0013216F"/>
    <w:rsid w:val="001331A8"/>
    <w:rsid w:val="0013351B"/>
    <w:rsid w:val="00137DEB"/>
    <w:rsid w:val="00142203"/>
    <w:rsid w:val="00142D36"/>
    <w:rsid w:val="00145355"/>
    <w:rsid w:val="001522CE"/>
    <w:rsid w:val="00154FC2"/>
    <w:rsid w:val="00156511"/>
    <w:rsid w:val="0015685B"/>
    <w:rsid w:val="00156A9D"/>
    <w:rsid w:val="0015737A"/>
    <w:rsid w:val="00157672"/>
    <w:rsid w:val="0015783C"/>
    <w:rsid w:val="001607DC"/>
    <w:rsid w:val="001611A0"/>
    <w:rsid w:val="00161EB9"/>
    <w:rsid w:val="00163855"/>
    <w:rsid w:val="00165958"/>
    <w:rsid w:val="001671A0"/>
    <w:rsid w:val="00171D09"/>
    <w:rsid w:val="0017291E"/>
    <w:rsid w:val="00172F9A"/>
    <w:rsid w:val="00183DCA"/>
    <w:rsid w:val="00185062"/>
    <w:rsid w:val="001907CD"/>
    <w:rsid w:val="00192F69"/>
    <w:rsid w:val="00195F0A"/>
    <w:rsid w:val="00196221"/>
    <w:rsid w:val="00196B2A"/>
    <w:rsid w:val="001A0802"/>
    <w:rsid w:val="001A57BC"/>
    <w:rsid w:val="001A6163"/>
    <w:rsid w:val="001A70A2"/>
    <w:rsid w:val="001B1286"/>
    <w:rsid w:val="001B1A37"/>
    <w:rsid w:val="001B431B"/>
    <w:rsid w:val="001B4684"/>
    <w:rsid w:val="001B4CA9"/>
    <w:rsid w:val="001B51A3"/>
    <w:rsid w:val="001B5E92"/>
    <w:rsid w:val="001B77B2"/>
    <w:rsid w:val="001B7C93"/>
    <w:rsid w:val="001B7E78"/>
    <w:rsid w:val="001B7F38"/>
    <w:rsid w:val="001C063F"/>
    <w:rsid w:val="001C08F3"/>
    <w:rsid w:val="001C0E19"/>
    <w:rsid w:val="001C3277"/>
    <w:rsid w:val="001C71D4"/>
    <w:rsid w:val="001D27F2"/>
    <w:rsid w:val="001D2F98"/>
    <w:rsid w:val="001D3AC1"/>
    <w:rsid w:val="001D3EE2"/>
    <w:rsid w:val="001D6150"/>
    <w:rsid w:val="001E076A"/>
    <w:rsid w:val="001E08F5"/>
    <w:rsid w:val="001E18EC"/>
    <w:rsid w:val="001E2473"/>
    <w:rsid w:val="001E3215"/>
    <w:rsid w:val="001E5258"/>
    <w:rsid w:val="001E5BC9"/>
    <w:rsid w:val="001E5C26"/>
    <w:rsid w:val="001E5D92"/>
    <w:rsid w:val="001E5DAB"/>
    <w:rsid w:val="001E5DCC"/>
    <w:rsid w:val="001E7CA6"/>
    <w:rsid w:val="001F065E"/>
    <w:rsid w:val="001F0994"/>
    <w:rsid w:val="0020095D"/>
    <w:rsid w:val="00200BA0"/>
    <w:rsid w:val="00201204"/>
    <w:rsid w:val="002015B7"/>
    <w:rsid w:val="00204000"/>
    <w:rsid w:val="00204AD2"/>
    <w:rsid w:val="00205246"/>
    <w:rsid w:val="00206BC3"/>
    <w:rsid w:val="00207578"/>
    <w:rsid w:val="00211AC5"/>
    <w:rsid w:val="00216F4E"/>
    <w:rsid w:val="00222327"/>
    <w:rsid w:val="002243F3"/>
    <w:rsid w:val="00225A21"/>
    <w:rsid w:val="00225B44"/>
    <w:rsid w:val="00227320"/>
    <w:rsid w:val="002274F0"/>
    <w:rsid w:val="00227CD2"/>
    <w:rsid w:val="00227EF9"/>
    <w:rsid w:val="00230858"/>
    <w:rsid w:val="00230C76"/>
    <w:rsid w:val="0023283A"/>
    <w:rsid w:val="00235BC3"/>
    <w:rsid w:val="00240AE1"/>
    <w:rsid w:val="00241BA2"/>
    <w:rsid w:val="00241F0B"/>
    <w:rsid w:val="00245CC5"/>
    <w:rsid w:val="00246495"/>
    <w:rsid w:val="002512FC"/>
    <w:rsid w:val="00251BF7"/>
    <w:rsid w:val="00251C7C"/>
    <w:rsid w:val="00252AA4"/>
    <w:rsid w:val="00253C2F"/>
    <w:rsid w:val="00263693"/>
    <w:rsid w:val="00263A0E"/>
    <w:rsid w:val="00264B9A"/>
    <w:rsid w:val="002650A5"/>
    <w:rsid w:val="0027058B"/>
    <w:rsid w:val="0027311A"/>
    <w:rsid w:val="00273B7E"/>
    <w:rsid w:val="00277192"/>
    <w:rsid w:val="00280040"/>
    <w:rsid w:val="00280641"/>
    <w:rsid w:val="00280BC9"/>
    <w:rsid w:val="00285F7A"/>
    <w:rsid w:val="00286118"/>
    <w:rsid w:val="00286426"/>
    <w:rsid w:val="00286448"/>
    <w:rsid w:val="00287705"/>
    <w:rsid w:val="00290428"/>
    <w:rsid w:val="00293B89"/>
    <w:rsid w:val="0029437C"/>
    <w:rsid w:val="00294925"/>
    <w:rsid w:val="002A0D3E"/>
    <w:rsid w:val="002A2EEC"/>
    <w:rsid w:val="002A6645"/>
    <w:rsid w:val="002A75F1"/>
    <w:rsid w:val="002B099C"/>
    <w:rsid w:val="002B1305"/>
    <w:rsid w:val="002B3D46"/>
    <w:rsid w:val="002B61BE"/>
    <w:rsid w:val="002B6731"/>
    <w:rsid w:val="002B719A"/>
    <w:rsid w:val="002B7668"/>
    <w:rsid w:val="002B7C22"/>
    <w:rsid w:val="002C00D4"/>
    <w:rsid w:val="002C0237"/>
    <w:rsid w:val="002C1D57"/>
    <w:rsid w:val="002C26AD"/>
    <w:rsid w:val="002C2DDE"/>
    <w:rsid w:val="002C41E0"/>
    <w:rsid w:val="002C4549"/>
    <w:rsid w:val="002C573B"/>
    <w:rsid w:val="002C59B2"/>
    <w:rsid w:val="002C7859"/>
    <w:rsid w:val="002D0C54"/>
    <w:rsid w:val="002D1B10"/>
    <w:rsid w:val="002D459A"/>
    <w:rsid w:val="002D46A5"/>
    <w:rsid w:val="002D5601"/>
    <w:rsid w:val="002D7B2A"/>
    <w:rsid w:val="002E009B"/>
    <w:rsid w:val="002E0839"/>
    <w:rsid w:val="002E1341"/>
    <w:rsid w:val="002E42E6"/>
    <w:rsid w:val="002E5C6C"/>
    <w:rsid w:val="002E64EF"/>
    <w:rsid w:val="002E7727"/>
    <w:rsid w:val="002F0CC3"/>
    <w:rsid w:val="002F2555"/>
    <w:rsid w:val="002F2E6F"/>
    <w:rsid w:val="002F3AEB"/>
    <w:rsid w:val="002F517A"/>
    <w:rsid w:val="002F5B9C"/>
    <w:rsid w:val="002F7FCB"/>
    <w:rsid w:val="00300326"/>
    <w:rsid w:val="0030160A"/>
    <w:rsid w:val="00301E0C"/>
    <w:rsid w:val="00302376"/>
    <w:rsid w:val="0030485E"/>
    <w:rsid w:val="003049DF"/>
    <w:rsid w:val="00305894"/>
    <w:rsid w:val="0031195D"/>
    <w:rsid w:val="00312124"/>
    <w:rsid w:val="00312D09"/>
    <w:rsid w:val="00312D9D"/>
    <w:rsid w:val="00314372"/>
    <w:rsid w:val="0031473B"/>
    <w:rsid w:val="00314A68"/>
    <w:rsid w:val="00314B98"/>
    <w:rsid w:val="00315014"/>
    <w:rsid w:val="003207A2"/>
    <w:rsid w:val="003217D3"/>
    <w:rsid w:val="00321AC7"/>
    <w:rsid w:val="003244D2"/>
    <w:rsid w:val="00325F42"/>
    <w:rsid w:val="003262B7"/>
    <w:rsid w:val="0032715A"/>
    <w:rsid w:val="003304A0"/>
    <w:rsid w:val="00330E51"/>
    <w:rsid w:val="0033182E"/>
    <w:rsid w:val="00331A65"/>
    <w:rsid w:val="00332B86"/>
    <w:rsid w:val="003330EA"/>
    <w:rsid w:val="003334F9"/>
    <w:rsid w:val="00334075"/>
    <w:rsid w:val="00334C58"/>
    <w:rsid w:val="00336CA4"/>
    <w:rsid w:val="00337ACD"/>
    <w:rsid w:val="00340153"/>
    <w:rsid w:val="00340396"/>
    <w:rsid w:val="00340C00"/>
    <w:rsid w:val="0034299F"/>
    <w:rsid w:val="00343038"/>
    <w:rsid w:val="003457C0"/>
    <w:rsid w:val="00347749"/>
    <w:rsid w:val="0035156A"/>
    <w:rsid w:val="0035406A"/>
    <w:rsid w:val="003540A8"/>
    <w:rsid w:val="00355973"/>
    <w:rsid w:val="00357F29"/>
    <w:rsid w:val="00360AA2"/>
    <w:rsid w:val="0036104B"/>
    <w:rsid w:val="003620E0"/>
    <w:rsid w:val="003626F6"/>
    <w:rsid w:val="00362CCB"/>
    <w:rsid w:val="00362D57"/>
    <w:rsid w:val="00366DC1"/>
    <w:rsid w:val="00366F5E"/>
    <w:rsid w:val="00366FF1"/>
    <w:rsid w:val="00370712"/>
    <w:rsid w:val="00370771"/>
    <w:rsid w:val="003707E8"/>
    <w:rsid w:val="00371CA2"/>
    <w:rsid w:val="00372A2E"/>
    <w:rsid w:val="00372BD9"/>
    <w:rsid w:val="00374287"/>
    <w:rsid w:val="0037585D"/>
    <w:rsid w:val="00377F9F"/>
    <w:rsid w:val="00381816"/>
    <w:rsid w:val="0038583E"/>
    <w:rsid w:val="00385B70"/>
    <w:rsid w:val="003875BF"/>
    <w:rsid w:val="00390181"/>
    <w:rsid w:val="00391412"/>
    <w:rsid w:val="00392CF6"/>
    <w:rsid w:val="00392E60"/>
    <w:rsid w:val="00393158"/>
    <w:rsid w:val="003945F6"/>
    <w:rsid w:val="00395097"/>
    <w:rsid w:val="00395147"/>
    <w:rsid w:val="0039606C"/>
    <w:rsid w:val="00396441"/>
    <w:rsid w:val="0039784E"/>
    <w:rsid w:val="003A1378"/>
    <w:rsid w:val="003A1509"/>
    <w:rsid w:val="003A1F09"/>
    <w:rsid w:val="003A3728"/>
    <w:rsid w:val="003A42F7"/>
    <w:rsid w:val="003A4342"/>
    <w:rsid w:val="003A6817"/>
    <w:rsid w:val="003A751D"/>
    <w:rsid w:val="003A78BB"/>
    <w:rsid w:val="003B0505"/>
    <w:rsid w:val="003B1105"/>
    <w:rsid w:val="003B135A"/>
    <w:rsid w:val="003B2CD9"/>
    <w:rsid w:val="003B2FE2"/>
    <w:rsid w:val="003B3E25"/>
    <w:rsid w:val="003B42D7"/>
    <w:rsid w:val="003B501D"/>
    <w:rsid w:val="003B6275"/>
    <w:rsid w:val="003B6380"/>
    <w:rsid w:val="003C18EF"/>
    <w:rsid w:val="003C2371"/>
    <w:rsid w:val="003C2622"/>
    <w:rsid w:val="003C3370"/>
    <w:rsid w:val="003C56B8"/>
    <w:rsid w:val="003C5CC0"/>
    <w:rsid w:val="003C7549"/>
    <w:rsid w:val="003C7AC3"/>
    <w:rsid w:val="003C7B45"/>
    <w:rsid w:val="003D23E9"/>
    <w:rsid w:val="003D260E"/>
    <w:rsid w:val="003D4601"/>
    <w:rsid w:val="003D4CD5"/>
    <w:rsid w:val="003D4F94"/>
    <w:rsid w:val="003D5D83"/>
    <w:rsid w:val="003E2828"/>
    <w:rsid w:val="003E7E06"/>
    <w:rsid w:val="003F002E"/>
    <w:rsid w:val="003F1096"/>
    <w:rsid w:val="003F1886"/>
    <w:rsid w:val="003F197B"/>
    <w:rsid w:val="003F4E27"/>
    <w:rsid w:val="003F5C8C"/>
    <w:rsid w:val="00401EE7"/>
    <w:rsid w:val="00401F77"/>
    <w:rsid w:val="00402465"/>
    <w:rsid w:val="0040310A"/>
    <w:rsid w:val="004049C8"/>
    <w:rsid w:val="004061B9"/>
    <w:rsid w:val="00406984"/>
    <w:rsid w:val="004106ED"/>
    <w:rsid w:val="00410C44"/>
    <w:rsid w:val="00410F72"/>
    <w:rsid w:val="00413340"/>
    <w:rsid w:val="00413D82"/>
    <w:rsid w:val="00413E8A"/>
    <w:rsid w:val="00414ABF"/>
    <w:rsid w:val="0042012A"/>
    <w:rsid w:val="004218BC"/>
    <w:rsid w:val="004222A7"/>
    <w:rsid w:val="00423966"/>
    <w:rsid w:val="004240B8"/>
    <w:rsid w:val="00424784"/>
    <w:rsid w:val="00424B20"/>
    <w:rsid w:val="00424F70"/>
    <w:rsid w:val="004257DF"/>
    <w:rsid w:val="004266F5"/>
    <w:rsid w:val="00427B2D"/>
    <w:rsid w:val="00427F2C"/>
    <w:rsid w:val="00427FFD"/>
    <w:rsid w:val="00430A18"/>
    <w:rsid w:val="00432EE4"/>
    <w:rsid w:val="0043688E"/>
    <w:rsid w:val="0044016C"/>
    <w:rsid w:val="00441D33"/>
    <w:rsid w:val="00443183"/>
    <w:rsid w:val="004440EA"/>
    <w:rsid w:val="0044424E"/>
    <w:rsid w:val="004447E9"/>
    <w:rsid w:val="0044589F"/>
    <w:rsid w:val="00445BED"/>
    <w:rsid w:val="00446238"/>
    <w:rsid w:val="0044744C"/>
    <w:rsid w:val="00450744"/>
    <w:rsid w:val="0045207E"/>
    <w:rsid w:val="00454001"/>
    <w:rsid w:val="00454070"/>
    <w:rsid w:val="004619BB"/>
    <w:rsid w:val="00461D60"/>
    <w:rsid w:val="00461EB0"/>
    <w:rsid w:val="0046331C"/>
    <w:rsid w:val="00470CB1"/>
    <w:rsid w:val="004711E0"/>
    <w:rsid w:val="00471B3A"/>
    <w:rsid w:val="004729E9"/>
    <w:rsid w:val="00472F1E"/>
    <w:rsid w:val="00473E53"/>
    <w:rsid w:val="0047691E"/>
    <w:rsid w:val="00485470"/>
    <w:rsid w:val="0048750E"/>
    <w:rsid w:val="00487AC9"/>
    <w:rsid w:val="00491BCE"/>
    <w:rsid w:val="00494EA8"/>
    <w:rsid w:val="00495D2C"/>
    <w:rsid w:val="00496331"/>
    <w:rsid w:val="004967CB"/>
    <w:rsid w:val="004968E4"/>
    <w:rsid w:val="00497809"/>
    <w:rsid w:val="004A1084"/>
    <w:rsid w:val="004A10B2"/>
    <w:rsid w:val="004A13BF"/>
    <w:rsid w:val="004A3E20"/>
    <w:rsid w:val="004B0616"/>
    <w:rsid w:val="004B0D20"/>
    <w:rsid w:val="004B13F9"/>
    <w:rsid w:val="004B364A"/>
    <w:rsid w:val="004B4179"/>
    <w:rsid w:val="004B6075"/>
    <w:rsid w:val="004B6A65"/>
    <w:rsid w:val="004B6A70"/>
    <w:rsid w:val="004C078C"/>
    <w:rsid w:val="004C18BD"/>
    <w:rsid w:val="004C4D6C"/>
    <w:rsid w:val="004C62E4"/>
    <w:rsid w:val="004D0441"/>
    <w:rsid w:val="004D14F4"/>
    <w:rsid w:val="004D1F0A"/>
    <w:rsid w:val="004D397E"/>
    <w:rsid w:val="004D4F0A"/>
    <w:rsid w:val="004D523D"/>
    <w:rsid w:val="004D580B"/>
    <w:rsid w:val="004D7F38"/>
    <w:rsid w:val="004E19CC"/>
    <w:rsid w:val="004E1DA6"/>
    <w:rsid w:val="004E6735"/>
    <w:rsid w:val="004E78AC"/>
    <w:rsid w:val="004F1996"/>
    <w:rsid w:val="004F3300"/>
    <w:rsid w:val="004F3DA0"/>
    <w:rsid w:val="004F699C"/>
    <w:rsid w:val="005018B0"/>
    <w:rsid w:val="005023A1"/>
    <w:rsid w:val="00502679"/>
    <w:rsid w:val="005027A5"/>
    <w:rsid w:val="005044C4"/>
    <w:rsid w:val="00504A50"/>
    <w:rsid w:val="005050CC"/>
    <w:rsid w:val="00505F69"/>
    <w:rsid w:val="00510196"/>
    <w:rsid w:val="00511870"/>
    <w:rsid w:val="00513B94"/>
    <w:rsid w:val="0051416A"/>
    <w:rsid w:val="00515EA6"/>
    <w:rsid w:val="005162F8"/>
    <w:rsid w:val="00517123"/>
    <w:rsid w:val="00517158"/>
    <w:rsid w:val="00517C4F"/>
    <w:rsid w:val="005200DB"/>
    <w:rsid w:val="005200E2"/>
    <w:rsid w:val="0052108C"/>
    <w:rsid w:val="005217A3"/>
    <w:rsid w:val="00524882"/>
    <w:rsid w:val="00524B92"/>
    <w:rsid w:val="00525380"/>
    <w:rsid w:val="005256F6"/>
    <w:rsid w:val="00525B07"/>
    <w:rsid w:val="00525FAD"/>
    <w:rsid w:val="00527065"/>
    <w:rsid w:val="0052720A"/>
    <w:rsid w:val="00530337"/>
    <w:rsid w:val="0053079F"/>
    <w:rsid w:val="0053129B"/>
    <w:rsid w:val="0053205A"/>
    <w:rsid w:val="005328D8"/>
    <w:rsid w:val="00532B5F"/>
    <w:rsid w:val="00534AAC"/>
    <w:rsid w:val="005356B5"/>
    <w:rsid w:val="00536161"/>
    <w:rsid w:val="00536E58"/>
    <w:rsid w:val="0053707D"/>
    <w:rsid w:val="00537A9A"/>
    <w:rsid w:val="00540476"/>
    <w:rsid w:val="00540F2E"/>
    <w:rsid w:val="005419CB"/>
    <w:rsid w:val="00541F79"/>
    <w:rsid w:val="00543A04"/>
    <w:rsid w:val="00544380"/>
    <w:rsid w:val="00545CC8"/>
    <w:rsid w:val="00546291"/>
    <w:rsid w:val="005462DB"/>
    <w:rsid w:val="00546F4B"/>
    <w:rsid w:val="00547C94"/>
    <w:rsid w:val="00550D58"/>
    <w:rsid w:val="005521E3"/>
    <w:rsid w:val="0055239A"/>
    <w:rsid w:val="0055371C"/>
    <w:rsid w:val="00553A79"/>
    <w:rsid w:val="00554306"/>
    <w:rsid w:val="00554CE3"/>
    <w:rsid w:val="00555F5B"/>
    <w:rsid w:val="005569EB"/>
    <w:rsid w:val="00556C6A"/>
    <w:rsid w:val="0056380C"/>
    <w:rsid w:val="0056385A"/>
    <w:rsid w:val="005641A8"/>
    <w:rsid w:val="005645DD"/>
    <w:rsid w:val="005660BC"/>
    <w:rsid w:val="00567E8F"/>
    <w:rsid w:val="0057049A"/>
    <w:rsid w:val="005706DF"/>
    <w:rsid w:val="0057122C"/>
    <w:rsid w:val="00571FBE"/>
    <w:rsid w:val="00572CE5"/>
    <w:rsid w:val="00572E48"/>
    <w:rsid w:val="00575F37"/>
    <w:rsid w:val="00576017"/>
    <w:rsid w:val="00581972"/>
    <w:rsid w:val="00584A70"/>
    <w:rsid w:val="00585CA2"/>
    <w:rsid w:val="00586C7D"/>
    <w:rsid w:val="005915C0"/>
    <w:rsid w:val="00591D35"/>
    <w:rsid w:val="00591D78"/>
    <w:rsid w:val="0059222E"/>
    <w:rsid w:val="00593D0A"/>
    <w:rsid w:val="005944C1"/>
    <w:rsid w:val="00594698"/>
    <w:rsid w:val="00597AC9"/>
    <w:rsid w:val="005A0C63"/>
    <w:rsid w:val="005A1643"/>
    <w:rsid w:val="005A1CF6"/>
    <w:rsid w:val="005A226E"/>
    <w:rsid w:val="005A3DC6"/>
    <w:rsid w:val="005A640F"/>
    <w:rsid w:val="005A67DA"/>
    <w:rsid w:val="005B1AA8"/>
    <w:rsid w:val="005B4C00"/>
    <w:rsid w:val="005B5AA4"/>
    <w:rsid w:val="005B673A"/>
    <w:rsid w:val="005B6741"/>
    <w:rsid w:val="005C31B3"/>
    <w:rsid w:val="005C5DD2"/>
    <w:rsid w:val="005C652B"/>
    <w:rsid w:val="005C6FA6"/>
    <w:rsid w:val="005C78E1"/>
    <w:rsid w:val="005D045D"/>
    <w:rsid w:val="005D07BC"/>
    <w:rsid w:val="005D3CC2"/>
    <w:rsid w:val="005D4BAF"/>
    <w:rsid w:val="005D7133"/>
    <w:rsid w:val="005E3BAF"/>
    <w:rsid w:val="005E41B3"/>
    <w:rsid w:val="005E67FA"/>
    <w:rsid w:val="005F1A7B"/>
    <w:rsid w:val="005F1E89"/>
    <w:rsid w:val="005F2F3A"/>
    <w:rsid w:val="005F42F8"/>
    <w:rsid w:val="005F5C99"/>
    <w:rsid w:val="005F6F48"/>
    <w:rsid w:val="00602931"/>
    <w:rsid w:val="00602B8C"/>
    <w:rsid w:val="006036CB"/>
    <w:rsid w:val="006044BB"/>
    <w:rsid w:val="00606B26"/>
    <w:rsid w:val="00606DD3"/>
    <w:rsid w:val="00607C5E"/>
    <w:rsid w:val="006110AA"/>
    <w:rsid w:val="006111FB"/>
    <w:rsid w:val="00615779"/>
    <w:rsid w:val="006165D5"/>
    <w:rsid w:val="00621080"/>
    <w:rsid w:val="00623E1C"/>
    <w:rsid w:val="00625ADE"/>
    <w:rsid w:val="00626F2B"/>
    <w:rsid w:val="00630E21"/>
    <w:rsid w:val="0063105E"/>
    <w:rsid w:val="00636706"/>
    <w:rsid w:val="00637BCC"/>
    <w:rsid w:val="006427F9"/>
    <w:rsid w:val="00643F33"/>
    <w:rsid w:val="006458B1"/>
    <w:rsid w:val="0064594F"/>
    <w:rsid w:val="006459D9"/>
    <w:rsid w:val="00645CF1"/>
    <w:rsid w:val="006479A2"/>
    <w:rsid w:val="006511A6"/>
    <w:rsid w:val="006516F9"/>
    <w:rsid w:val="00653FE3"/>
    <w:rsid w:val="006545D5"/>
    <w:rsid w:val="00654BA1"/>
    <w:rsid w:val="00657B36"/>
    <w:rsid w:val="00661096"/>
    <w:rsid w:val="006610A1"/>
    <w:rsid w:val="00661F24"/>
    <w:rsid w:val="006649B5"/>
    <w:rsid w:val="00664A3A"/>
    <w:rsid w:val="006668D0"/>
    <w:rsid w:val="0067033A"/>
    <w:rsid w:val="00671485"/>
    <w:rsid w:val="00671FE4"/>
    <w:rsid w:val="00675D9E"/>
    <w:rsid w:val="006761E8"/>
    <w:rsid w:val="00676BA5"/>
    <w:rsid w:val="00676BDC"/>
    <w:rsid w:val="006829EA"/>
    <w:rsid w:val="006838FD"/>
    <w:rsid w:val="006848C7"/>
    <w:rsid w:val="00684B33"/>
    <w:rsid w:val="00686035"/>
    <w:rsid w:val="006904DD"/>
    <w:rsid w:val="00690964"/>
    <w:rsid w:val="0069180E"/>
    <w:rsid w:val="00691FC0"/>
    <w:rsid w:val="00695486"/>
    <w:rsid w:val="006964D0"/>
    <w:rsid w:val="00696A95"/>
    <w:rsid w:val="006A02A0"/>
    <w:rsid w:val="006A0456"/>
    <w:rsid w:val="006A1D5E"/>
    <w:rsid w:val="006A2E18"/>
    <w:rsid w:val="006A3C58"/>
    <w:rsid w:val="006A426A"/>
    <w:rsid w:val="006A4C5D"/>
    <w:rsid w:val="006A6ED7"/>
    <w:rsid w:val="006A7487"/>
    <w:rsid w:val="006A7F43"/>
    <w:rsid w:val="006B0030"/>
    <w:rsid w:val="006B1E17"/>
    <w:rsid w:val="006B3092"/>
    <w:rsid w:val="006B3992"/>
    <w:rsid w:val="006B43B7"/>
    <w:rsid w:val="006B43B8"/>
    <w:rsid w:val="006B51F5"/>
    <w:rsid w:val="006C0FDF"/>
    <w:rsid w:val="006C197C"/>
    <w:rsid w:val="006C4464"/>
    <w:rsid w:val="006C475A"/>
    <w:rsid w:val="006C4971"/>
    <w:rsid w:val="006C6EE7"/>
    <w:rsid w:val="006C7917"/>
    <w:rsid w:val="006D04FC"/>
    <w:rsid w:val="006D1028"/>
    <w:rsid w:val="006D20E3"/>
    <w:rsid w:val="006D21C1"/>
    <w:rsid w:val="006E0547"/>
    <w:rsid w:val="006E2B83"/>
    <w:rsid w:val="006E4C10"/>
    <w:rsid w:val="006E55DF"/>
    <w:rsid w:val="006E6CD9"/>
    <w:rsid w:val="006E7457"/>
    <w:rsid w:val="006E7875"/>
    <w:rsid w:val="006F0C40"/>
    <w:rsid w:val="006F0C98"/>
    <w:rsid w:val="006F3840"/>
    <w:rsid w:val="006F3DA0"/>
    <w:rsid w:val="006F4ADB"/>
    <w:rsid w:val="006F5BCE"/>
    <w:rsid w:val="006F6AAB"/>
    <w:rsid w:val="006F6BE0"/>
    <w:rsid w:val="006F74AA"/>
    <w:rsid w:val="006F77CD"/>
    <w:rsid w:val="007011B4"/>
    <w:rsid w:val="00701605"/>
    <w:rsid w:val="007036DF"/>
    <w:rsid w:val="007049F0"/>
    <w:rsid w:val="00705177"/>
    <w:rsid w:val="007065BB"/>
    <w:rsid w:val="00706EBC"/>
    <w:rsid w:val="00707540"/>
    <w:rsid w:val="00707725"/>
    <w:rsid w:val="00707BA8"/>
    <w:rsid w:val="00707EDC"/>
    <w:rsid w:val="00713AFE"/>
    <w:rsid w:val="00713B9F"/>
    <w:rsid w:val="00714C66"/>
    <w:rsid w:val="0071520E"/>
    <w:rsid w:val="00721EA5"/>
    <w:rsid w:val="00722BA6"/>
    <w:rsid w:val="00725A18"/>
    <w:rsid w:val="00730421"/>
    <w:rsid w:val="00732344"/>
    <w:rsid w:val="00733DC5"/>
    <w:rsid w:val="00734984"/>
    <w:rsid w:val="00737FCE"/>
    <w:rsid w:val="00741A1F"/>
    <w:rsid w:val="0074308F"/>
    <w:rsid w:val="00744857"/>
    <w:rsid w:val="00745BDA"/>
    <w:rsid w:val="007506EE"/>
    <w:rsid w:val="007508FF"/>
    <w:rsid w:val="00751BE4"/>
    <w:rsid w:val="00751D1E"/>
    <w:rsid w:val="007529F5"/>
    <w:rsid w:val="00752FE5"/>
    <w:rsid w:val="00755F5F"/>
    <w:rsid w:val="0075632D"/>
    <w:rsid w:val="00762F3C"/>
    <w:rsid w:val="00765141"/>
    <w:rsid w:val="007653EB"/>
    <w:rsid w:val="0076668D"/>
    <w:rsid w:val="00770D15"/>
    <w:rsid w:val="00772375"/>
    <w:rsid w:val="007725A7"/>
    <w:rsid w:val="007728FA"/>
    <w:rsid w:val="007858BA"/>
    <w:rsid w:val="007873A4"/>
    <w:rsid w:val="00790A31"/>
    <w:rsid w:val="007914E5"/>
    <w:rsid w:val="00791992"/>
    <w:rsid w:val="007926EB"/>
    <w:rsid w:val="00794EC7"/>
    <w:rsid w:val="00796079"/>
    <w:rsid w:val="00796AE2"/>
    <w:rsid w:val="00796D98"/>
    <w:rsid w:val="007971C1"/>
    <w:rsid w:val="00797C54"/>
    <w:rsid w:val="00797FED"/>
    <w:rsid w:val="007A00DF"/>
    <w:rsid w:val="007A0723"/>
    <w:rsid w:val="007A16FA"/>
    <w:rsid w:val="007A2C3D"/>
    <w:rsid w:val="007A2C4E"/>
    <w:rsid w:val="007A4F5E"/>
    <w:rsid w:val="007B1400"/>
    <w:rsid w:val="007B23BE"/>
    <w:rsid w:val="007B333C"/>
    <w:rsid w:val="007B56C0"/>
    <w:rsid w:val="007B6494"/>
    <w:rsid w:val="007B69E4"/>
    <w:rsid w:val="007B7795"/>
    <w:rsid w:val="007C0D05"/>
    <w:rsid w:val="007C1269"/>
    <w:rsid w:val="007C2EC6"/>
    <w:rsid w:val="007C2F2E"/>
    <w:rsid w:val="007C414D"/>
    <w:rsid w:val="007C4864"/>
    <w:rsid w:val="007C637E"/>
    <w:rsid w:val="007C7D59"/>
    <w:rsid w:val="007D1468"/>
    <w:rsid w:val="007D1C80"/>
    <w:rsid w:val="007D2B16"/>
    <w:rsid w:val="007D2F8A"/>
    <w:rsid w:val="007D3428"/>
    <w:rsid w:val="007D46BB"/>
    <w:rsid w:val="007D7842"/>
    <w:rsid w:val="007D7D31"/>
    <w:rsid w:val="007E1231"/>
    <w:rsid w:val="007E168B"/>
    <w:rsid w:val="007E5C5E"/>
    <w:rsid w:val="007E7F9D"/>
    <w:rsid w:val="007F1730"/>
    <w:rsid w:val="007F2577"/>
    <w:rsid w:val="007F3719"/>
    <w:rsid w:val="007F3A1E"/>
    <w:rsid w:val="007F3E94"/>
    <w:rsid w:val="007F485F"/>
    <w:rsid w:val="007F4869"/>
    <w:rsid w:val="007F5644"/>
    <w:rsid w:val="007F603B"/>
    <w:rsid w:val="007F6937"/>
    <w:rsid w:val="007F6C31"/>
    <w:rsid w:val="007F70C0"/>
    <w:rsid w:val="007F7CF9"/>
    <w:rsid w:val="00801A8B"/>
    <w:rsid w:val="00802BE8"/>
    <w:rsid w:val="008036C5"/>
    <w:rsid w:val="00803B5C"/>
    <w:rsid w:val="0080423F"/>
    <w:rsid w:val="00805292"/>
    <w:rsid w:val="008075FE"/>
    <w:rsid w:val="00810948"/>
    <w:rsid w:val="0081348E"/>
    <w:rsid w:val="008144F0"/>
    <w:rsid w:val="008145DF"/>
    <w:rsid w:val="00815E5F"/>
    <w:rsid w:val="00817730"/>
    <w:rsid w:val="0082017C"/>
    <w:rsid w:val="008216C0"/>
    <w:rsid w:val="00821F11"/>
    <w:rsid w:val="00822000"/>
    <w:rsid w:val="00822708"/>
    <w:rsid w:val="00822CED"/>
    <w:rsid w:val="008241F9"/>
    <w:rsid w:val="00824543"/>
    <w:rsid w:val="008260FD"/>
    <w:rsid w:val="00826508"/>
    <w:rsid w:val="00826516"/>
    <w:rsid w:val="00827082"/>
    <w:rsid w:val="008274FC"/>
    <w:rsid w:val="00830568"/>
    <w:rsid w:val="008310F8"/>
    <w:rsid w:val="00831801"/>
    <w:rsid w:val="008322C1"/>
    <w:rsid w:val="0083234B"/>
    <w:rsid w:val="008339C4"/>
    <w:rsid w:val="008342B0"/>
    <w:rsid w:val="00835C52"/>
    <w:rsid w:val="00836C6F"/>
    <w:rsid w:val="00836F47"/>
    <w:rsid w:val="008401B6"/>
    <w:rsid w:val="008409BC"/>
    <w:rsid w:val="00840B47"/>
    <w:rsid w:val="00841521"/>
    <w:rsid w:val="0084266E"/>
    <w:rsid w:val="00851798"/>
    <w:rsid w:val="00853488"/>
    <w:rsid w:val="0085440E"/>
    <w:rsid w:val="00855AEB"/>
    <w:rsid w:val="00856559"/>
    <w:rsid w:val="008565E4"/>
    <w:rsid w:val="00862278"/>
    <w:rsid w:val="00863438"/>
    <w:rsid w:val="00865503"/>
    <w:rsid w:val="00867F0B"/>
    <w:rsid w:val="008705BD"/>
    <w:rsid w:val="00871389"/>
    <w:rsid w:val="00873BB0"/>
    <w:rsid w:val="00875025"/>
    <w:rsid w:val="008760EC"/>
    <w:rsid w:val="00876A38"/>
    <w:rsid w:val="008830F3"/>
    <w:rsid w:val="008838BB"/>
    <w:rsid w:val="00883FCF"/>
    <w:rsid w:val="0088474C"/>
    <w:rsid w:val="0088479A"/>
    <w:rsid w:val="00884DEF"/>
    <w:rsid w:val="008868F9"/>
    <w:rsid w:val="00886CF4"/>
    <w:rsid w:val="00893649"/>
    <w:rsid w:val="0089403A"/>
    <w:rsid w:val="00894483"/>
    <w:rsid w:val="00896674"/>
    <w:rsid w:val="00896D4A"/>
    <w:rsid w:val="00897A48"/>
    <w:rsid w:val="00897DF6"/>
    <w:rsid w:val="008A05D6"/>
    <w:rsid w:val="008A23F9"/>
    <w:rsid w:val="008A3883"/>
    <w:rsid w:val="008A4425"/>
    <w:rsid w:val="008A452D"/>
    <w:rsid w:val="008A465E"/>
    <w:rsid w:val="008A46EC"/>
    <w:rsid w:val="008A5662"/>
    <w:rsid w:val="008A6950"/>
    <w:rsid w:val="008A74F0"/>
    <w:rsid w:val="008A760B"/>
    <w:rsid w:val="008B592F"/>
    <w:rsid w:val="008B5B27"/>
    <w:rsid w:val="008B5BBF"/>
    <w:rsid w:val="008B6C05"/>
    <w:rsid w:val="008B6CC9"/>
    <w:rsid w:val="008B6ECE"/>
    <w:rsid w:val="008B7A07"/>
    <w:rsid w:val="008C28CC"/>
    <w:rsid w:val="008C2D64"/>
    <w:rsid w:val="008C4A9B"/>
    <w:rsid w:val="008C4AD3"/>
    <w:rsid w:val="008C5FDF"/>
    <w:rsid w:val="008C6F2E"/>
    <w:rsid w:val="008C7272"/>
    <w:rsid w:val="008C7947"/>
    <w:rsid w:val="008D1696"/>
    <w:rsid w:val="008D1E68"/>
    <w:rsid w:val="008D21F1"/>
    <w:rsid w:val="008D2D68"/>
    <w:rsid w:val="008D35CD"/>
    <w:rsid w:val="008D45A6"/>
    <w:rsid w:val="008D545A"/>
    <w:rsid w:val="008D5814"/>
    <w:rsid w:val="008D5844"/>
    <w:rsid w:val="008D5F17"/>
    <w:rsid w:val="008D7F0E"/>
    <w:rsid w:val="008E09EB"/>
    <w:rsid w:val="008E0C68"/>
    <w:rsid w:val="008E19EA"/>
    <w:rsid w:val="008E407D"/>
    <w:rsid w:val="008E4387"/>
    <w:rsid w:val="008E478E"/>
    <w:rsid w:val="008E7082"/>
    <w:rsid w:val="008F0431"/>
    <w:rsid w:val="008F189A"/>
    <w:rsid w:val="008F2F73"/>
    <w:rsid w:val="008F3D95"/>
    <w:rsid w:val="008F60AF"/>
    <w:rsid w:val="008F735D"/>
    <w:rsid w:val="008F7FB7"/>
    <w:rsid w:val="00901B7C"/>
    <w:rsid w:val="0090451C"/>
    <w:rsid w:val="009058C3"/>
    <w:rsid w:val="00905FDB"/>
    <w:rsid w:val="009064BF"/>
    <w:rsid w:val="00907C97"/>
    <w:rsid w:val="009100E8"/>
    <w:rsid w:val="00910262"/>
    <w:rsid w:val="00910797"/>
    <w:rsid w:val="00912501"/>
    <w:rsid w:val="00913350"/>
    <w:rsid w:val="00914A7A"/>
    <w:rsid w:val="00914C2C"/>
    <w:rsid w:val="009150A4"/>
    <w:rsid w:val="00916135"/>
    <w:rsid w:val="00916314"/>
    <w:rsid w:val="00917DA4"/>
    <w:rsid w:val="0092097F"/>
    <w:rsid w:val="009213B3"/>
    <w:rsid w:val="00922153"/>
    <w:rsid w:val="00922366"/>
    <w:rsid w:val="0092622B"/>
    <w:rsid w:val="0093116E"/>
    <w:rsid w:val="009314E4"/>
    <w:rsid w:val="009316E1"/>
    <w:rsid w:val="0093205E"/>
    <w:rsid w:val="00932431"/>
    <w:rsid w:val="0093387E"/>
    <w:rsid w:val="00933CD4"/>
    <w:rsid w:val="00936003"/>
    <w:rsid w:val="0093634D"/>
    <w:rsid w:val="00936386"/>
    <w:rsid w:val="00937807"/>
    <w:rsid w:val="00942A53"/>
    <w:rsid w:val="009440B4"/>
    <w:rsid w:val="0094426C"/>
    <w:rsid w:val="009468E4"/>
    <w:rsid w:val="00946C52"/>
    <w:rsid w:val="009505A6"/>
    <w:rsid w:val="009510D6"/>
    <w:rsid w:val="009562F9"/>
    <w:rsid w:val="009600BE"/>
    <w:rsid w:val="009616C0"/>
    <w:rsid w:val="00961809"/>
    <w:rsid w:val="00962741"/>
    <w:rsid w:val="00962D1E"/>
    <w:rsid w:val="00962E29"/>
    <w:rsid w:val="00963441"/>
    <w:rsid w:val="00964BE7"/>
    <w:rsid w:val="00965B77"/>
    <w:rsid w:val="00965D70"/>
    <w:rsid w:val="00966853"/>
    <w:rsid w:val="00967654"/>
    <w:rsid w:val="00967B63"/>
    <w:rsid w:val="00970BD5"/>
    <w:rsid w:val="00970CD6"/>
    <w:rsid w:val="00971322"/>
    <w:rsid w:val="00972679"/>
    <w:rsid w:val="00974992"/>
    <w:rsid w:val="009753C3"/>
    <w:rsid w:val="00975DE1"/>
    <w:rsid w:val="00976946"/>
    <w:rsid w:val="00976FFA"/>
    <w:rsid w:val="00980EF2"/>
    <w:rsid w:val="00981739"/>
    <w:rsid w:val="00981C37"/>
    <w:rsid w:val="00983A32"/>
    <w:rsid w:val="00983D94"/>
    <w:rsid w:val="0098448F"/>
    <w:rsid w:val="00985213"/>
    <w:rsid w:val="0098733F"/>
    <w:rsid w:val="00987982"/>
    <w:rsid w:val="00990696"/>
    <w:rsid w:val="00991683"/>
    <w:rsid w:val="0099216D"/>
    <w:rsid w:val="00992FC2"/>
    <w:rsid w:val="00995719"/>
    <w:rsid w:val="009969C5"/>
    <w:rsid w:val="009977C5"/>
    <w:rsid w:val="00997E75"/>
    <w:rsid w:val="009A017C"/>
    <w:rsid w:val="009A0901"/>
    <w:rsid w:val="009A1727"/>
    <w:rsid w:val="009A1A35"/>
    <w:rsid w:val="009A26C4"/>
    <w:rsid w:val="009A2F8F"/>
    <w:rsid w:val="009A33F0"/>
    <w:rsid w:val="009A5557"/>
    <w:rsid w:val="009A59FF"/>
    <w:rsid w:val="009A659E"/>
    <w:rsid w:val="009A6949"/>
    <w:rsid w:val="009A6C90"/>
    <w:rsid w:val="009B04C9"/>
    <w:rsid w:val="009B1685"/>
    <w:rsid w:val="009B3C2C"/>
    <w:rsid w:val="009B49B7"/>
    <w:rsid w:val="009B4B1A"/>
    <w:rsid w:val="009B4CD0"/>
    <w:rsid w:val="009B7246"/>
    <w:rsid w:val="009C05A0"/>
    <w:rsid w:val="009C1240"/>
    <w:rsid w:val="009C1AE5"/>
    <w:rsid w:val="009C31D3"/>
    <w:rsid w:val="009C3980"/>
    <w:rsid w:val="009C6147"/>
    <w:rsid w:val="009C620A"/>
    <w:rsid w:val="009C6A57"/>
    <w:rsid w:val="009D0593"/>
    <w:rsid w:val="009D060A"/>
    <w:rsid w:val="009D168B"/>
    <w:rsid w:val="009D1EEA"/>
    <w:rsid w:val="009D3354"/>
    <w:rsid w:val="009D4CE3"/>
    <w:rsid w:val="009D71D0"/>
    <w:rsid w:val="009E2E84"/>
    <w:rsid w:val="009E3DE3"/>
    <w:rsid w:val="009E5AF7"/>
    <w:rsid w:val="009E7CA5"/>
    <w:rsid w:val="009E7D96"/>
    <w:rsid w:val="009F2C78"/>
    <w:rsid w:val="009F455B"/>
    <w:rsid w:val="009F46C8"/>
    <w:rsid w:val="009F5991"/>
    <w:rsid w:val="009F75C3"/>
    <w:rsid w:val="009F7D34"/>
    <w:rsid w:val="00A00090"/>
    <w:rsid w:val="00A00349"/>
    <w:rsid w:val="00A00748"/>
    <w:rsid w:val="00A00A6D"/>
    <w:rsid w:val="00A00A9A"/>
    <w:rsid w:val="00A00D54"/>
    <w:rsid w:val="00A01D97"/>
    <w:rsid w:val="00A06513"/>
    <w:rsid w:val="00A06716"/>
    <w:rsid w:val="00A06BFC"/>
    <w:rsid w:val="00A11924"/>
    <w:rsid w:val="00A12DE6"/>
    <w:rsid w:val="00A13A76"/>
    <w:rsid w:val="00A143FE"/>
    <w:rsid w:val="00A17E02"/>
    <w:rsid w:val="00A2408A"/>
    <w:rsid w:val="00A2589F"/>
    <w:rsid w:val="00A25C9F"/>
    <w:rsid w:val="00A25EC6"/>
    <w:rsid w:val="00A26559"/>
    <w:rsid w:val="00A27599"/>
    <w:rsid w:val="00A30BE4"/>
    <w:rsid w:val="00A35412"/>
    <w:rsid w:val="00A36B76"/>
    <w:rsid w:val="00A36F12"/>
    <w:rsid w:val="00A40D3E"/>
    <w:rsid w:val="00A43A04"/>
    <w:rsid w:val="00A43C31"/>
    <w:rsid w:val="00A458B5"/>
    <w:rsid w:val="00A47A55"/>
    <w:rsid w:val="00A47D94"/>
    <w:rsid w:val="00A500B4"/>
    <w:rsid w:val="00A51E3F"/>
    <w:rsid w:val="00A5717C"/>
    <w:rsid w:val="00A57314"/>
    <w:rsid w:val="00A63CDD"/>
    <w:rsid w:val="00A6441A"/>
    <w:rsid w:val="00A71EDC"/>
    <w:rsid w:val="00A740F0"/>
    <w:rsid w:val="00A80C9D"/>
    <w:rsid w:val="00A8246F"/>
    <w:rsid w:val="00A83732"/>
    <w:rsid w:val="00A85556"/>
    <w:rsid w:val="00A87C81"/>
    <w:rsid w:val="00A87D31"/>
    <w:rsid w:val="00A90064"/>
    <w:rsid w:val="00A911BF"/>
    <w:rsid w:val="00A9148A"/>
    <w:rsid w:val="00A927B9"/>
    <w:rsid w:val="00A94D0D"/>
    <w:rsid w:val="00A95F9E"/>
    <w:rsid w:val="00A977EA"/>
    <w:rsid w:val="00AA125F"/>
    <w:rsid w:val="00AA3DC4"/>
    <w:rsid w:val="00AA6344"/>
    <w:rsid w:val="00AA6C4A"/>
    <w:rsid w:val="00AA74F6"/>
    <w:rsid w:val="00AA7E76"/>
    <w:rsid w:val="00AB0A38"/>
    <w:rsid w:val="00AB0B01"/>
    <w:rsid w:val="00AB0F7F"/>
    <w:rsid w:val="00AB2C8D"/>
    <w:rsid w:val="00AB2D06"/>
    <w:rsid w:val="00AB4598"/>
    <w:rsid w:val="00AB5270"/>
    <w:rsid w:val="00AB6C8F"/>
    <w:rsid w:val="00AB6F09"/>
    <w:rsid w:val="00AB7B2E"/>
    <w:rsid w:val="00AC0628"/>
    <w:rsid w:val="00AC1608"/>
    <w:rsid w:val="00AC361B"/>
    <w:rsid w:val="00AC38B6"/>
    <w:rsid w:val="00AC4D81"/>
    <w:rsid w:val="00AC7B3F"/>
    <w:rsid w:val="00AD1970"/>
    <w:rsid w:val="00AD1A55"/>
    <w:rsid w:val="00AD1D59"/>
    <w:rsid w:val="00AD493B"/>
    <w:rsid w:val="00AD6801"/>
    <w:rsid w:val="00AE07B7"/>
    <w:rsid w:val="00AE0DA2"/>
    <w:rsid w:val="00AE4047"/>
    <w:rsid w:val="00AE4A14"/>
    <w:rsid w:val="00AE6341"/>
    <w:rsid w:val="00AF368D"/>
    <w:rsid w:val="00AF54C8"/>
    <w:rsid w:val="00B003A0"/>
    <w:rsid w:val="00B01D0A"/>
    <w:rsid w:val="00B01F9B"/>
    <w:rsid w:val="00B02287"/>
    <w:rsid w:val="00B02B2C"/>
    <w:rsid w:val="00B044E7"/>
    <w:rsid w:val="00B05941"/>
    <w:rsid w:val="00B06081"/>
    <w:rsid w:val="00B1152A"/>
    <w:rsid w:val="00B12A2A"/>
    <w:rsid w:val="00B13DEC"/>
    <w:rsid w:val="00B15CDB"/>
    <w:rsid w:val="00B175B0"/>
    <w:rsid w:val="00B2118C"/>
    <w:rsid w:val="00B22381"/>
    <w:rsid w:val="00B230A1"/>
    <w:rsid w:val="00B23991"/>
    <w:rsid w:val="00B24342"/>
    <w:rsid w:val="00B27BC6"/>
    <w:rsid w:val="00B315EC"/>
    <w:rsid w:val="00B328A3"/>
    <w:rsid w:val="00B356D7"/>
    <w:rsid w:val="00B3627F"/>
    <w:rsid w:val="00B362C5"/>
    <w:rsid w:val="00B3641D"/>
    <w:rsid w:val="00B3727B"/>
    <w:rsid w:val="00B420C9"/>
    <w:rsid w:val="00B42E7C"/>
    <w:rsid w:val="00B45E6B"/>
    <w:rsid w:val="00B479C1"/>
    <w:rsid w:val="00B50947"/>
    <w:rsid w:val="00B51D15"/>
    <w:rsid w:val="00B52CE0"/>
    <w:rsid w:val="00B57E8D"/>
    <w:rsid w:val="00B6111D"/>
    <w:rsid w:val="00B62672"/>
    <w:rsid w:val="00B633F0"/>
    <w:rsid w:val="00B64803"/>
    <w:rsid w:val="00B650A1"/>
    <w:rsid w:val="00B6622F"/>
    <w:rsid w:val="00B6659F"/>
    <w:rsid w:val="00B701FD"/>
    <w:rsid w:val="00B70D53"/>
    <w:rsid w:val="00B7373E"/>
    <w:rsid w:val="00B73840"/>
    <w:rsid w:val="00B73DF0"/>
    <w:rsid w:val="00B7409C"/>
    <w:rsid w:val="00B744C7"/>
    <w:rsid w:val="00B749B2"/>
    <w:rsid w:val="00B76B9E"/>
    <w:rsid w:val="00B778F6"/>
    <w:rsid w:val="00B77F71"/>
    <w:rsid w:val="00B80AC7"/>
    <w:rsid w:val="00B818F9"/>
    <w:rsid w:val="00B83ED1"/>
    <w:rsid w:val="00B8408E"/>
    <w:rsid w:val="00B85A4A"/>
    <w:rsid w:val="00B85BFF"/>
    <w:rsid w:val="00B90F21"/>
    <w:rsid w:val="00B9200C"/>
    <w:rsid w:val="00B94736"/>
    <w:rsid w:val="00B9566B"/>
    <w:rsid w:val="00BA0233"/>
    <w:rsid w:val="00BA16E9"/>
    <w:rsid w:val="00BA50FE"/>
    <w:rsid w:val="00BA53D7"/>
    <w:rsid w:val="00BA58E1"/>
    <w:rsid w:val="00BA7C0B"/>
    <w:rsid w:val="00BA7E31"/>
    <w:rsid w:val="00BB0F72"/>
    <w:rsid w:val="00BB0FB7"/>
    <w:rsid w:val="00BB1A1E"/>
    <w:rsid w:val="00BB3EBA"/>
    <w:rsid w:val="00BB4D90"/>
    <w:rsid w:val="00BB539C"/>
    <w:rsid w:val="00BB6347"/>
    <w:rsid w:val="00BB7764"/>
    <w:rsid w:val="00BC0666"/>
    <w:rsid w:val="00BC0C5C"/>
    <w:rsid w:val="00BC1320"/>
    <w:rsid w:val="00BC471A"/>
    <w:rsid w:val="00BC5231"/>
    <w:rsid w:val="00BC53A6"/>
    <w:rsid w:val="00BD01C4"/>
    <w:rsid w:val="00BD1008"/>
    <w:rsid w:val="00BD2335"/>
    <w:rsid w:val="00BD2DB9"/>
    <w:rsid w:val="00BD4D1A"/>
    <w:rsid w:val="00BD5432"/>
    <w:rsid w:val="00BD58FE"/>
    <w:rsid w:val="00BD6BD7"/>
    <w:rsid w:val="00BD74F4"/>
    <w:rsid w:val="00BE12DC"/>
    <w:rsid w:val="00BE182D"/>
    <w:rsid w:val="00BE1D9C"/>
    <w:rsid w:val="00BE22DB"/>
    <w:rsid w:val="00BE2B2E"/>
    <w:rsid w:val="00BE47AA"/>
    <w:rsid w:val="00BE4BBB"/>
    <w:rsid w:val="00BE6FCB"/>
    <w:rsid w:val="00BE7810"/>
    <w:rsid w:val="00BE7D27"/>
    <w:rsid w:val="00BF0091"/>
    <w:rsid w:val="00BF4172"/>
    <w:rsid w:val="00BF4284"/>
    <w:rsid w:val="00BF4860"/>
    <w:rsid w:val="00BF68D9"/>
    <w:rsid w:val="00BF6F23"/>
    <w:rsid w:val="00BF7186"/>
    <w:rsid w:val="00BF7BAE"/>
    <w:rsid w:val="00C00438"/>
    <w:rsid w:val="00C0059F"/>
    <w:rsid w:val="00C01611"/>
    <w:rsid w:val="00C024CD"/>
    <w:rsid w:val="00C030C4"/>
    <w:rsid w:val="00C0456F"/>
    <w:rsid w:val="00C0578F"/>
    <w:rsid w:val="00C07638"/>
    <w:rsid w:val="00C07733"/>
    <w:rsid w:val="00C1163F"/>
    <w:rsid w:val="00C12235"/>
    <w:rsid w:val="00C1514D"/>
    <w:rsid w:val="00C16AEC"/>
    <w:rsid w:val="00C16E1F"/>
    <w:rsid w:val="00C21D13"/>
    <w:rsid w:val="00C22012"/>
    <w:rsid w:val="00C26CCA"/>
    <w:rsid w:val="00C314AC"/>
    <w:rsid w:val="00C32614"/>
    <w:rsid w:val="00C32749"/>
    <w:rsid w:val="00C32D30"/>
    <w:rsid w:val="00C34144"/>
    <w:rsid w:val="00C34B89"/>
    <w:rsid w:val="00C360B1"/>
    <w:rsid w:val="00C409C3"/>
    <w:rsid w:val="00C421CF"/>
    <w:rsid w:val="00C443C3"/>
    <w:rsid w:val="00C47FD4"/>
    <w:rsid w:val="00C51249"/>
    <w:rsid w:val="00C54E38"/>
    <w:rsid w:val="00C55A0C"/>
    <w:rsid w:val="00C60231"/>
    <w:rsid w:val="00C6096B"/>
    <w:rsid w:val="00C61A7A"/>
    <w:rsid w:val="00C61D7B"/>
    <w:rsid w:val="00C61E64"/>
    <w:rsid w:val="00C63277"/>
    <w:rsid w:val="00C64603"/>
    <w:rsid w:val="00C64EFC"/>
    <w:rsid w:val="00C656B6"/>
    <w:rsid w:val="00C65971"/>
    <w:rsid w:val="00C65B92"/>
    <w:rsid w:val="00C65C2C"/>
    <w:rsid w:val="00C71363"/>
    <w:rsid w:val="00C7239C"/>
    <w:rsid w:val="00C72A8C"/>
    <w:rsid w:val="00C805CD"/>
    <w:rsid w:val="00C82543"/>
    <w:rsid w:val="00C838D6"/>
    <w:rsid w:val="00C83F8F"/>
    <w:rsid w:val="00C8430A"/>
    <w:rsid w:val="00C8533D"/>
    <w:rsid w:val="00C86F78"/>
    <w:rsid w:val="00C91622"/>
    <w:rsid w:val="00C918D5"/>
    <w:rsid w:val="00C921A9"/>
    <w:rsid w:val="00C946AE"/>
    <w:rsid w:val="00C97049"/>
    <w:rsid w:val="00CA1522"/>
    <w:rsid w:val="00CA2FD2"/>
    <w:rsid w:val="00CA331F"/>
    <w:rsid w:val="00CA3627"/>
    <w:rsid w:val="00CA3D6B"/>
    <w:rsid w:val="00CA507E"/>
    <w:rsid w:val="00CA5E3D"/>
    <w:rsid w:val="00CA7AFC"/>
    <w:rsid w:val="00CB2A2E"/>
    <w:rsid w:val="00CB52AE"/>
    <w:rsid w:val="00CC141A"/>
    <w:rsid w:val="00CC53C8"/>
    <w:rsid w:val="00CC7A7C"/>
    <w:rsid w:val="00CD01D5"/>
    <w:rsid w:val="00CD0CCB"/>
    <w:rsid w:val="00CD1A3D"/>
    <w:rsid w:val="00CD1EAE"/>
    <w:rsid w:val="00CD1EDE"/>
    <w:rsid w:val="00CD204C"/>
    <w:rsid w:val="00CD5A9A"/>
    <w:rsid w:val="00CD5DD3"/>
    <w:rsid w:val="00CD66A5"/>
    <w:rsid w:val="00CE32B3"/>
    <w:rsid w:val="00CE53C8"/>
    <w:rsid w:val="00CE7EA4"/>
    <w:rsid w:val="00CF0D93"/>
    <w:rsid w:val="00D0004A"/>
    <w:rsid w:val="00D019B3"/>
    <w:rsid w:val="00D02A2C"/>
    <w:rsid w:val="00D03F28"/>
    <w:rsid w:val="00D06462"/>
    <w:rsid w:val="00D07CE0"/>
    <w:rsid w:val="00D07ED2"/>
    <w:rsid w:val="00D100A8"/>
    <w:rsid w:val="00D10FC5"/>
    <w:rsid w:val="00D148E6"/>
    <w:rsid w:val="00D2029D"/>
    <w:rsid w:val="00D21997"/>
    <w:rsid w:val="00D21EA2"/>
    <w:rsid w:val="00D2385E"/>
    <w:rsid w:val="00D23925"/>
    <w:rsid w:val="00D2423B"/>
    <w:rsid w:val="00D24D81"/>
    <w:rsid w:val="00D24ED7"/>
    <w:rsid w:val="00D31BC1"/>
    <w:rsid w:val="00D32469"/>
    <w:rsid w:val="00D33457"/>
    <w:rsid w:val="00D342B9"/>
    <w:rsid w:val="00D3669D"/>
    <w:rsid w:val="00D36F4D"/>
    <w:rsid w:val="00D3777A"/>
    <w:rsid w:val="00D414D2"/>
    <w:rsid w:val="00D4359C"/>
    <w:rsid w:val="00D44FB0"/>
    <w:rsid w:val="00D47D99"/>
    <w:rsid w:val="00D50C4A"/>
    <w:rsid w:val="00D5170B"/>
    <w:rsid w:val="00D536A7"/>
    <w:rsid w:val="00D54BD4"/>
    <w:rsid w:val="00D55355"/>
    <w:rsid w:val="00D55520"/>
    <w:rsid w:val="00D5561F"/>
    <w:rsid w:val="00D57784"/>
    <w:rsid w:val="00D606B7"/>
    <w:rsid w:val="00D607B5"/>
    <w:rsid w:val="00D642E0"/>
    <w:rsid w:val="00D655FB"/>
    <w:rsid w:val="00D668B0"/>
    <w:rsid w:val="00D67E74"/>
    <w:rsid w:val="00D71C45"/>
    <w:rsid w:val="00D72421"/>
    <w:rsid w:val="00D72EF5"/>
    <w:rsid w:val="00D72FEA"/>
    <w:rsid w:val="00D80B51"/>
    <w:rsid w:val="00D82445"/>
    <w:rsid w:val="00D85839"/>
    <w:rsid w:val="00D86266"/>
    <w:rsid w:val="00D86897"/>
    <w:rsid w:val="00D87877"/>
    <w:rsid w:val="00D904BE"/>
    <w:rsid w:val="00D909C2"/>
    <w:rsid w:val="00D911D2"/>
    <w:rsid w:val="00D91A2D"/>
    <w:rsid w:val="00D91D88"/>
    <w:rsid w:val="00D91E0D"/>
    <w:rsid w:val="00D92E21"/>
    <w:rsid w:val="00D93FF9"/>
    <w:rsid w:val="00D94150"/>
    <w:rsid w:val="00D94355"/>
    <w:rsid w:val="00D946B1"/>
    <w:rsid w:val="00D97805"/>
    <w:rsid w:val="00DA13E1"/>
    <w:rsid w:val="00DA253E"/>
    <w:rsid w:val="00DA3CDE"/>
    <w:rsid w:val="00DA3F16"/>
    <w:rsid w:val="00DA4673"/>
    <w:rsid w:val="00DA4C9A"/>
    <w:rsid w:val="00DA5B43"/>
    <w:rsid w:val="00DA5B74"/>
    <w:rsid w:val="00DB31DF"/>
    <w:rsid w:val="00DB362F"/>
    <w:rsid w:val="00DB46B6"/>
    <w:rsid w:val="00DB477A"/>
    <w:rsid w:val="00DB47C7"/>
    <w:rsid w:val="00DB5503"/>
    <w:rsid w:val="00DB5B62"/>
    <w:rsid w:val="00DB7D42"/>
    <w:rsid w:val="00DC1CD9"/>
    <w:rsid w:val="00DC2E5F"/>
    <w:rsid w:val="00DC5F79"/>
    <w:rsid w:val="00DC5FB0"/>
    <w:rsid w:val="00DC7B43"/>
    <w:rsid w:val="00DD20D4"/>
    <w:rsid w:val="00DD2445"/>
    <w:rsid w:val="00DD2909"/>
    <w:rsid w:val="00DD4888"/>
    <w:rsid w:val="00DD4ADF"/>
    <w:rsid w:val="00DE075E"/>
    <w:rsid w:val="00DE14E5"/>
    <w:rsid w:val="00DE20E9"/>
    <w:rsid w:val="00DE2ADA"/>
    <w:rsid w:val="00DE39F2"/>
    <w:rsid w:val="00DE5A6C"/>
    <w:rsid w:val="00DE5B71"/>
    <w:rsid w:val="00DE6A1E"/>
    <w:rsid w:val="00DE74C7"/>
    <w:rsid w:val="00DE76F4"/>
    <w:rsid w:val="00DF206D"/>
    <w:rsid w:val="00DF21F9"/>
    <w:rsid w:val="00DF2D04"/>
    <w:rsid w:val="00DF3235"/>
    <w:rsid w:val="00DF5215"/>
    <w:rsid w:val="00DF62C7"/>
    <w:rsid w:val="00DF6E2F"/>
    <w:rsid w:val="00E0196B"/>
    <w:rsid w:val="00E025EF"/>
    <w:rsid w:val="00E02D5D"/>
    <w:rsid w:val="00E04870"/>
    <w:rsid w:val="00E0544A"/>
    <w:rsid w:val="00E1126B"/>
    <w:rsid w:val="00E12EDB"/>
    <w:rsid w:val="00E13BA5"/>
    <w:rsid w:val="00E15582"/>
    <w:rsid w:val="00E155CB"/>
    <w:rsid w:val="00E21219"/>
    <w:rsid w:val="00E21A99"/>
    <w:rsid w:val="00E22314"/>
    <w:rsid w:val="00E22590"/>
    <w:rsid w:val="00E2474A"/>
    <w:rsid w:val="00E27E78"/>
    <w:rsid w:val="00E30362"/>
    <w:rsid w:val="00E31857"/>
    <w:rsid w:val="00E31E52"/>
    <w:rsid w:val="00E3612B"/>
    <w:rsid w:val="00E37AFB"/>
    <w:rsid w:val="00E40230"/>
    <w:rsid w:val="00E41EB7"/>
    <w:rsid w:val="00E42FC0"/>
    <w:rsid w:val="00E435C4"/>
    <w:rsid w:val="00E473AB"/>
    <w:rsid w:val="00E47F83"/>
    <w:rsid w:val="00E50229"/>
    <w:rsid w:val="00E50F6D"/>
    <w:rsid w:val="00E52A01"/>
    <w:rsid w:val="00E53675"/>
    <w:rsid w:val="00E542C5"/>
    <w:rsid w:val="00E562DD"/>
    <w:rsid w:val="00E61D3C"/>
    <w:rsid w:val="00E62C35"/>
    <w:rsid w:val="00E62EEE"/>
    <w:rsid w:val="00E63C77"/>
    <w:rsid w:val="00E63DE2"/>
    <w:rsid w:val="00E67CA4"/>
    <w:rsid w:val="00E70CCD"/>
    <w:rsid w:val="00E72680"/>
    <w:rsid w:val="00E744B5"/>
    <w:rsid w:val="00E7451B"/>
    <w:rsid w:val="00E75027"/>
    <w:rsid w:val="00E75ED7"/>
    <w:rsid w:val="00E76441"/>
    <w:rsid w:val="00E772E0"/>
    <w:rsid w:val="00E81EEB"/>
    <w:rsid w:val="00E82797"/>
    <w:rsid w:val="00E839B2"/>
    <w:rsid w:val="00E85F78"/>
    <w:rsid w:val="00E872FC"/>
    <w:rsid w:val="00E90068"/>
    <w:rsid w:val="00E905FD"/>
    <w:rsid w:val="00E907DE"/>
    <w:rsid w:val="00E9094F"/>
    <w:rsid w:val="00E91B08"/>
    <w:rsid w:val="00E92662"/>
    <w:rsid w:val="00E930AE"/>
    <w:rsid w:val="00E932B0"/>
    <w:rsid w:val="00E95970"/>
    <w:rsid w:val="00EA0762"/>
    <w:rsid w:val="00EA274C"/>
    <w:rsid w:val="00EA2BE2"/>
    <w:rsid w:val="00EA2FD8"/>
    <w:rsid w:val="00EA3EDD"/>
    <w:rsid w:val="00EA557A"/>
    <w:rsid w:val="00EA78A8"/>
    <w:rsid w:val="00EB2D7C"/>
    <w:rsid w:val="00EB4963"/>
    <w:rsid w:val="00EB4BF2"/>
    <w:rsid w:val="00EB5D18"/>
    <w:rsid w:val="00EB784A"/>
    <w:rsid w:val="00EC1DB2"/>
    <w:rsid w:val="00EC1F34"/>
    <w:rsid w:val="00EC28C2"/>
    <w:rsid w:val="00EC3339"/>
    <w:rsid w:val="00EC3CD3"/>
    <w:rsid w:val="00EC5514"/>
    <w:rsid w:val="00EC7522"/>
    <w:rsid w:val="00EC7AE9"/>
    <w:rsid w:val="00ED0076"/>
    <w:rsid w:val="00ED2364"/>
    <w:rsid w:val="00ED2903"/>
    <w:rsid w:val="00ED3386"/>
    <w:rsid w:val="00ED5825"/>
    <w:rsid w:val="00ED74CE"/>
    <w:rsid w:val="00EE00C1"/>
    <w:rsid w:val="00EE1B87"/>
    <w:rsid w:val="00EE36ED"/>
    <w:rsid w:val="00EE6729"/>
    <w:rsid w:val="00EE704A"/>
    <w:rsid w:val="00EE732A"/>
    <w:rsid w:val="00EE7E8F"/>
    <w:rsid w:val="00EF0834"/>
    <w:rsid w:val="00EF090A"/>
    <w:rsid w:val="00EF2D51"/>
    <w:rsid w:val="00EF3923"/>
    <w:rsid w:val="00EF5002"/>
    <w:rsid w:val="00EF5AA3"/>
    <w:rsid w:val="00EF5AE1"/>
    <w:rsid w:val="00EF641C"/>
    <w:rsid w:val="00EF673F"/>
    <w:rsid w:val="00F03205"/>
    <w:rsid w:val="00F05BA7"/>
    <w:rsid w:val="00F0614B"/>
    <w:rsid w:val="00F07F7D"/>
    <w:rsid w:val="00F1047F"/>
    <w:rsid w:val="00F10791"/>
    <w:rsid w:val="00F10A4D"/>
    <w:rsid w:val="00F11D25"/>
    <w:rsid w:val="00F1208C"/>
    <w:rsid w:val="00F1382D"/>
    <w:rsid w:val="00F13A24"/>
    <w:rsid w:val="00F14338"/>
    <w:rsid w:val="00F15789"/>
    <w:rsid w:val="00F15BB3"/>
    <w:rsid w:val="00F15E32"/>
    <w:rsid w:val="00F16AB1"/>
    <w:rsid w:val="00F1748A"/>
    <w:rsid w:val="00F174D7"/>
    <w:rsid w:val="00F2173F"/>
    <w:rsid w:val="00F23094"/>
    <w:rsid w:val="00F23355"/>
    <w:rsid w:val="00F26CFD"/>
    <w:rsid w:val="00F26DEF"/>
    <w:rsid w:val="00F33873"/>
    <w:rsid w:val="00F345DE"/>
    <w:rsid w:val="00F37A53"/>
    <w:rsid w:val="00F37B29"/>
    <w:rsid w:val="00F40EA0"/>
    <w:rsid w:val="00F43DDD"/>
    <w:rsid w:val="00F454E4"/>
    <w:rsid w:val="00F466A9"/>
    <w:rsid w:val="00F46BF2"/>
    <w:rsid w:val="00F503BC"/>
    <w:rsid w:val="00F509C9"/>
    <w:rsid w:val="00F51C35"/>
    <w:rsid w:val="00F53709"/>
    <w:rsid w:val="00F53B5F"/>
    <w:rsid w:val="00F55033"/>
    <w:rsid w:val="00F56EF6"/>
    <w:rsid w:val="00F622F2"/>
    <w:rsid w:val="00F63319"/>
    <w:rsid w:val="00F6429C"/>
    <w:rsid w:val="00F64447"/>
    <w:rsid w:val="00F64A5E"/>
    <w:rsid w:val="00F66662"/>
    <w:rsid w:val="00F66BE7"/>
    <w:rsid w:val="00F7043F"/>
    <w:rsid w:val="00F72535"/>
    <w:rsid w:val="00F729E6"/>
    <w:rsid w:val="00F734F5"/>
    <w:rsid w:val="00F73803"/>
    <w:rsid w:val="00F75F9D"/>
    <w:rsid w:val="00F76ADD"/>
    <w:rsid w:val="00F7721F"/>
    <w:rsid w:val="00F776C8"/>
    <w:rsid w:val="00F82362"/>
    <w:rsid w:val="00F82C43"/>
    <w:rsid w:val="00F82CAF"/>
    <w:rsid w:val="00F837FE"/>
    <w:rsid w:val="00F84FCB"/>
    <w:rsid w:val="00F860B2"/>
    <w:rsid w:val="00F8709A"/>
    <w:rsid w:val="00F87D9F"/>
    <w:rsid w:val="00F9015A"/>
    <w:rsid w:val="00F90271"/>
    <w:rsid w:val="00F917D4"/>
    <w:rsid w:val="00F942B1"/>
    <w:rsid w:val="00F9438D"/>
    <w:rsid w:val="00F948BB"/>
    <w:rsid w:val="00F96B67"/>
    <w:rsid w:val="00F96E68"/>
    <w:rsid w:val="00F971DB"/>
    <w:rsid w:val="00F97FC8"/>
    <w:rsid w:val="00FA47E8"/>
    <w:rsid w:val="00FA52C6"/>
    <w:rsid w:val="00FB053D"/>
    <w:rsid w:val="00FB136E"/>
    <w:rsid w:val="00FB4CCE"/>
    <w:rsid w:val="00FB5F20"/>
    <w:rsid w:val="00FB72A0"/>
    <w:rsid w:val="00FC07D4"/>
    <w:rsid w:val="00FC1967"/>
    <w:rsid w:val="00FC2F0D"/>
    <w:rsid w:val="00FC5B7E"/>
    <w:rsid w:val="00FC7A14"/>
    <w:rsid w:val="00FC7C4B"/>
    <w:rsid w:val="00FD3411"/>
    <w:rsid w:val="00FD3997"/>
    <w:rsid w:val="00FD4EFA"/>
    <w:rsid w:val="00FD5517"/>
    <w:rsid w:val="00FD56A4"/>
    <w:rsid w:val="00FE059C"/>
    <w:rsid w:val="00FE2905"/>
    <w:rsid w:val="00FE4126"/>
    <w:rsid w:val="00FE6B3A"/>
    <w:rsid w:val="00FF11EF"/>
    <w:rsid w:val="00FF1B5D"/>
    <w:rsid w:val="00FF2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4B700E"/>
  <w15:docId w15:val="{10AFEA46-7C98-4CB2-941A-3580E0E2A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064"/>
    <w:rPr>
      <w:rFonts w:ascii="Times New Roman" w:hAnsi="Times New Roman"/>
      <w:sz w:val="24"/>
    </w:rPr>
  </w:style>
  <w:style w:type="paragraph" w:styleId="Heading1">
    <w:name w:val="heading 1"/>
    <w:basedOn w:val="Normal"/>
    <w:next w:val="Normal"/>
    <w:link w:val="Heading1Char"/>
    <w:uiPriority w:val="9"/>
    <w:qFormat/>
    <w:rsid w:val="00D71C45"/>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unhideWhenUsed/>
    <w:qFormat/>
    <w:rsid w:val="00D71C45"/>
    <w:pPr>
      <w:pBdr>
        <w:bottom w:val="single" w:sz="4" w:space="1" w:color="622423" w:themeColor="accent2" w:themeShade="7F"/>
      </w:pBdr>
      <w:spacing w:before="400"/>
      <w:jc w:val="center"/>
      <w:outlineLvl w:val="1"/>
    </w:pPr>
    <w:rPr>
      <w:caps/>
      <w:color w:val="632423" w:themeColor="accent2" w:themeShade="80"/>
      <w:spacing w:val="15"/>
      <w:szCs w:val="24"/>
    </w:rPr>
  </w:style>
  <w:style w:type="paragraph" w:styleId="Heading3">
    <w:name w:val="heading 3"/>
    <w:basedOn w:val="Normal"/>
    <w:next w:val="Normal"/>
    <w:link w:val="Heading3Char"/>
    <w:uiPriority w:val="9"/>
    <w:semiHidden/>
    <w:unhideWhenUsed/>
    <w:qFormat/>
    <w:rsid w:val="00D71C45"/>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D71C45"/>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D71C45"/>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D71C45"/>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D71C45"/>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D71C45"/>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D71C45"/>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1D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D57"/>
    <w:rPr>
      <w:rFonts w:ascii="Tahoma" w:hAnsi="Tahoma" w:cs="Tahoma"/>
      <w:sz w:val="16"/>
      <w:szCs w:val="16"/>
    </w:rPr>
  </w:style>
  <w:style w:type="character" w:customStyle="1" w:styleId="Heading1Char">
    <w:name w:val="Heading 1 Char"/>
    <w:basedOn w:val="DefaultParagraphFont"/>
    <w:link w:val="Heading1"/>
    <w:uiPriority w:val="9"/>
    <w:rsid w:val="00D71C45"/>
    <w:rPr>
      <w:caps/>
      <w:color w:val="632423" w:themeColor="accent2" w:themeShade="80"/>
      <w:spacing w:val="20"/>
      <w:sz w:val="28"/>
      <w:szCs w:val="28"/>
    </w:rPr>
  </w:style>
  <w:style w:type="character" w:styleId="Hyperlink">
    <w:name w:val="Hyperlink"/>
    <w:uiPriority w:val="99"/>
    <w:rsid w:val="004619BB"/>
    <w:rPr>
      <w:color w:val="0000FF"/>
      <w:u w:val="single"/>
    </w:rPr>
  </w:style>
  <w:style w:type="paragraph" w:styleId="TOCHeading">
    <w:name w:val="TOC Heading"/>
    <w:basedOn w:val="Heading1"/>
    <w:next w:val="Normal"/>
    <w:uiPriority w:val="39"/>
    <w:semiHidden/>
    <w:unhideWhenUsed/>
    <w:qFormat/>
    <w:rsid w:val="00D71C45"/>
    <w:pPr>
      <w:outlineLvl w:val="9"/>
    </w:pPr>
    <w:rPr>
      <w:lang w:bidi="en-US"/>
    </w:rPr>
  </w:style>
  <w:style w:type="paragraph" w:styleId="TOC1">
    <w:name w:val="toc 1"/>
    <w:basedOn w:val="Normal"/>
    <w:next w:val="Normal"/>
    <w:autoRedefine/>
    <w:uiPriority w:val="39"/>
    <w:unhideWhenUsed/>
    <w:rsid w:val="00165958"/>
    <w:pPr>
      <w:tabs>
        <w:tab w:val="right" w:leader="dot" w:pos="9350"/>
      </w:tabs>
      <w:spacing w:after="100" w:line="240" w:lineRule="auto"/>
    </w:pPr>
    <w:rPr>
      <w:rFonts w:ascii="Arial" w:hAnsi="Arial" w:cs="Arial"/>
      <w:noProof/>
    </w:rPr>
  </w:style>
  <w:style w:type="paragraph" w:styleId="ListParagraph">
    <w:name w:val="List Paragraph"/>
    <w:basedOn w:val="Normal"/>
    <w:link w:val="ListParagraphChar"/>
    <w:uiPriority w:val="34"/>
    <w:qFormat/>
    <w:rsid w:val="00D71C45"/>
    <w:pPr>
      <w:ind w:left="720"/>
      <w:contextualSpacing/>
    </w:pPr>
  </w:style>
  <w:style w:type="paragraph" w:styleId="NoSpacing">
    <w:name w:val="No Spacing"/>
    <w:basedOn w:val="Normal"/>
    <w:link w:val="NoSpacingChar"/>
    <w:uiPriority w:val="1"/>
    <w:qFormat/>
    <w:rsid w:val="00113106"/>
    <w:pPr>
      <w:spacing w:after="0" w:line="240" w:lineRule="auto"/>
    </w:pPr>
  </w:style>
  <w:style w:type="paragraph" w:styleId="Header">
    <w:name w:val="header"/>
    <w:basedOn w:val="Normal"/>
    <w:link w:val="HeaderChar"/>
    <w:uiPriority w:val="99"/>
    <w:unhideWhenUsed/>
    <w:rsid w:val="004619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9BB"/>
    <w:rPr>
      <w:rFonts w:ascii="Calibri" w:hAnsi="Calibri" w:cs="Times New Roman"/>
      <w:sz w:val="20"/>
      <w:szCs w:val="20"/>
    </w:rPr>
  </w:style>
  <w:style w:type="paragraph" w:styleId="Footer">
    <w:name w:val="footer"/>
    <w:basedOn w:val="Normal"/>
    <w:link w:val="FooterChar"/>
    <w:uiPriority w:val="99"/>
    <w:unhideWhenUsed/>
    <w:rsid w:val="004619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9BB"/>
    <w:rPr>
      <w:rFonts w:ascii="Calibri" w:hAnsi="Calibri" w:cs="Times New Roman"/>
      <w:sz w:val="20"/>
      <w:szCs w:val="20"/>
    </w:rPr>
  </w:style>
  <w:style w:type="character" w:styleId="PageNumber">
    <w:name w:val="page number"/>
    <w:basedOn w:val="DefaultParagraphFont"/>
    <w:rsid w:val="004619BB"/>
  </w:style>
  <w:style w:type="paragraph" w:customStyle="1" w:styleId="Footer-Professional">
    <w:name w:val="Footer - Professional"/>
    <w:basedOn w:val="Footer"/>
    <w:rsid w:val="004619BB"/>
    <w:pPr>
      <w:pBdr>
        <w:top w:val="single" w:sz="36" w:space="1" w:color="000080"/>
      </w:pBdr>
      <w:tabs>
        <w:tab w:val="clear" w:pos="4680"/>
        <w:tab w:val="clear" w:pos="9360"/>
        <w:tab w:val="center" w:pos="4320"/>
        <w:tab w:val="right" w:pos="8640"/>
      </w:tabs>
      <w:jc w:val="center"/>
    </w:pPr>
    <w:rPr>
      <w:rFonts w:ascii="Arial Black" w:eastAsia="Times New Roman" w:hAnsi="Arial Black"/>
      <w:color w:val="000080"/>
      <w:sz w:val="16"/>
    </w:rPr>
  </w:style>
  <w:style w:type="character" w:styleId="CommentReference">
    <w:name w:val="annotation reference"/>
    <w:basedOn w:val="DefaultParagraphFont"/>
    <w:unhideWhenUsed/>
    <w:rsid w:val="004619BB"/>
    <w:rPr>
      <w:sz w:val="16"/>
      <w:szCs w:val="16"/>
    </w:rPr>
  </w:style>
  <w:style w:type="paragraph" w:styleId="CommentText">
    <w:name w:val="annotation text"/>
    <w:basedOn w:val="Normal"/>
    <w:link w:val="CommentTextChar"/>
    <w:unhideWhenUsed/>
    <w:rsid w:val="004619BB"/>
    <w:pPr>
      <w:spacing w:line="240" w:lineRule="auto"/>
    </w:pPr>
  </w:style>
  <w:style w:type="character" w:customStyle="1" w:styleId="CommentTextChar">
    <w:name w:val="Comment Text Char"/>
    <w:basedOn w:val="DefaultParagraphFont"/>
    <w:link w:val="CommentText"/>
    <w:rsid w:val="004619BB"/>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619BB"/>
    <w:rPr>
      <w:b/>
      <w:bCs/>
    </w:rPr>
  </w:style>
  <w:style w:type="character" w:customStyle="1" w:styleId="CommentSubjectChar">
    <w:name w:val="Comment Subject Char"/>
    <w:basedOn w:val="CommentTextChar"/>
    <w:link w:val="CommentSubject"/>
    <w:uiPriority w:val="99"/>
    <w:semiHidden/>
    <w:rsid w:val="004619BB"/>
    <w:rPr>
      <w:rFonts w:ascii="Calibri" w:hAnsi="Calibri" w:cs="Times New Roman"/>
      <w:b/>
      <w:bCs/>
      <w:sz w:val="20"/>
      <w:szCs w:val="20"/>
    </w:rPr>
  </w:style>
  <w:style w:type="character" w:styleId="FollowedHyperlink">
    <w:name w:val="FollowedHyperlink"/>
    <w:basedOn w:val="DefaultParagraphFont"/>
    <w:uiPriority w:val="99"/>
    <w:semiHidden/>
    <w:unhideWhenUsed/>
    <w:rsid w:val="009510D6"/>
    <w:rPr>
      <w:color w:val="800080" w:themeColor="followedHyperlink"/>
      <w:u w:val="single"/>
    </w:rPr>
  </w:style>
  <w:style w:type="table" w:styleId="TableGrid">
    <w:name w:val="Table Grid"/>
    <w:basedOn w:val="TableNormal"/>
    <w:uiPriority w:val="59"/>
    <w:rsid w:val="00A8555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semiHidden/>
    <w:unhideWhenUsed/>
    <w:qFormat/>
    <w:rsid w:val="00CB2A2E"/>
    <w:pPr>
      <w:spacing w:after="0" w:line="240" w:lineRule="auto"/>
    </w:pPr>
    <w:rPr>
      <w:rFonts w:eastAsiaTheme="minorHAnsi"/>
      <w:color w:val="000000"/>
      <w:szCs w:val="24"/>
    </w:rPr>
  </w:style>
  <w:style w:type="paragraph" w:customStyle="1" w:styleId="BulletText1">
    <w:name w:val="Bullet Text 1"/>
    <w:basedOn w:val="Normal"/>
    <w:qFormat/>
    <w:rsid w:val="00CB2A2E"/>
    <w:pPr>
      <w:numPr>
        <w:numId w:val="1"/>
      </w:numPr>
      <w:spacing w:after="0" w:line="240" w:lineRule="auto"/>
    </w:pPr>
    <w:rPr>
      <w:rFonts w:eastAsiaTheme="minorHAnsi"/>
      <w:color w:val="000000"/>
      <w:szCs w:val="24"/>
    </w:rPr>
  </w:style>
  <w:style w:type="paragraph" w:customStyle="1" w:styleId="BulletText2">
    <w:name w:val="Bullet Text 2"/>
    <w:basedOn w:val="Normal"/>
    <w:uiPriority w:val="99"/>
    <w:rsid w:val="00CB2A2E"/>
    <w:pPr>
      <w:numPr>
        <w:numId w:val="2"/>
      </w:numPr>
      <w:spacing w:after="0" w:line="240" w:lineRule="auto"/>
    </w:pPr>
    <w:rPr>
      <w:rFonts w:eastAsiaTheme="minorHAnsi"/>
      <w:color w:val="000000"/>
      <w:szCs w:val="24"/>
    </w:rPr>
  </w:style>
  <w:style w:type="paragraph" w:customStyle="1" w:styleId="TableText">
    <w:name w:val="Table Text"/>
    <w:basedOn w:val="Normal"/>
    <w:uiPriority w:val="99"/>
    <w:rsid w:val="00CB2A2E"/>
    <w:pPr>
      <w:spacing w:after="0" w:line="240" w:lineRule="auto"/>
    </w:pPr>
    <w:rPr>
      <w:rFonts w:eastAsiaTheme="minorHAnsi"/>
      <w:color w:val="000000"/>
      <w:szCs w:val="24"/>
    </w:rPr>
  </w:style>
  <w:style w:type="paragraph" w:styleId="Revision">
    <w:name w:val="Revision"/>
    <w:hidden/>
    <w:uiPriority w:val="99"/>
    <w:semiHidden/>
    <w:rsid w:val="008B7A07"/>
    <w:pPr>
      <w:spacing w:after="0" w:line="240" w:lineRule="auto"/>
    </w:pPr>
    <w:rPr>
      <w:rFonts w:ascii="Calibri" w:hAnsi="Calibri" w:cs="Times New Roman"/>
      <w:sz w:val="20"/>
      <w:szCs w:val="20"/>
    </w:rPr>
  </w:style>
  <w:style w:type="paragraph" w:styleId="NormalWeb">
    <w:name w:val="Normal (Web)"/>
    <w:basedOn w:val="Normal"/>
    <w:uiPriority w:val="99"/>
    <w:unhideWhenUsed/>
    <w:rsid w:val="008E4387"/>
    <w:pPr>
      <w:spacing w:before="100" w:beforeAutospacing="1" w:after="100" w:afterAutospacing="1" w:line="240" w:lineRule="auto"/>
    </w:pPr>
    <w:rPr>
      <w:rFonts w:eastAsiaTheme="minorHAnsi"/>
      <w:szCs w:val="24"/>
    </w:rPr>
  </w:style>
  <w:style w:type="character" w:customStyle="1" w:styleId="id-mask">
    <w:name w:val="id-mask"/>
    <w:basedOn w:val="DefaultParagraphFont"/>
    <w:rsid w:val="001E5258"/>
  </w:style>
  <w:style w:type="paragraph" w:styleId="BodyText">
    <w:name w:val="Body Text"/>
    <w:basedOn w:val="Normal"/>
    <w:link w:val="BodyTextChar"/>
    <w:semiHidden/>
    <w:unhideWhenUsed/>
    <w:rsid w:val="001E5258"/>
    <w:pPr>
      <w:spacing w:after="120" w:line="240" w:lineRule="auto"/>
    </w:pPr>
    <w:rPr>
      <w:rFonts w:eastAsia="Times New Roman"/>
    </w:rPr>
  </w:style>
  <w:style w:type="character" w:customStyle="1" w:styleId="BodyTextChar">
    <w:name w:val="Body Text Char"/>
    <w:basedOn w:val="DefaultParagraphFont"/>
    <w:link w:val="BodyText"/>
    <w:semiHidden/>
    <w:rsid w:val="001E5258"/>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rsid w:val="00D71C45"/>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D71C45"/>
    <w:rPr>
      <w:caps/>
      <w:color w:val="622423" w:themeColor="accent2" w:themeShade="7F"/>
      <w:sz w:val="24"/>
      <w:szCs w:val="24"/>
    </w:rPr>
  </w:style>
  <w:style w:type="character" w:customStyle="1" w:styleId="Heading4Char">
    <w:name w:val="Heading 4 Char"/>
    <w:basedOn w:val="DefaultParagraphFont"/>
    <w:link w:val="Heading4"/>
    <w:uiPriority w:val="9"/>
    <w:semiHidden/>
    <w:rsid w:val="00D71C45"/>
    <w:rPr>
      <w:caps/>
      <w:color w:val="622423" w:themeColor="accent2" w:themeShade="7F"/>
      <w:spacing w:val="10"/>
    </w:rPr>
  </w:style>
  <w:style w:type="character" w:customStyle="1" w:styleId="Heading5Char">
    <w:name w:val="Heading 5 Char"/>
    <w:basedOn w:val="DefaultParagraphFont"/>
    <w:link w:val="Heading5"/>
    <w:uiPriority w:val="9"/>
    <w:semiHidden/>
    <w:rsid w:val="00D71C45"/>
    <w:rPr>
      <w:caps/>
      <w:color w:val="622423" w:themeColor="accent2" w:themeShade="7F"/>
      <w:spacing w:val="10"/>
    </w:rPr>
  </w:style>
  <w:style w:type="character" w:customStyle="1" w:styleId="Heading6Char">
    <w:name w:val="Heading 6 Char"/>
    <w:basedOn w:val="DefaultParagraphFont"/>
    <w:link w:val="Heading6"/>
    <w:uiPriority w:val="9"/>
    <w:semiHidden/>
    <w:rsid w:val="00D71C45"/>
    <w:rPr>
      <w:caps/>
      <w:color w:val="943634" w:themeColor="accent2" w:themeShade="BF"/>
      <w:spacing w:val="10"/>
    </w:rPr>
  </w:style>
  <w:style w:type="character" w:customStyle="1" w:styleId="Heading7Char">
    <w:name w:val="Heading 7 Char"/>
    <w:basedOn w:val="DefaultParagraphFont"/>
    <w:link w:val="Heading7"/>
    <w:uiPriority w:val="9"/>
    <w:semiHidden/>
    <w:rsid w:val="00D71C45"/>
    <w:rPr>
      <w:i/>
      <w:iCs/>
      <w:caps/>
      <w:color w:val="943634" w:themeColor="accent2" w:themeShade="BF"/>
      <w:spacing w:val="10"/>
    </w:rPr>
  </w:style>
  <w:style w:type="character" w:customStyle="1" w:styleId="Heading8Char">
    <w:name w:val="Heading 8 Char"/>
    <w:basedOn w:val="DefaultParagraphFont"/>
    <w:link w:val="Heading8"/>
    <w:uiPriority w:val="9"/>
    <w:semiHidden/>
    <w:rsid w:val="00D71C45"/>
    <w:rPr>
      <w:caps/>
      <w:spacing w:val="10"/>
      <w:sz w:val="20"/>
      <w:szCs w:val="20"/>
    </w:rPr>
  </w:style>
  <w:style w:type="character" w:customStyle="1" w:styleId="Heading9Char">
    <w:name w:val="Heading 9 Char"/>
    <w:basedOn w:val="DefaultParagraphFont"/>
    <w:link w:val="Heading9"/>
    <w:uiPriority w:val="9"/>
    <w:semiHidden/>
    <w:rsid w:val="00D71C45"/>
    <w:rPr>
      <w:i/>
      <w:iCs/>
      <w:caps/>
      <w:spacing w:val="10"/>
      <w:sz w:val="20"/>
      <w:szCs w:val="20"/>
    </w:rPr>
  </w:style>
  <w:style w:type="paragraph" w:styleId="Caption">
    <w:name w:val="caption"/>
    <w:basedOn w:val="Normal"/>
    <w:next w:val="Normal"/>
    <w:uiPriority w:val="35"/>
    <w:semiHidden/>
    <w:unhideWhenUsed/>
    <w:qFormat/>
    <w:rsid w:val="00D71C45"/>
    <w:rPr>
      <w:caps/>
      <w:spacing w:val="10"/>
      <w:sz w:val="18"/>
      <w:szCs w:val="18"/>
    </w:rPr>
  </w:style>
  <w:style w:type="paragraph" w:styleId="Title">
    <w:name w:val="Title"/>
    <w:basedOn w:val="Normal"/>
    <w:next w:val="Normal"/>
    <w:link w:val="TitleChar"/>
    <w:uiPriority w:val="10"/>
    <w:qFormat/>
    <w:rsid w:val="00D71C45"/>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D71C45"/>
    <w:rPr>
      <w:caps/>
      <w:color w:val="632423" w:themeColor="accent2" w:themeShade="80"/>
      <w:spacing w:val="50"/>
      <w:sz w:val="44"/>
      <w:szCs w:val="44"/>
    </w:rPr>
  </w:style>
  <w:style w:type="paragraph" w:styleId="Subtitle">
    <w:name w:val="Subtitle"/>
    <w:basedOn w:val="Normal"/>
    <w:next w:val="Normal"/>
    <w:link w:val="SubtitleChar"/>
    <w:uiPriority w:val="11"/>
    <w:qFormat/>
    <w:rsid w:val="00D71C45"/>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D71C45"/>
    <w:rPr>
      <w:caps/>
      <w:spacing w:val="20"/>
      <w:sz w:val="18"/>
      <w:szCs w:val="18"/>
    </w:rPr>
  </w:style>
  <w:style w:type="character" w:styleId="Strong">
    <w:name w:val="Strong"/>
    <w:uiPriority w:val="22"/>
    <w:qFormat/>
    <w:rsid w:val="00D71C45"/>
    <w:rPr>
      <w:b/>
      <w:bCs/>
      <w:color w:val="943634" w:themeColor="accent2" w:themeShade="BF"/>
      <w:spacing w:val="5"/>
    </w:rPr>
  </w:style>
  <w:style w:type="character" w:styleId="Emphasis">
    <w:name w:val="Emphasis"/>
    <w:uiPriority w:val="20"/>
    <w:qFormat/>
    <w:rsid w:val="00D71C45"/>
    <w:rPr>
      <w:caps/>
      <w:spacing w:val="5"/>
      <w:sz w:val="20"/>
      <w:szCs w:val="20"/>
    </w:rPr>
  </w:style>
  <w:style w:type="character" w:customStyle="1" w:styleId="NoSpacingChar">
    <w:name w:val="No Spacing Char"/>
    <w:basedOn w:val="DefaultParagraphFont"/>
    <w:link w:val="NoSpacing"/>
    <w:uiPriority w:val="1"/>
    <w:rsid w:val="00113106"/>
    <w:rPr>
      <w:rFonts w:ascii="Times New Roman" w:hAnsi="Times New Roman"/>
      <w:sz w:val="24"/>
    </w:rPr>
  </w:style>
  <w:style w:type="paragraph" w:styleId="Quote">
    <w:name w:val="Quote"/>
    <w:basedOn w:val="Normal"/>
    <w:next w:val="Normal"/>
    <w:link w:val="QuoteChar"/>
    <w:uiPriority w:val="29"/>
    <w:qFormat/>
    <w:rsid w:val="00D71C45"/>
    <w:rPr>
      <w:i/>
      <w:iCs/>
    </w:rPr>
  </w:style>
  <w:style w:type="character" w:customStyle="1" w:styleId="QuoteChar">
    <w:name w:val="Quote Char"/>
    <w:basedOn w:val="DefaultParagraphFont"/>
    <w:link w:val="Quote"/>
    <w:uiPriority w:val="29"/>
    <w:rsid w:val="00D71C45"/>
    <w:rPr>
      <w:i/>
      <w:iCs/>
    </w:rPr>
  </w:style>
  <w:style w:type="paragraph" w:styleId="IntenseQuote">
    <w:name w:val="Intense Quote"/>
    <w:basedOn w:val="Normal"/>
    <w:next w:val="Normal"/>
    <w:link w:val="IntenseQuoteChar"/>
    <w:uiPriority w:val="30"/>
    <w:qFormat/>
    <w:rsid w:val="00D71C45"/>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D71C45"/>
    <w:rPr>
      <w:caps/>
      <w:color w:val="622423" w:themeColor="accent2" w:themeShade="7F"/>
      <w:spacing w:val="5"/>
      <w:sz w:val="20"/>
      <w:szCs w:val="20"/>
    </w:rPr>
  </w:style>
  <w:style w:type="character" w:styleId="SubtleEmphasis">
    <w:name w:val="Subtle Emphasis"/>
    <w:uiPriority w:val="19"/>
    <w:qFormat/>
    <w:rsid w:val="00D71C45"/>
    <w:rPr>
      <w:i/>
      <w:iCs/>
    </w:rPr>
  </w:style>
  <w:style w:type="character" w:styleId="IntenseEmphasis">
    <w:name w:val="Intense Emphasis"/>
    <w:uiPriority w:val="21"/>
    <w:qFormat/>
    <w:rsid w:val="00D71C45"/>
    <w:rPr>
      <w:i/>
      <w:iCs/>
      <w:caps/>
      <w:spacing w:val="10"/>
      <w:sz w:val="20"/>
      <w:szCs w:val="20"/>
    </w:rPr>
  </w:style>
  <w:style w:type="character" w:styleId="SubtleReference">
    <w:name w:val="Subtle Reference"/>
    <w:basedOn w:val="DefaultParagraphFont"/>
    <w:uiPriority w:val="31"/>
    <w:qFormat/>
    <w:rsid w:val="00D71C45"/>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D71C45"/>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D71C45"/>
    <w:rPr>
      <w:caps/>
      <w:color w:val="622423" w:themeColor="accent2" w:themeShade="7F"/>
      <w:spacing w:val="5"/>
      <w:u w:color="622423" w:themeColor="accent2" w:themeShade="7F"/>
    </w:rPr>
  </w:style>
  <w:style w:type="paragraph" w:customStyle="1" w:styleId="Default">
    <w:name w:val="Default"/>
    <w:rsid w:val="003A1509"/>
    <w:pPr>
      <w:autoSpaceDE w:val="0"/>
      <w:autoSpaceDN w:val="0"/>
      <w:adjustRightInd w:val="0"/>
      <w:spacing w:after="0" w:line="240" w:lineRule="auto"/>
    </w:pPr>
    <w:rPr>
      <w:rFonts w:ascii="Century Schoolbook" w:eastAsiaTheme="minorHAnsi" w:hAnsi="Century Schoolbook" w:cs="Century Schoolbook"/>
      <w:color w:val="000000"/>
      <w:sz w:val="24"/>
      <w:szCs w:val="24"/>
    </w:rPr>
  </w:style>
  <w:style w:type="character" w:customStyle="1" w:styleId="bodytext0">
    <w:name w:val="bodytext"/>
    <w:basedOn w:val="DefaultParagraphFont"/>
    <w:rsid w:val="00D91E0D"/>
    <w:rPr>
      <w:sz w:val="17"/>
      <w:szCs w:val="17"/>
    </w:rPr>
  </w:style>
  <w:style w:type="character" w:customStyle="1" w:styleId="divisionheadertext3">
    <w:name w:val="divisionheadertext3"/>
    <w:basedOn w:val="DefaultParagraphFont"/>
    <w:rsid w:val="00D91E0D"/>
    <w:rPr>
      <w:rFonts w:ascii="Arial" w:hAnsi="Arial" w:cs="Arial" w:hint="default"/>
      <w:b w:val="0"/>
      <w:bCs w:val="0"/>
      <w:i w:val="0"/>
      <w:iCs w:val="0"/>
      <w:strike w:val="0"/>
      <w:dstrike w:val="0"/>
      <w:color w:val="000000"/>
      <w:sz w:val="27"/>
      <w:szCs w:val="27"/>
      <w:u w:val="none"/>
      <w:effect w:val="none"/>
    </w:rPr>
  </w:style>
  <w:style w:type="paragraph" w:styleId="PlainText">
    <w:name w:val="Plain Text"/>
    <w:basedOn w:val="Normal"/>
    <w:link w:val="PlainTextChar"/>
    <w:uiPriority w:val="99"/>
    <w:unhideWhenUsed/>
    <w:rsid w:val="006829EA"/>
    <w:pPr>
      <w:spacing w:after="0" w:line="240" w:lineRule="auto"/>
    </w:pPr>
    <w:rPr>
      <w:rFonts w:ascii="Calibri" w:eastAsiaTheme="minorHAnsi" w:hAnsi="Calibri" w:cs="Times New Roman"/>
      <w:sz w:val="22"/>
    </w:rPr>
  </w:style>
  <w:style w:type="character" w:customStyle="1" w:styleId="PlainTextChar">
    <w:name w:val="Plain Text Char"/>
    <w:basedOn w:val="DefaultParagraphFont"/>
    <w:link w:val="PlainText"/>
    <w:uiPriority w:val="99"/>
    <w:rsid w:val="006829EA"/>
    <w:rPr>
      <w:rFonts w:ascii="Calibri" w:eastAsiaTheme="minorHAnsi" w:hAnsi="Calibri" w:cs="Times New Roman"/>
    </w:rPr>
  </w:style>
  <w:style w:type="table" w:customStyle="1" w:styleId="TableGrid1">
    <w:name w:val="Table Grid1"/>
    <w:basedOn w:val="TableNormal"/>
    <w:next w:val="TableGrid"/>
    <w:uiPriority w:val="59"/>
    <w:rsid w:val="00BA7E31"/>
    <w:pPr>
      <w:widowControl w:val="0"/>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CF0D93"/>
    <w:pPr>
      <w:spacing w:after="100"/>
      <w:ind w:left="240"/>
    </w:pPr>
  </w:style>
  <w:style w:type="character" w:styleId="UnresolvedMention">
    <w:name w:val="Unresolved Mention"/>
    <w:basedOn w:val="DefaultParagraphFont"/>
    <w:uiPriority w:val="99"/>
    <w:semiHidden/>
    <w:unhideWhenUsed/>
    <w:rsid w:val="00C8533D"/>
    <w:rPr>
      <w:color w:val="808080"/>
      <w:shd w:val="clear" w:color="auto" w:fill="E6E6E6"/>
    </w:rPr>
  </w:style>
  <w:style w:type="paragraph" w:customStyle="1" w:styleId="ng-scope">
    <w:name w:val="ng-scope"/>
    <w:basedOn w:val="Normal"/>
    <w:rsid w:val="00BD2335"/>
    <w:pPr>
      <w:spacing w:before="100" w:beforeAutospacing="1" w:after="100" w:afterAutospacing="1" w:line="240" w:lineRule="auto"/>
    </w:pPr>
    <w:rPr>
      <w:rFonts w:eastAsia="Times New Roman" w:cs="Times New Roman"/>
      <w:szCs w:val="24"/>
    </w:rPr>
  </w:style>
  <w:style w:type="character" w:customStyle="1" w:styleId="ListParagraphChar">
    <w:name w:val="List Paragraph Char"/>
    <w:link w:val="ListParagraph"/>
    <w:uiPriority w:val="34"/>
    <w:locked/>
    <w:rsid w:val="00B06081"/>
    <w:rPr>
      <w:rFonts w:ascii="Times New Roman" w:hAnsi="Times New Roman"/>
      <w:sz w:val="24"/>
    </w:rPr>
  </w:style>
  <w:style w:type="paragraph" w:styleId="TOC3">
    <w:name w:val="toc 3"/>
    <w:basedOn w:val="Normal"/>
    <w:next w:val="Normal"/>
    <w:autoRedefine/>
    <w:uiPriority w:val="39"/>
    <w:unhideWhenUsed/>
    <w:rsid w:val="00A47A55"/>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6600">
      <w:bodyDiv w:val="1"/>
      <w:marLeft w:val="0"/>
      <w:marRight w:val="0"/>
      <w:marTop w:val="0"/>
      <w:marBottom w:val="0"/>
      <w:divBdr>
        <w:top w:val="none" w:sz="0" w:space="0" w:color="auto"/>
        <w:left w:val="none" w:sz="0" w:space="0" w:color="auto"/>
        <w:bottom w:val="none" w:sz="0" w:space="0" w:color="auto"/>
        <w:right w:val="none" w:sz="0" w:space="0" w:color="auto"/>
      </w:divBdr>
    </w:div>
    <w:div w:id="61830501">
      <w:bodyDiv w:val="1"/>
      <w:marLeft w:val="0"/>
      <w:marRight w:val="0"/>
      <w:marTop w:val="0"/>
      <w:marBottom w:val="0"/>
      <w:divBdr>
        <w:top w:val="none" w:sz="0" w:space="0" w:color="auto"/>
        <w:left w:val="none" w:sz="0" w:space="0" w:color="auto"/>
        <w:bottom w:val="none" w:sz="0" w:space="0" w:color="auto"/>
        <w:right w:val="none" w:sz="0" w:space="0" w:color="auto"/>
      </w:divBdr>
    </w:div>
    <w:div w:id="88353017">
      <w:bodyDiv w:val="1"/>
      <w:marLeft w:val="0"/>
      <w:marRight w:val="0"/>
      <w:marTop w:val="0"/>
      <w:marBottom w:val="0"/>
      <w:divBdr>
        <w:top w:val="none" w:sz="0" w:space="0" w:color="auto"/>
        <w:left w:val="none" w:sz="0" w:space="0" w:color="auto"/>
        <w:bottom w:val="none" w:sz="0" w:space="0" w:color="auto"/>
        <w:right w:val="none" w:sz="0" w:space="0" w:color="auto"/>
      </w:divBdr>
    </w:div>
    <w:div w:id="110712323">
      <w:bodyDiv w:val="1"/>
      <w:marLeft w:val="0"/>
      <w:marRight w:val="0"/>
      <w:marTop w:val="0"/>
      <w:marBottom w:val="0"/>
      <w:divBdr>
        <w:top w:val="none" w:sz="0" w:space="0" w:color="auto"/>
        <w:left w:val="none" w:sz="0" w:space="0" w:color="auto"/>
        <w:bottom w:val="none" w:sz="0" w:space="0" w:color="auto"/>
        <w:right w:val="none" w:sz="0" w:space="0" w:color="auto"/>
      </w:divBdr>
    </w:div>
    <w:div w:id="114719982">
      <w:bodyDiv w:val="1"/>
      <w:marLeft w:val="0"/>
      <w:marRight w:val="0"/>
      <w:marTop w:val="0"/>
      <w:marBottom w:val="0"/>
      <w:divBdr>
        <w:top w:val="none" w:sz="0" w:space="0" w:color="auto"/>
        <w:left w:val="none" w:sz="0" w:space="0" w:color="auto"/>
        <w:bottom w:val="none" w:sz="0" w:space="0" w:color="auto"/>
        <w:right w:val="none" w:sz="0" w:space="0" w:color="auto"/>
      </w:divBdr>
    </w:div>
    <w:div w:id="118257932">
      <w:bodyDiv w:val="1"/>
      <w:marLeft w:val="0"/>
      <w:marRight w:val="0"/>
      <w:marTop w:val="0"/>
      <w:marBottom w:val="0"/>
      <w:divBdr>
        <w:top w:val="none" w:sz="0" w:space="0" w:color="auto"/>
        <w:left w:val="none" w:sz="0" w:space="0" w:color="auto"/>
        <w:bottom w:val="none" w:sz="0" w:space="0" w:color="auto"/>
        <w:right w:val="none" w:sz="0" w:space="0" w:color="auto"/>
      </w:divBdr>
    </w:div>
    <w:div w:id="118846020">
      <w:bodyDiv w:val="1"/>
      <w:marLeft w:val="0"/>
      <w:marRight w:val="0"/>
      <w:marTop w:val="0"/>
      <w:marBottom w:val="0"/>
      <w:divBdr>
        <w:top w:val="none" w:sz="0" w:space="0" w:color="auto"/>
        <w:left w:val="none" w:sz="0" w:space="0" w:color="auto"/>
        <w:bottom w:val="none" w:sz="0" w:space="0" w:color="auto"/>
        <w:right w:val="none" w:sz="0" w:space="0" w:color="auto"/>
      </w:divBdr>
    </w:div>
    <w:div w:id="131216396">
      <w:bodyDiv w:val="1"/>
      <w:marLeft w:val="0"/>
      <w:marRight w:val="0"/>
      <w:marTop w:val="0"/>
      <w:marBottom w:val="0"/>
      <w:divBdr>
        <w:top w:val="none" w:sz="0" w:space="0" w:color="auto"/>
        <w:left w:val="none" w:sz="0" w:space="0" w:color="auto"/>
        <w:bottom w:val="none" w:sz="0" w:space="0" w:color="auto"/>
        <w:right w:val="none" w:sz="0" w:space="0" w:color="auto"/>
      </w:divBdr>
    </w:div>
    <w:div w:id="154079540">
      <w:bodyDiv w:val="1"/>
      <w:marLeft w:val="0"/>
      <w:marRight w:val="0"/>
      <w:marTop w:val="0"/>
      <w:marBottom w:val="0"/>
      <w:divBdr>
        <w:top w:val="none" w:sz="0" w:space="0" w:color="auto"/>
        <w:left w:val="none" w:sz="0" w:space="0" w:color="auto"/>
        <w:bottom w:val="none" w:sz="0" w:space="0" w:color="auto"/>
        <w:right w:val="none" w:sz="0" w:space="0" w:color="auto"/>
      </w:divBdr>
    </w:div>
    <w:div w:id="165487553">
      <w:bodyDiv w:val="1"/>
      <w:marLeft w:val="0"/>
      <w:marRight w:val="0"/>
      <w:marTop w:val="0"/>
      <w:marBottom w:val="0"/>
      <w:divBdr>
        <w:top w:val="none" w:sz="0" w:space="0" w:color="auto"/>
        <w:left w:val="none" w:sz="0" w:space="0" w:color="auto"/>
        <w:bottom w:val="none" w:sz="0" w:space="0" w:color="auto"/>
        <w:right w:val="none" w:sz="0" w:space="0" w:color="auto"/>
      </w:divBdr>
      <w:divsChild>
        <w:div w:id="2031907761">
          <w:marLeft w:val="0"/>
          <w:marRight w:val="0"/>
          <w:marTop w:val="0"/>
          <w:marBottom w:val="0"/>
          <w:divBdr>
            <w:top w:val="none" w:sz="0" w:space="0" w:color="auto"/>
            <w:left w:val="none" w:sz="0" w:space="0" w:color="auto"/>
            <w:bottom w:val="none" w:sz="0" w:space="0" w:color="auto"/>
            <w:right w:val="none" w:sz="0" w:space="0" w:color="auto"/>
          </w:divBdr>
          <w:divsChild>
            <w:div w:id="441726596">
              <w:marLeft w:val="0"/>
              <w:marRight w:val="0"/>
              <w:marTop w:val="0"/>
              <w:marBottom w:val="0"/>
              <w:divBdr>
                <w:top w:val="none" w:sz="0" w:space="0" w:color="auto"/>
                <w:left w:val="none" w:sz="0" w:space="0" w:color="auto"/>
                <w:bottom w:val="none" w:sz="0" w:space="0" w:color="auto"/>
                <w:right w:val="none" w:sz="0" w:space="0" w:color="auto"/>
              </w:divBdr>
              <w:divsChild>
                <w:div w:id="956109846">
                  <w:marLeft w:val="0"/>
                  <w:marRight w:val="0"/>
                  <w:marTop w:val="0"/>
                  <w:marBottom w:val="0"/>
                  <w:divBdr>
                    <w:top w:val="none" w:sz="0" w:space="0" w:color="auto"/>
                    <w:left w:val="none" w:sz="0" w:space="0" w:color="auto"/>
                    <w:bottom w:val="none" w:sz="0" w:space="0" w:color="auto"/>
                    <w:right w:val="none" w:sz="0" w:space="0" w:color="auto"/>
                  </w:divBdr>
                  <w:divsChild>
                    <w:div w:id="676615102">
                      <w:marLeft w:val="0"/>
                      <w:marRight w:val="0"/>
                      <w:marTop w:val="0"/>
                      <w:marBottom w:val="0"/>
                      <w:divBdr>
                        <w:top w:val="none" w:sz="0" w:space="0" w:color="auto"/>
                        <w:left w:val="none" w:sz="0" w:space="0" w:color="auto"/>
                        <w:bottom w:val="none" w:sz="0" w:space="0" w:color="auto"/>
                        <w:right w:val="none" w:sz="0" w:space="0" w:color="auto"/>
                      </w:divBdr>
                      <w:divsChild>
                        <w:div w:id="1023165779">
                          <w:marLeft w:val="0"/>
                          <w:marRight w:val="0"/>
                          <w:marTop w:val="0"/>
                          <w:marBottom w:val="0"/>
                          <w:divBdr>
                            <w:top w:val="none" w:sz="0" w:space="0" w:color="auto"/>
                            <w:left w:val="none" w:sz="0" w:space="0" w:color="auto"/>
                            <w:bottom w:val="none" w:sz="0" w:space="0" w:color="auto"/>
                            <w:right w:val="none" w:sz="0" w:space="0" w:color="auto"/>
                          </w:divBdr>
                          <w:divsChild>
                            <w:div w:id="1718822973">
                              <w:marLeft w:val="0"/>
                              <w:marRight w:val="0"/>
                              <w:marTop w:val="0"/>
                              <w:marBottom w:val="0"/>
                              <w:divBdr>
                                <w:top w:val="none" w:sz="0" w:space="0" w:color="auto"/>
                                <w:left w:val="none" w:sz="0" w:space="0" w:color="auto"/>
                                <w:bottom w:val="none" w:sz="0" w:space="0" w:color="auto"/>
                                <w:right w:val="none" w:sz="0" w:space="0" w:color="auto"/>
                              </w:divBdr>
                              <w:divsChild>
                                <w:div w:id="2128617413">
                                  <w:marLeft w:val="0"/>
                                  <w:marRight w:val="0"/>
                                  <w:marTop w:val="0"/>
                                  <w:marBottom w:val="0"/>
                                  <w:divBdr>
                                    <w:top w:val="none" w:sz="0" w:space="0" w:color="auto"/>
                                    <w:left w:val="none" w:sz="0" w:space="0" w:color="auto"/>
                                    <w:bottom w:val="none" w:sz="0" w:space="0" w:color="auto"/>
                                    <w:right w:val="none" w:sz="0" w:space="0" w:color="auto"/>
                                  </w:divBdr>
                                  <w:divsChild>
                                    <w:div w:id="730268912">
                                      <w:marLeft w:val="0"/>
                                      <w:marRight w:val="0"/>
                                      <w:marTop w:val="0"/>
                                      <w:marBottom w:val="0"/>
                                      <w:divBdr>
                                        <w:top w:val="none" w:sz="0" w:space="0" w:color="auto"/>
                                        <w:left w:val="none" w:sz="0" w:space="0" w:color="auto"/>
                                        <w:bottom w:val="none" w:sz="0" w:space="0" w:color="auto"/>
                                        <w:right w:val="none" w:sz="0" w:space="0" w:color="auto"/>
                                      </w:divBdr>
                                      <w:divsChild>
                                        <w:div w:id="700591352">
                                          <w:marLeft w:val="0"/>
                                          <w:marRight w:val="0"/>
                                          <w:marTop w:val="0"/>
                                          <w:marBottom w:val="0"/>
                                          <w:divBdr>
                                            <w:top w:val="none" w:sz="0" w:space="0" w:color="auto"/>
                                            <w:left w:val="none" w:sz="0" w:space="0" w:color="auto"/>
                                            <w:bottom w:val="none" w:sz="0" w:space="0" w:color="auto"/>
                                            <w:right w:val="none" w:sz="0" w:space="0" w:color="auto"/>
                                          </w:divBdr>
                                          <w:divsChild>
                                            <w:div w:id="1355612825">
                                              <w:marLeft w:val="0"/>
                                              <w:marRight w:val="0"/>
                                              <w:marTop w:val="0"/>
                                              <w:marBottom w:val="0"/>
                                              <w:divBdr>
                                                <w:top w:val="none" w:sz="0" w:space="0" w:color="auto"/>
                                                <w:left w:val="none" w:sz="0" w:space="0" w:color="auto"/>
                                                <w:bottom w:val="none" w:sz="0" w:space="0" w:color="auto"/>
                                                <w:right w:val="none" w:sz="0" w:space="0" w:color="auto"/>
                                              </w:divBdr>
                                              <w:divsChild>
                                                <w:div w:id="1563830717">
                                                  <w:marLeft w:val="0"/>
                                                  <w:marRight w:val="0"/>
                                                  <w:marTop w:val="0"/>
                                                  <w:marBottom w:val="0"/>
                                                  <w:divBdr>
                                                    <w:top w:val="none" w:sz="0" w:space="0" w:color="auto"/>
                                                    <w:left w:val="none" w:sz="0" w:space="0" w:color="auto"/>
                                                    <w:bottom w:val="none" w:sz="0" w:space="0" w:color="auto"/>
                                                    <w:right w:val="none" w:sz="0" w:space="0" w:color="auto"/>
                                                  </w:divBdr>
                                                  <w:divsChild>
                                                    <w:div w:id="17317511">
                                                      <w:marLeft w:val="0"/>
                                                      <w:marRight w:val="0"/>
                                                      <w:marTop w:val="0"/>
                                                      <w:marBottom w:val="0"/>
                                                      <w:divBdr>
                                                        <w:top w:val="none" w:sz="0" w:space="0" w:color="auto"/>
                                                        <w:left w:val="none" w:sz="0" w:space="0" w:color="auto"/>
                                                        <w:bottom w:val="none" w:sz="0" w:space="0" w:color="auto"/>
                                                        <w:right w:val="none" w:sz="0" w:space="0" w:color="auto"/>
                                                      </w:divBdr>
                                                      <w:divsChild>
                                                        <w:div w:id="296037419">
                                                          <w:marLeft w:val="0"/>
                                                          <w:marRight w:val="0"/>
                                                          <w:marTop w:val="0"/>
                                                          <w:marBottom w:val="0"/>
                                                          <w:divBdr>
                                                            <w:top w:val="none" w:sz="0" w:space="0" w:color="auto"/>
                                                            <w:left w:val="none" w:sz="0" w:space="0" w:color="auto"/>
                                                            <w:bottom w:val="none" w:sz="0" w:space="0" w:color="auto"/>
                                                            <w:right w:val="none" w:sz="0" w:space="0" w:color="auto"/>
                                                          </w:divBdr>
                                                          <w:divsChild>
                                                            <w:div w:id="1176580587">
                                                              <w:marLeft w:val="0"/>
                                                              <w:marRight w:val="0"/>
                                                              <w:marTop w:val="0"/>
                                                              <w:marBottom w:val="0"/>
                                                              <w:divBdr>
                                                                <w:top w:val="none" w:sz="0" w:space="0" w:color="auto"/>
                                                                <w:left w:val="none" w:sz="0" w:space="0" w:color="auto"/>
                                                                <w:bottom w:val="none" w:sz="0" w:space="0" w:color="auto"/>
                                                                <w:right w:val="none" w:sz="0" w:space="0" w:color="auto"/>
                                                              </w:divBdr>
                                                              <w:divsChild>
                                                                <w:div w:id="1005784527">
                                                                  <w:marLeft w:val="0"/>
                                                                  <w:marRight w:val="0"/>
                                                                  <w:marTop w:val="0"/>
                                                                  <w:marBottom w:val="0"/>
                                                                  <w:divBdr>
                                                                    <w:top w:val="none" w:sz="0" w:space="0" w:color="auto"/>
                                                                    <w:left w:val="none" w:sz="0" w:space="0" w:color="auto"/>
                                                                    <w:bottom w:val="none" w:sz="0" w:space="0" w:color="auto"/>
                                                                    <w:right w:val="none" w:sz="0" w:space="0" w:color="auto"/>
                                                                  </w:divBdr>
                                                                  <w:divsChild>
                                                                    <w:div w:id="1108889862">
                                                                      <w:marLeft w:val="0"/>
                                                                      <w:marRight w:val="0"/>
                                                                      <w:marTop w:val="0"/>
                                                                      <w:marBottom w:val="0"/>
                                                                      <w:divBdr>
                                                                        <w:top w:val="none" w:sz="0" w:space="0" w:color="auto"/>
                                                                        <w:left w:val="none" w:sz="0" w:space="0" w:color="auto"/>
                                                                        <w:bottom w:val="none" w:sz="0" w:space="0" w:color="auto"/>
                                                                        <w:right w:val="none" w:sz="0" w:space="0" w:color="auto"/>
                                                                      </w:divBdr>
                                                                      <w:divsChild>
                                                                        <w:div w:id="1544436760">
                                                                          <w:marLeft w:val="0"/>
                                                                          <w:marRight w:val="0"/>
                                                                          <w:marTop w:val="0"/>
                                                                          <w:marBottom w:val="0"/>
                                                                          <w:divBdr>
                                                                            <w:top w:val="none" w:sz="0" w:space="0" w:color="auto"/>
                                                                            <w:left w:val="none" w:sz="0" w:space="0" w:color="auto"/>
                                                                            <w:bottom w:val="none" w:sz="0" w:space="0" w:color="auto"/>
                                                                            <w:right w:val="none" w:sz="0" w:space="0" w:color="auto"/>
                                                                          </w:divBdr>
                                                                        </w:div>
                                                                        <w:div w:id="1054698452">
                                                                          <w:marLeft w:val="0"/>
                                                                          <w:marRight w:val="0"/>
                                                                          <w:marTop w:val="0"/>
                                                                          <w:marBottom w:val="0"/>
                                                                          <w:divBdr>
                                                                            <w:top w:val="none" w:sz="0" w:space="0" w:color="auto"/>
                                                                            <w:left w:val="none" w:sz="0" w:space="0" w:color="auto"/>
                                                                            <w:bottom w:val="none" w:sz="0" w:space="0" w:color="auto"/>
                                                                            <w:right w:val="none" w:sz="0" w:space="0" w:color="auto"/>
                                                                          </w:divBdr>
                                                                        </w:div>
                                                                        <w:div w:id="1058935052">
                                                                          <w:marLeft w:val="0"/>
                                                                          <w:marRight w:val="0"/>
                                                                          <w:marTop w:val="0"/>
                                                                          <w:marBottom w:val="0"/>
                                                                          <w:divBdr>
                                                                            <w:top w:val="none" w:sz="0" w:space="0" w:color="auto"/>
                                                                            <w:left w:val="none" w:sz="0" w:space="0" w:color="auto"/>
                                                                            <w:bottom w:val="none" w:sz="0" w:space="0" w:color="auto"/>
                                                                            <w:right w:val="none" w:sz="0" w:space="0" w:color="auto"/>
                                                                          </w:divBdr>
                                                                        </w:div>
                                                                        <w:div w:id="275648291">
                                                                          <w:marLeft w:val="0"/>
                                                                          <w:marRight w:val="0"/>
                                                                          <w:marTop w:val="0"/>
                                                                          <w:marBottom w:val="0"/>
                                                                          <w:divBdr>
                                                                            <w:top w:val="none" w:sz="0" w:space="0" w:color="auto"/>
                                                                            <w:left w:val="none" w:sz="0" w:space="0" w:color="auto"/>
                                                                            <w:bottom w:val="none" w:sz="0" w:space="0" w:color="auto"/>
                                                                            <w:right w:val="none" w:sz="0" w:space="0" w:color="auto"/>
                                                                          </w:divBdr>
                                                                        </w:div>
                                                                      </w:divsChild>
                                                                    </w:div>
                                                                    <w:div w:id="1324050029">
                                                                      <w:marLeft w:val="0"/>
                                                                      <w:marRight w:val="0"/>
                                                                      <w:marTop w:val="0"/>
                                                                      <w:marBottom w:val="0"/>
                                                                      <w:divBdr>
                                                                        <w:top w:val="none" w:sz="0" w:space="0" w:color="auto"/>
                                                                        <w:left w:val="none" w:sz="0" w:space="0" w:color="auto"/>
                                                                        <w:bottom w:val="none" w:sz="0" w:space="0" w:color="auto"/>
                                                                        <w:right w:val="none" w:sz="0" w:space="0" w:color="auto"/>
                                                                      </w:divBdr>
                                                                    </w:div>
                                                                    <w:div w:id="235825569">
                                                                      <w:marLeft w:val="0"/>
                                                                      <w:marRight w:val="0"/>
                                                                      <w:marTop w:val="0"/>
                                                                      <w:marBottom w:val="0"/>
                                                                      <w:divBdr>
                                                                        <w:top w:val="none" w:sz="0" w:space="0" w:color="auto"/>
                                                                        <w:left w:val="none" w:sz="0" w:space="0" w:color="auto"/>
                                                                        <w:bottom w:val="none" w:sz="0" w:space="0" w:color="auto"/>
                                                                        <w:right w:val="none" w:sz="0" w:space="0" w:color="auto"/>
                                                                      </w:divBdr>
                                                                    </w:div>
                                                                    <w:div w:id="2018916983">
                                                                      <w:marLeft w:val="0"/>
                                                                      <w:marRight w:val="0"/>
                                                                      <w:marTop w:val="0"/>
                                                                      <w:marBottom w:val="0"/>
                                                                      <w:divBdr>
                                                                        <w:top w:val="none" w:sz="0" w:space="0" w:color="auto"/>
                                                                        <w:left w:val="none" w:sz="0" w:space="0" w:color="auto"/>
                                                                        <w:bottom w:val="none" w:sz="0" w:space="0" w:color="auto"/>
                                                                        <w:right w:val="none" w:sz="0" w:space="0" w:color="auto"/>
                                                                      </w:divBdr>
                                                                    </w:div>
                                                                    <w:div w:id="2006783665">
                                                                      <w:marLeft w:val="0"/>
                                                                      <w:marRight w:val="0"/>
                                                                      <w:marTop w:val="0"/>
                                                                      <w:marBottom w:val="0"/>
                                                                      <w:divBdr>
                                                                        <w:top w:val="none" w:sz="0" w:space="0" w:color="auto"/>
                                                                        <w:left w:val="none" w:sz="0" w:space="0" w:color="auto"/>
                                                                        <w:bottom w:val="none" w:sz="0" w:space="0" w:color="auto"/>
                                                                        <w:right w:val="none" w:sz="0" w:space="0" w:color="auto"/>
                                                                      </w:divBdr>
                                                                    </w:div>
                                                                    <w:div w:id="342168601">
                                                                      <w:marLeft w:val="0"/>
                                                                      <w:marRight w:val="0"/>
                                                                      <w:marTop w:val="0"/>
                                                                      <w:marBottom w:val="0"/>
                                                                      <w:divBdr>
                                                                        <w:top w:val="none" w:sz="0" w:space="0" w:color="auto"/>
                                                                        <w:left w:val="none" w:sz="0" w:space="0" w:color="auto"/>
                                                                        <w:bottom w:val="none" w:sz="0" w:space="0" w:color="auto"/>
                                                                        <w:right w:val="none" w:sz="0" w:space="0" w:color="auto"/>
                                                                      </w:divBdr>
                                                                    </w:div>
                                                                    <w:div w:id="996962616">
                                                                      <w:marLeft w:val="0"/>
                                                                      <w:marRight w:val="0"/>
                                                                      <w:marTop w:val="0"/>
                                                                      <w:marBottom w:val="0"/>
                                                                      <w:divBdr>
                                                                        <w:top w:val="none" w:sz="0" w:space="0" w:color="auto"/>
                                                                        <w:left w:val="none" w:sz="0" w:space="0" w:color="auto"/>
                                                                        <w:bottom w:val="none" w:sz="0" w:space="0" w:color="auto"/>
                                                                        <w:right w:val="none" w:sz="0" w:space="0" w:color="auto"/>
                                                                      </w:divBdr>
                                                                      <w:divsChild>
                                                                        <w:div w:id="314994572">
                                                                          <w:marLeft w:val="0"/>
                                                                          <w:marRight w:val="0"/>
                                                                          <w:marTop w:val="0"/>
                                                                          <w:marBottom w:val="0"/>
                                                                          <w:divBdr>
                                                                            <w:top w:val="none" w:sz="0" w:space="0" w:color="auto"/>
                                                                            <w:left w:val="none" w:sz="0" w:space="0" w:color="auto"/>
                                                                            <w:bottom w:val="none" w:sz="0" w:space="0" w:color="auto"/>
                                                                            <w:right w:val="none" w:sz="0" w:space="0" w:color="auto"/>
                                                                          </w:divBdr>
                                                                        </w:div>
                                                                        <w:div w:id="1768234571">
                                                                          <w:marLeft w:val="0"/>
                                                                          <w:marRight w:val="0"/>
                                                                          <w:marTop w:val="0"/>
                                                                          <w:marBottom w:val="0"/>
                                                                          <w:divBdr>
                                                                            <w:top w:val="none" w:sz="0" w:space="0" w:color="auto"/>
                                                                            <w:left w:val="none" w:sz="0" w:space="0" w:color="auto"/>
                                                                            <w:bottom w:val="none" w:sz="0" w:space="0" w:color="auto"/>
                                                                            <w:right w:val="none" w:sz="0" w:space="0" w:color="auto"/>
                                                                          </w:divBdr>
                                                                        </w:div>
                                                                        <w:div w:id="1138260316">
                                                                          <w:marLeft w:val="0"/>
                                                                          <w:marRight w:val="0"/>
                                                                          <w:marTop w:val="0"/>
                                                                          <w:marBottom w:val="0"/>
                                                                          <w:divBdr>
                                                                            <w:top w:val="none" w:sz="0" w:space="0" w:color="auto"/>
                                                                            <w:left w:val="none" w:sz="0" w:space="0" w:color="auto"/>
                                                                            <w:bottom w:val="none" w:sz="0" w:space="0" w:color="auto"/>
                                                                            <w:right w:val="none" w:sz="0" w:space="0" w:color="auto"/>
                                                                          </w:divBdr>
                                                                        </w:div>
                                                                        <w:div w:id="1492721932">
                                                                          <w:marLeft w:val="0"/>
                                                                          <w:marRight w:val="0"/>
                                                                          <w:marTop w:val="0"/>
                                                                          <w:marBottom w:val="0"/>
                                                                          <w:divBdr>
                                                                            <w:top w:val="none" w:sz="0" w:space="0" w:color="auto"/>
                                                                            <w:left w:val="none" w:sz="0" w:space="0" w:color="auto"/>
                                                                            <w:bottom w:val="none" w:sz="0" w:space="0" w:color="auto"/>
                                                                            <w:right w:val="none" w:sz="0" w:space="0" w:color="auto"/>
                                                                          </w:divBdr>
                                                                        </w:div>
                                                                        <w:div w:id="1457137277">
                                                                          <w:marLeft w:val="0"/>
                                                                          <w:marRight w:val="0"/>
                                                                          <w:marTop w:val="0"/>
                                                                          <w:marBottom w:val="0"/>
                                                                          <w:divBdr>
                                                                            <w:top w:val="none" w:sz="0" w:space="0" w:color="auto"/>
                                                                            <w:left w:val="none" w:sz="0" w:space="0" w:color="auto"/>
                                                                            <w:bottom w:val="none" w:sz="0" w:space="0" w:color="auto"/>
                                                                            <w:right w:val="none" w:sz="0" w:space="0" w:color="auto"/>
                                                                          </w:divBdr>
                                                                        </w:div>
                                                                        <w:div w:id="371660021">
                                                                          <w:marLeft w:val="0"/>
                                                                          <w:marRight w:val="0"/>
                                                                          <w:marTop w:val="0"/>
                                                                          <w:marBottom w:val="0"/>
                                                                          <w:divBdr>
                                                                            <w:top w:val="none" w:sz="0" w:space="0" w:color="auto"/>
                                                                            <w:left w:val="none" w:sz="0" w:space="0" w:color="auto"/>
                                                                            <w:bottom w:val="none" w:sz="0" w:space="0" w:color="auto"/>
                                                                            <w:right w:val="none" w:sz="0" w:space="0" w:color="auto"/>
                                                                          </w:divBdr>
                                                                        </w:div>
                                                                        <w:div w:id="177503723">
                                                                          <w:marLeft w:val="0"/>
                                                                          <w:marRight w:val="0"/>
                                                                          <w:marTop w:val="0"/>
                                                                          <w:marBottom w:val="0"/>
                                                                          <w:divBdr>
                                                                            <w:top w:val="none" w:sz="0" w:space="0" w:color="auto"/>
                                                                            <w:left w:val="none" w:sz="0" w:space="0" w:color="auto"/>
                                                                            <w:bottom w:val="none" w:sz="0" w:space="0" w:color="auto"/>
                                                                            <w:right w:val="none" w:sz="0" w:space="0" w:color="auto"/>
                                                                          </w:divBdr>
                                                                        </w:div>
                                                                        <w:div w:id="1824423320">
                                                                          <w:marLeft w:val="0"/>
                                                                          <w:marRight w:val="0"/>
                                                                          <w:marTop w:val="0"/>
                                                                          <w:marBottom w:val="0"/>
                                                                          <w:divBdr>
                                                                            <w:top w:val="none" w:sz="0" w:space="0" w:color="auto"/>
                                                                            <w:left w:val="none" w:sz="0" w:space="0" w:color="auto"/>
                                                                            <w:bottom w:val="none" w:sz="0" w:space="0" w:color="auto"/>
                                                                            <w:right w:val="none" w:sz="0" w:space="0" w:color="auto"/>
                                                                          </w:divBdr>
                                                                        </w:div>
                                                                        <w:div w:id="1292978514">
                                                                          <w:marLeft w:val="0"/>
                                                                          <w:marRight w:val="0"/>
                                                                          <w:marTop w:val="0"/>
                                                                          <w:marBottom w:val="0"/>
                                                                          <w:divBdr>
                                                                            <w:top w:val="none" w:sz="0" w:space="0" w:color="auto"/>
                                                                            <w:left w:val="none" w:sz="0" w:space="0" w:color="auto"/>
                                                                            <w:bottom w:val="none" w:sz="0" w:space="0" w:color="auto"/>
                                                                            <w:right w:val="none" w:sz="0" w:space="0" w:color="auto"/>
                                                                          </w:divBdr>
                                                                        </w:div>
                                                                        <w:div w:id="1504390333">
                                                                          <w:marLeft w:val="0"/>
                                                                          <w:marRight w:val="0"/>
                                                                          <w:marTop w:val="0"/>
                                                                          <w:marBottom w:val="0"/>
                                                                          <w:divBdr>
                                                                            <w:top w:val="none" w:sz="0" w:space="0" w:color="auto"/>
                                                                            <w:left w:val="none" w:sz="0" w:space="0" w:color="auto"/>
                                                                            <w:bottom w:val="none" w:sz="0" w:space="0" w:color="auto"/>
                                                                            <w:right w:val="none" w:sz="0" w:space="0" w:color="auto"/>
                                                                          </w:divBdr>
                                                                        </w:div>
                                                                        <w:div w:id="1740204635">
                                                                          <w:marLeft w:val="0"/>
                                                                          <w:marRight w:val="0"/>
                                                                          <w:marTop w:val="0"/>
                                                                          <w:marBottom w:val="0"/>
                                                                          <w:divBdr>
                                                                            <w:top w:val="none" w:sz="0" w:space="0" w:color="auto"/>
                                                                            <w:left w:val="none" w:sz="0" w:space="0" w:color="auto"/>
                                                                            <w:bottom w:val="none" w:sz="0" w:space="0" w:color="auto"/>
                                                                            <w:right w:val="none" w:sz="0" w:space="0" w:color="auto"/>
                                                                          </w:divBdr>
                                                                        </w:div>
                                                                        <w:div w:id="1046877835">
                                                                          <w:marLeft w:val="0"/>
                                                                          <w:marRight w:val="0"/>
                                                                          <w:marTop w:val="0"/>
                                                                          <w:marBottom w:val="0"/>
                                                                          <w:divBdr>
                                                                            <w:top w:val="none" w:sz="0" w:space="0" w:color="auto"/>
                                                                            <w:left w:val="none" w:sz="0" w:space="0" w:color="auto"/>
                                                                            <w:bottom w:val="none" w:sz="0" w:space="0" w:color="auto"/>
                                                                            <w:right w:val="none" w:sz="0" w:space="0" w:color="auto"/>
                                                                          </w:divBdr>
                                                                        </w:div>
                                                                        <w:div w:id="1901867141">
                                                                          <w:marLeft w:val="0"/>
                                                                          <w:marRight w:val="0"/>
                                                                          <w:marTop w:val="0"/>
                                                                          <w:marBottom w:val="0"/>
                                                                          <w:divBdr>
                                                                            <w:top w:val="none" w:sz="0" w:space="0" w:color="auto"/>
                                                                            <w:left w:val="none" w:sz="0" w:space="0" w:color="auto"/>
                                                                            <w:bottom w:val="none" w:sz="0" w:space="0" w:color="auto"/>
                                                                            <w:right w:val="none" w:sz="0" w:space="0" w:color="auto"/>
                                                                          </w:divBdr>
                                                                        </w:div>
                                                                        <w:div w:id="1685395637">
                                                                          <w:marLeft w:val="0"/>
                                                                          <w:marRight w:val="0"/>
                                                                          <w:marTop w:val="0"/>
                                                                          <w:marBottom w:val="0"/>
                                                                          <w:divBdr>
                                                                            <w:top w:val="none" w:sz="0" w:space="0" w:color="auto"/>
                                                                            <w:left w:val="none" w:sz="0" w:space="0" w:color="auto"/>
                                                                            <w:bottom w:val="none" w:sz="0" w:space="0" w:color="auto"/>
                                                                            <w:right w:val="none" w:sz="0" w:space="0" w:color="auto"/>
                                                                          </w:divBdr>
                                                                        </w:div>
                                                                        <w:div w:id="654182696">
                                                                          <w:marLeft w:val="0"/>
                                                                          <w:marRight w:val="0"/>
                                                                          <w:marTop w:val="0"/>
                                                                          <w:marBottom w:val="0"/>
                                                                          <w:divBdr>
                                                                            <w:top w:val="none" w:sz="0" w:space="0" w:color="auto"/>
                                                                            <w:left w:val="none" w:sz="0" w:space="0" w:color="auto"/>
                                                                            <w:bottom w:val="none" w:sz="0" w:space="0" w:color="auto"/>
                                                                            <w:right w:val="none" w:sz="0" w:space="0" w:color="auto"/>
                                                                          </w:divBdr>
                                                                        </w:div>
                                                                        <w:div w:id="1171260280">
                                                                          <w:marLeft w:val="0"/>
                                                                          <w:marRight w:val="0"/>
                                                                          <w:marTop w:val="0"/>
                                                                          <w:marBottom w:val="0"/>
                                                                          <w:divBdr>
                                                                            <w:top w:val="none" w:sz="0" w:space="0" w:color="auto"/>
                                                                            <w:left w:val="none" w:sz="0" w:space="0" w:color="auto"/>
                                                                            <w:bottom w:val="none" w:sz="0" w:space="0" w:color="auto"/>
                                                                            <w:right w:val="none" w:sz="0" w:space="0" w:color="auto"/>
                                                                          </w:divBdr>
                                                                        </w:div>
                                                                        <w:div w:id="235557787">
                                                                          <w:marLeft w:val="0"/>
                                                                          <w:marRight w:val="0"/>
                                                                          <w:marTop w:val="0"/>
                                                                          <w:marBottom w:val="0"/>
                                                                          <w:divBdr>
                                                                            <w:top w:val="none" w:sz="0" w:space="0" w:color="auto"/>
                                                                            <w:left w:val="none" w:sz="0" w:space="0" w:color="auto"/>
                                                                            <w:bottom w:val="none" w:sz="0" w:space="0" w:color="auto"/>
                                                                            <w:right w:val="none" w:sz="0" w:space="0" w:color="auto"/>
                                                                          </w:divBdr>
                                                                        </w:div>
                                                                        <w:div w:id="1970361348">
                                                                          <w:marLeft w:val="0"/>
                                                                          <w:marRight w:val="0"/>
                                                                          <w:marTop w:val="0"/>
                                                                          <w:marBottom w:val="0"/>
                                                                          <w:divBdr>
                                                                            <w:top w:val="none" w:sz="0" w:space="0" w:color="auto"/>
                                                                            <w:left w:val="none" w:sz="0" w:space="0" w:color="auto"/>
                                                                            <w:bottom w:val="none" w:sz="0" w:space="0" w:color="auto"/>
                                                                            <w:right w:val="none" w:sz="0" w:space="0" w:color="auto"/>
                                                                          </w:divBdr>
                                                                        </w:div>
                                                                        <w:div w:id="1314798098">
                                                                          <w:marLeft w:val="0"/>
                                                                          <w:marRight w:val="0"/>
                                                                          <w:marTop w:val="0"/>
                                                                          <w:marBottom w:val="0"/>
                                                                          <w:divBdr>
                                                                            <w:top w:val="none" w:sz="0" w:space="0" w:color="auto"/>
                                                                            <w:left w:val="none" w:sz="0" w:space="0" w:color="auto"/>
                                                                            <w:bottom w:val="none" w:sz="0" w:space="0" w:color="auto"/>
                                                                            <w:right w:val="none" w:sz="0" w:space="0" w:color="auto"/>
                                                                          </w:divBdr>
                                                                        </w:div>
                                                                        <w:div w:id="1629706082">
                                                                          <w:marLeft w:val="0"/>
                                                                          <w:marRight w:val="0"/>
                                                                          <w:marTop w:val="0"/>
                                                                          <w:marBottom w:val="0"/>
                                                                          <w:divBdr>
                                                                            <w:top w:val="none" w:sz="0" w:space="0" w:color="auto"/>
                                                                            <w:left w:val="none" w:sz="0" w:space="0" w:color="auto"/>
                                                                            <w:bottom w:val="none" w:sz="0" w:space="0" w:color="auto"/>
                                                                            <w:right w:val="none" w:sz="0" w:space="0" w:color="auto"/>
                                                                          </w:divBdr>
                                                                        </w:div>
                                                                        <w:div w:id="1707021427">
                                                                          <w:marLeft w:val="0"/>
                                                                          <w:marRight w:val="0"/>
                                                                          <w:marTop w:val="0"/>
                                                                          <w:marBottom w:val="0"/>
                                                                          <w:divBdr>
                                                                            <w:top w:val="none" w:sz="0" w:space="0" w:color="auto"/>
                                                                            <w:left w:val="none" w:sz="0" w:space="0" w:color="auto"/>
                                                                            <w:bottom w:val="none" w:sz="0" w:space="0" w:color="auto"/>
                                                                            <w:right w:val="none" w:sz="0" w:space="0" w:color="auto"/>
                                                                          </w:divBdr>
                                                                        </w:div>
                                                                        <w:div w:id="27873542">
                                                                          <w:marLeft w:val="0"/>
                                                                          <w:marRight w:val="0"/>
                                                                          <w:marTop w:val="0"/>
                                                                          <w:marBottom w:val="0"/>
                                                                          <w:divBdr>
                                                                            <w:top w:val="none" w:sz="0" w:space="0" w:color="auto"/>
                                                                            <w:left w:val="none" w:sz="0" w:space="0" w:color="auto"/>
                                                                            <w:bottom w:val="none" w:sz="0" w:space="0" w:color="auto"/>
                                                                            <w:right w:val="none" w:sz="0" w:space="0" w:color="auto"/>
                                                                          </w:divBdr>
                                                                        </w:div>
                                                                        <w:div w:id="1656101190">
                                                                          <w:marLeft w:val="0"/>
                                                                          <w:marRight w:val="0"/>
                                                                          <w:marTop w:val="0"/>
                                                                          <w:marBottom w:val="0"/>
                                                                          <w:divBdr>
                                                                            <w:top w:val="none" w:sz="0" w:space="0" w:color="auto"/>
                                                                            <w:left w:val="none" w:sz="0" w:space="0" w:color="auto"/>
                                                                            <w:bottom w:val="none" w:sz="0" w:space="0" w:color="auto"/>
                                                                            <w:right w:val="none" w:sz="0" w:space="0" w:color="auto"/>
                                                                          </w:divBdr>
                                                                        </w:div>
                                                                        <w:div w:id="610745398">
                                                                          <w:marLeft w:val="600"/>
                                                                          <w:marRight w:val="0"/>
                                                                          <w:marTop w:val="0"/>
                                                                          <w:marBottom w:val="0"/>
                                                                          <w:divBdr>
                                                                            <w:top w:val="none" w:sz="0" w:space="0" w:color="auto"/>
                                                                            <w:left w:val="none" w:sz="0" w:space="0" w:color="auto"/>
                                                                            <w:bottom w:val="none" w:sz="0" w:space="0" w:color="auto"/>
                                                                            <w:right w:val="none" w:sz="0" w:space="0" w:color="auto"/>
                                                                          </w:divBdr>
                                                                        </w:div>
                                                                        <w:div w:id="50273423">
                                                                          <w:marLeft w:val="600"/>
                                                                          <w:marRight w:val="0"/>
                                                                          <w:marTop w:val="0"/>
                                                                          <w:marBottom w:val="0"/>
                                                                          <w:divBdr>
                                                                            <w:top w:val="none" w:sz="0" w:space="0" w:color="auto"/>
                                                                            <w:left w:val="none" w:sz="0" w:space="0" w:color="auto"/>
                                                                            <w:bottom w:val="none" w:sz="0" w:space="0" w:color="auto"/>
                                                                            <w:right w:val="none" w:sz="0" w:space="0" w:color="auto"/>
                                                                          </w:divBdr>
                                                                        </w:div>
                                                                        <w:div w:id="777216359">
                                                                          <w:marLeft w:val="600"/>
                                                                          <w:marRight w:val="0"/>
                                                                          <w:marTop w:val="0"/>
                                                                          <w:marBottom w:val="0"/>
                                                                          <w:divBdr>
                                                                            <w:top w:val="none" w:sz="0" w:space="0" w:color="auto"/>
                                                                            <w:left w:val="none" w:sz="0" w:space="0" w:color="auto"/>
                                                                            <w:bottom w:val="none" w:sz="0" w:space="0" w:color="auto"/>
                                                                            <w:right w:val="none" w:sz="0" w:space="0" w:color="auto"/>
                                                                          </w:divBdr>
                                                                        </w:div>
                                                                        <w:div w:id="1266615746">
                                                                          <w:marLeft w:val="600"/>
                                                                          <w:marRight w:val="0"/>
                                                                          <w:marTop w:val="0"/>
                                                                          <w:marBottom w:val="0"/>
                                                                          <w:divBdr>
                                                                            <w:top w:val="none" w:sz="0" w:space="0" w:color="auto"/>
                                                                            <w:left w:val="none" w:sz="0" w:space="0" w:color="auto"/>
                                                                            <w:bottom w:val="none" w:sz="0" w:space="0" w:color="auto"/>
                                                                            <w:right w:val="none" w:sz="0" w:space="0" w:color="auto"/>
                                                                          </w:divBdr>
                                                                        </w:div>
                                                                        <w:div w:id="1808277378">
                                                                          <w:marLeft w:val="600"/>
                                                                          <w:marRight w:val="0"/>
                                                                          <w:marTop w:val="0"/>
                                                                          <w:marBottom w:val="0"/>
                                                                          <w:divBdr>
                                                                            <w:top w:val="none" w:sz="0" w:space="0" w:color="auto"/>
                                                                            <w:left w:val="none" w:sz="0" w:space="0" w:color="auto"/>
                                                                            <w:bottom w:val="none" w:sz="0" w:space="0" w:color="auto"/>
                                                                            <w:right w:val="none" w:sz="0" w:space="0" w:color="auto"/>
                                                                          </w:divBdr>
                                                                        </w:div>
                                                                        <w:div w:id="1110927738">
                                                                          <w:marLeft w:val="600"/>
                                                                          <w:marRight w:val="0"/>
                                                                          <w:marTop w:val="0"/>
                                                                          <w:marBottom w:val="0"/>
                                                                          <w:divBdr>
                                                                            <w:top w:val="none" w:sz="0" w:space="0" w:color="auto"/>
                                                                            <w:left w:val="none" w:sz="0" w:space="0" w:color="auto"/>
                                                                            <w:bottom w:val="none" w:sz="0" w:space="0" w:color="auto"/>
                                                                            <w:right w:val="none" w:sz="0" w:space="0" w:color="auto"/>
                                                                          </w:divBdr>
                                                                        </w:div>
                                                                        <w:div w:id="384567938">
                                                                          <w:marLeft w:val="600"/>
                                                                          <w:marRight w:val="0"/>
                                                                          <w:marTop w:val="0"/>
                                                                          <w:marBottom w:val="0"/>
                                                                          <w:divBdr>
                                                                            <w:top w:val="none" w:sz="0" w:space="0" w:color="auto"/>
                                                                            <w:left w:val="none" w:sz="0" w:space="0" w:color="auto"/>
                                                                            <w:bottom w:val="none" w:sz="0" w:space="0" w:color="auto"/>
                                                                            <w:right w:val="none" w:sz="0" w:space="0" w:color="auto"/>
                                                                          </w:divBdr>
                                                                        </w:div>
                                                                        <w:div w:id="714425963">
                                                                          <w:marLeft w:val="600"/>
                                                                          <w:marRight w:val="0"/>
                                                                          <w:marTop w:val="0"/>
                                                                          <w:marBottom w:val="0"/>
                                                                          <w:divBdr>
                                                                            <w:top w:val="none" w:sz="0" w:space="0" w:color="auto"/>
                                                                            <w:left w:val="none" w:sz="0" w:space="0" w:color="auto"/>
                                                                            <w:bottom w:val="none" w:sz="0" w:space="0" w:color="auto"/>
                                                                            <w:right w:val="none" w:sz="0" w:space="0" w:color="auto"/>
                                                                          </w:divBdr>
                                                                        </w:div>
                                                                        <w:div w:id="298657572">
                                                                          <w:marLeft w:val="600"/>
                                                                          <w:marRight w:val="0"/>
                                                                          <w:marTop w:val="0"/>
                                                                          <w:marBottom w:val="0"/>
                                                                          <w:divBdr>
                                                                            <w:top w:val="none" w:sz="0" w:space="0" w:color="auto"/>
                                                                            <w:left w:val="none" w:sz="0" w:space="0" w:color="auto"/>
                                                                            <w:bottom w:val="none" w:sz="0" w:space="0" w:color="auto"/>
                                                                            <w:right w:val="none" w:sz="0" w:space="0" w:color="auto"/>
                                                                          </w:divBdr>
                                                                        </w:div>
                                                                        <w:div w:id="808086588">
                                                                          <w:marLeft w:val="600"/>
                                                                          <w:marRight w:val="0"/>
                                                                          <w:marTop w:val="0"/>
                                                                          <w:marBottom w:val="0"/>
                                                                          <w:divBdr>
                                                                            <w:top w:val="none" w:sz="0" w:space="0" w:color="auto"/>
                                                                            <w:left w:val="none" w:sz="0" w:space="0" w:color="auto"/>
                                                                            <w:bottom w:val="none" w:sz="0" w:space="0" w:color="auto"/>
                                                                            <w:right w:val="none" w:sz="0" w:space="0" w:color="auto"/>
                                                                          </w:divBdr>
                                                                        </w:div>
                                                                        <w:div w:id="1628390563">
                                                                          <w:marLeft w:val="600"/>
                                                                          <w:marRight w:val="0"/>
                                                                          <w:marTop w:val="0"/>
                                                                          <w:marBottom w:val="0"/>
                                                                          <w:divBdr>
                                                                            <w:top w:val="none" w:sz="0" w:space="0" w:color="auto"/>
                                                                            <w:left w:val="none" w:sz="0" w:space="0" w:color="auto"/>
                                                                            <w:bottom w:val="none" w:sz="0" w:space="0" w:color="auto"/>
                                                                            <w:right w:val="none" w:sz="0" w:space="0" w:color="auto"/>
                                                                          </w:divBdr>
                                                                        </w:div>
                                                                        <w:div w:id="1249846699">
                                                                          <w:marLeft w:val="0"/>
                                                                          <w:marRight w:val="0"/>
                                                                          <w:marTop w:val="0"/>
                                                                          <w:marBottom w:val="0"/>
                                                                          <w:divBdr>
                                                                            <w:top w:val="none" w:sz="0" w:space="0" w:color="auto"/>
                                                                            <w:left w:val="none" w:sz="0" w:space="0" w:color="auto"/>
                                                                            <w:bottom w:val="none" w:sz="0" w:space="0" w:color="auto"/>
                                                                            <w:right w:val="none" w:sz="0" w:space="0" w:color="auto"/>
                                                                          </w:divBdr>
                                                                        </w:div>
                                                                        <w:div w:id="564491743">
                                                                          <w:marLeft w:val="0"/>
                                                                          <w:marRight w:val="0"/>
                                                                          <w:marTop w:val="0"/>
                                                                          <w:marBottom w:val="0"/>
                                                                          <w:divBdr>
                                                                            <w:top w:val="none" w:sz="0" w:space="0" w:color="auto"/>
                                                                            <w:left w:val="none" w:sz="0" w:space="0" w:color="auto"/>
                                                                            <w:bottom w:val="none" w:sz="0" w:space="0" w:color="auto"/>
                                                                            <w:right w:val="none" w:sz="0" w:space="0" w:color="auto"/>
                                                                          </w:divBdr>
                                                                        </w:div>
                                                                        <w:div w:id="556741443">
                                                                          <w:marLeft w:val="0"/>
                                                                          <w:marRight w:val="0"/>
                                                                          <w:marTop w:val="0"/>
                                                                          <w:marBottom w:val="0"/>
                                                                          <w:divBdr>
                                                                            <w:top w:val="none" w:sz="0" w:space="0" w:color="auto"/>
                                                                            <w:left w:val="none" w:sz="0" w:space="0" w:color="auto"/>
                                                                            <w:bottom w:val="none" w:sz="0" w:space="0" w:color="auto"/>
                                                                            <w:right w:val="none" w:sz="0" w:space="0" w:color="auto"/>
                                                                          </w:divBdr>
                                                                        </w:div>
                                                                        <w:div w:id="764805291">
                                                                          <w:marLeft w:val="0"/>
                                                                          <w:marRight w:val="0"/>
                                                                          <w:marTop w:val="0"/>
                                                                          <w:marBottom w:val="0"/>
                                                                          <w:divBdr>
                                                                            <w:top w:val="none" w:sz="0" w:space="0" w:color="auto"/>
                                                                            <w:left w:val="none" w:sz="0" w:space="0" w:color="auto"/>
                                                                            <w:bottom w:val="none" w:sz="0" w:space="0" w:color="auto"/>
                                                                            <w:right w:val="none" w:sz="0" w:space="0" w:color="auto"/>
                                                                          </w:divBdr>
                                                                        </w:div>
                                                                        <w:div w:id="1997877290">
                                                                          <w:marLeft w:val="0"/>
                                                                          <w:marRight w:val="0"/>
                                                                          <w:marTop w:val="0"/>
                                                                          <w:marBottom w:val="0"/>
                                                                          <w:divBdr>
                                                                            <w:top w:val="none" w:sz="0" w:space="0" w:color="auto"/>
                                                                            <w:left w:val="none" w:sz="0" w:space="0" w:color="auto"/>
                                                                            <w:bottom w:val="none" w:sz="0" w:space="0" w:color="auto"/>
                                                                            <w:right w:val="none" w:sz="0" w:space="0" w:color="auto"/>
                                                                          </w:divBdr>
                                                                        </w:div>
                                                                        <w:div w:id="1490948658">
                                                                          <w:marLeft w:val="0"/>
                                                                          <w:marRight w:val="0"/>
                                                                          <w:marTop w:val="0"/>
                                                                          <w:marBottom w:val="0"/>
                                                                          <w:divBdr>
                                                                            <w:top w:val="none" w:sz="0" w:space="0" w:color="auto"/>
                                                                            <w:left w:val="none" w:sz="0" w:space="0" w:color="auto"/>
                                                                            <w:bottom w:val="none" w:sz="0" w:space="0" w:color="auto"/>
                                                                            <w:right w:val="none" w:sz="0" w:space="0" w:color="auto"/>
                                                                          </w:divBdr>
                                                                        </w:div>
                                                                        <w:div w:id="239559728">
                                                                          <w:marLeft w:val="0"/>
                                                                          <w:marRight w:val="0"/>
                                                                          <w:marTop w:val="0"/>
                                                                          <w:marBottom w:val="0"/>
                                                                          <w:divBdr>
                                                                            <w:top w:val="none" w:sz="0" w:space="0" w:color="auto"/>
                                                                            <w:left w:val="none" w:sz="0" w:space="0" w:color="auto"/>
                                                                            <w:bottom w:val="none" w:sz="0" w:space="0" w:color="auto"/>
                                                                            <w:right w:val="none" w:sz="0" w:space="0" w:color="auto"/>
                                                                          </w:divBdr>
                                                                        </w:div>
                                                                        <w:div w:id="549876009">
                                                                          <w:marLeft w:val="0"/>
                                                                          <w:marRight w:val="0"/>
                                                                          <w:marTop w:val="0"/>
                                                                          <w:marBottom w:val="0"/>
                                                                          <w:divBdr>
                                                                            <w:top w:val="none" w:sz="0" w:space="0" w:color="auto"/>
                                                                            <w:left w:val="none" w:sz="0" w:space="0" w:color="auto"/>
                                                                            <w:bottom w:val="none" w:sz="0" w:space="0" w:color="auto"/>
                                                                            <w:right w:val="none" w:sz="0" w:space="0" w:color="auto"/>
                                                                          </w:divBdr>
                                                                        </w:div>
                                                                        <w:div w:id="1013067602">
                                                                          <w:marLeft w:val="0"/>
                                                                          <w:marRight w:val="0"/>
                                                                          <w:marTop w:val="0"/>
                                                                          <w:marBottom w:val="0"/>
                                                                          <w:divBdr>
                                                                            <w:top w:val="none" w:sz="0" w:space="0" w:color="auto"/>
                                                                            <w:left w:val="none" w:sz="0" w:space="0" w:color="auto"/>
                                                                            <w:bottom w:val="none" w:sz="0" w:space="0" w:color="auto"/>
                                                                            <w:right w:val="none" w:sz="0" w:space="0" w:color="auto"/>
                                                                          </w:divBdr>
                                                                        </w:div>
                                                                        <w:div w:id="185140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6936123">
      <w:bodyDiv w:val="1"/>
      <w:marLeft w:val="0"/>
      <w:marRight w:val="0"/>
      <w:marTop w:val="0"/>
      <w:marBottom w:val="0"/>
      <w:divBdr>
        <w:top w:val="none" w:sz="0" w:space="0" w:color="auto"/>
        <w:left w:val="none" w:sz="0" w:space="0" w:color="auto"/>
        <w:bottom w:val="none" w:sz="0" w:space="0" w:color="auto"/>
        <w:right w:val="none" w:sz="0" w:space="0" w:color="auto"/>
      </w:divBdr>
    </w:div>
    <w:div w:id="217403930">
      <w:bodyDiv w:val="1"/>
      <w:marLeft w:val="0"/>
      <w:marRight w:val="0"/>
      <w:marTop w:val="0"/>
      <w:marBottom w:val="0"/>
      <w:divBdr>
        <w:top w:val="none" w:sz="0" w:space="0" w:color="auto"/>
        <w:left w:val="none" w:sz="0" w:space="0" w:color="auto"/>
        <w:bottom w:val="none" w:sz="0" w:space="0" w:color="auto"/>
        <w:right w:val="none" w:sz="0" w:space="0" w:color="auto"/>
      </w:divBdr>
    </w:div>
    <w:div w:id="219948072">
      <w:bodyDiv w:val="1"/>
      <w:marLeft w:val="0"/>
      <w:marRight w:val="0"/>
      <w:marTop w:val="0"/>
      <w:marBottom w:val="0"/>
      <w:divBdr>
        <w:top w:val="none" w:sz="0" w:space="0" w:color="auto"/>
        <w:left w:val="none" w:sz="0" w:space="0" w:color="auto"/>
        <w:bottom w:val="none" w:sz="0" w:space="0" w:color="auto"/>
        <w:right w:val="none" w:sz="0" w:space="0" w:color="auto"/>
      </w:divBdr>
    </w:div>
    <w:div w:id="220215420">
      <w:bodyDiv w:val="1"/>
      <w:marLeft w:val="0"/>
      <w:marRight w:val="0"/>
      <w:marTop w:val="0"/>
      <w:marBottom w:val="0"/>
      <w:divBdr>
        <w:top w:val="none" w:sz="0" w:space="0" w:color="auto"/>
        <w:left w:val="none" w:sz="0" w:space="0" w:color="auto"/>
        <w:bottom w:val="none" w:sz="0" w:space="0" w:color="auto"/>
        <w:right w:val="none" w:sz="0" w:space="0" w:color="auto"/>
      </w:divBdr>
    </w:div>
    <w:div w:id="233248277">
      <w:bodyDiv w:val="1"/>
      <w:marLeft w:val="0"/>
      <w:marRight w:val="0"/>
      <w:marTop w:val="0"/>
      <w:marBottom w:val="0"/>
      <w:divBdr>
        <w:top w:val="none" w:sz="0" w:space="0" w:color="auto"/>
        <w:left w:val="none" w:sz="0" w:space="0" w:color="auto"/>
        <w:bottom w:val="none" w:sz="0" w:space="0" w:color="auto"/>
        <w:right w:val="none" w:sz="0" w:space="0" w:color="auto"/>
      </w:divBdr>
    </w:div>
    <w:div w:id="258677941">
      <w:bodyDiv w:val="1"/>
      <w:marLeft w:val="0"/>
      <w:marRight w:val="0"/>
      <w:marTop w:val="0"/>
      <w:marBottom w:val="0"/>
      <w:divBdr>
        <w:top w:val="none" w:sz="0" w:space="0" w:color="auto"/>
        <w:left w:val="none" w:sz="0" w:space="0" w:color="auto"/>
        <w:bottom w:val="none" w:sz="0" w:space="0" w:color="auto"/>
        <w:right w:val="none" w:sz="0" w:space="0" w:color="auto"/>
      </w:divBdr>
      <w:divsChild>
        <w:div w:id="1927036269">
          <w:marLeft w:val="0"/>
          <w:marRight w:val="0"/>
          <w:marTop w:val="0"/>
          <w:marBottom w:val="0"/>
          <w:divBdr>
            <w:top w:val="none" w:sz="0" w:space="0" w:color="auto"/>
            <w:left w:val="none" w:sz="0" w:space="0" w:color="auto"/>
            <w:bottom w:val="none" w:sz="0" w:space="0" w:color="auto"/>
            <w:right w:val="none" w:sz="0" w:space="0" w:color="auto"/>
          </w:divBdr>
          <w:divsChild>
            <w:div w:id="2011591130">
              <w:marLeft w:val="0"/>
              <w:marRight w:val="0"/>
              <w:marTop w:val="0"/>
              <w:marBottom w:val="0"/>
              <w:divBdr>
                <w:top w:val="none" w:sz="0" w:space="0" w:color="auto"/>
                <w:left w:val="none" w:sz="0" w:space="0" w:color="auto"/>
                <w:bottom w:val="none" w:sz="0" w:space="0" w:color="auto"/>
                <w:right w:val="none" w:sz="0" w:space="0" w:color="auto"/>
              </w:divBdr>
              <w:divsChild>
                <w:div w:id="22246204">
                  <w:marLeft w:val="0"/>
                  <w:marRight w:val="0"/>
                  <w:marTop w:val="0"/>
                  <w:marBottom w:val="0"/>
                  <w:divBdr>
                    <w:top w:val="none" w:sz="0" w:space="0" w:color="auto"/>
                    <w:left w:val="none" w:sz="0" w:space="0" w:color="auto"/>
                    <w:bottom w:val="none" w:sz="0" w:space="0" w:color="auto"/>
                    <w:right w:val="none" w:sz="0" w:space="0" w:color="auto"/>
                  </w:divBdr>
                  <w:divsChild>
                    <w:div w:id="1826898148">
                      <w:marLeft w:val="0"/>
                      <w:marRight w:val="0"/>
                      <w:marTop w:val="0"/>
                      <w:marBottom w:val="0"/>
                      <w:divBdr>
                        <w:top w:val="none" w:sz="0" w:space="0" w:color="auto"/>
                        <w:left w:val="none" w:sz="0" w:space="0" w:color="auto"/>
                        <w:bottom w:val="none" w:sz="0" w:space="0" w:color="auto"/>
                        <w:right w:val="none" w:sz="0" w:space="0" w:color="auto"/>
                      </w:divBdr>
                      <w:divsChild>
                        <w:div w:id="1246499213">
                          <w:marLeft w:val="0"/>
                          <w:marRight w:val="0"/>
                          <w:marTop w:val="0"/>
                          <w:marBottom w:val="0"/>
                          <w:divBdr>
                            <w:top w:val="none" w:sz="0" w:space="0" w:color="auto"/>
                            <w:left w:val="none" w:sz="0" w:space="0" w:color="auto"/>
                            <w:bottom w:val="none" w:sz="0" w:space="0" w:color="auto"/>
                            <w:right w:val="none" w:sz="0" w:space="0" w:color="auto"/>
                          </w:divBdr>
                          <w:divsChild>
                            <w:div w:id="676154682">
                              <w:marLeft w:val="0"/>
                              <w:marRight w:val="0"/>
                              <w:marTop w:val="0"/>
                              <w:marBottom w:val="0"/>
                              <w:divBdr>
                                <w:top w:val="none" w:sz="0" w:space="0" w:color="auto"/>
                                <w:left w:val="none" w:sz="0" w:space="0" w:color="auto"/>
                                <w:bottom w:val="none" w:sz="0" w:space="0" w:color="auto"/>
                                <w:right w:val="none" w:sz="0" w:space="0" w:color="auto"/>
                              </w:divBdr>
                              <w:divsChild>
                                <w:div w:id="570504100">
                                  <w:marLeft w:val="0"/>
                                  <w:marRight w:val="0"/>
                                  <w:marTop w:val="0"/>
                                  <w:marBottom w:val="0"/>
                                  <w:divBdr>
                                    <w:top w:val="none" w:sz="0" w:space="0" w:color="auto"/>
                                    <w:left w:val="none" w:sz="0" w:space="0" w:color="auto"/>
                                    <w:bottom w:val="none" w:sz="0" w:space="0" w:color="auto"/>
                                    <w:right w:val="none" w:sz="0" w:space="0" w:color="auto"/>
                                  </w:divBdr>
                                  <w:divsChild>
                                    <w:div w:id="802382415">
                                      <w:marLeft w:val="0"/>
                                      <w:marRight w:val="0"/>
                                      <w:marTop w:val="0"/>
                                      <w:marBottom w:val="0"/>
                                      <w:divBdr>
                                        <w:top w:val="none" w:sz="0" w:space="0" w:color="auto"/>
                                        <w:left w:val="none" w:sz="0" w:space="0" w:color="auto"/>
                                        <w:bottom w:val="none" w:sz="0" w:space="0" w:color="auto"/>
                                        <w:right w:val="none" w:sz="0" w:space="0" w:color="auto"/>
                                      </w:divBdr>
                                      <w:divsChild>
                                        <w:div w:id="873887447">
                                          <w:marLeft w:val="0"/>
                                          <w:marRight w:val="0"/>
                                          <w:marTop w:val="0"/>
                                          <w:marBottom w:val="0"/>
                                          <w:divBdr>
                                            <w:top w:val="none" w:sz="0" w:space="0" w:color="auto"/>
                                            <w:left w:val="none" w:sz="0" w:space="0" w:color="auto"/>
                                            <w:bottom w:val="none" w:sz="0" w:space="0" w:color="auto"/>
                                            <w:right w:val="none" w:sz="0" w:space="0" w:color="auto"/>
                                          </w:divBdr>
                                          <w:divsChild>
                                            <w:div w:id="887837333">
                                              <w:marLeft w:val="0"/>
                                              <w:marRight w:val="0"/>
                                              <w:marTop w:val="0"/>
                                              <w:marBottom w:val="0"/>
                                              <w:divBdr>
                                                <w:top w:val="none" w:sz="0" w:space="0" w:color="auto"/>
                                                <w:left w:val="none" w:sz="0" w:space="0" w:color="auto"/>
                                                <w:bottom w:val="none" w:sz="0" w:space="0" w:color="auto"/>
                                                <w:right w:val="none" w:sz="0" w:space="0" w:color="auto"/>
                                              </w:divBdr>
                                              <w:divsChild>
                                                <w:div w:id="1201433312">
                                                  <w:marLeft w:val="0"/>
                                                  <w:marRight w:val="0"/>
                                                  <w:marTop w:val="0"/>
                                                  <w:marBottom w:val="0"/>
                                                  <w:divBdr>
                                                    <w:top w:val="none" w:sz="0" w:space="0" w:color="auto"/>
                                                    <w:left w:val="none" w:sz="0" w:space="0" w:color="auto"/>
                                                    <w:bottom w:val="none" w:sz="0" w:space="0" w:color="auto"/>
                                                    <w:right w:val="none" w:sz="0" w:space="0" w:color="auto"/>
                                                  </w:divBdr>
                                                  <w:divsChild>
                                                    <w:div w:id="623384629">
                                                      <w:marLeft w:val="0"/>
                                                      <w:marRight w:val="0"/>
                                                      <w:marTop w:val="0"/>
                                                      <w:marBottom w:val="0"/>
                                                      <w:divBdr>
                                                        <w:top w:val="none" w:sz="0" w:space="0" w:color="auto"/>
                                                        <w:left w:val="none" w:sz="0" w:space="0" w:color="auto"/>
                                                        <w:bottom w:val="none" w:sz="0" w:space="0" w:color="auto"/>
                                                        <w:right w:val="none" w:sz="0" w:space="0" w:color="auto"/>
                                                      </w:divBdr>
                                                      <w:divsChild>
                                                        <w:div w:id="1561017699">
                                                          <w:marLeft w:val="0"/>
                                                          <w:marRight w:val="0"/>
                                                          <w:marTop w:val="0"/>
                                                          <w:marBottom w:val="0"/>
                                                          <w:divBdr>
                                                            <w:top w:val="none" w:sz="0" w:space="0" w:color="auto"/>
                                                            <w:left w:val="none" w:sz="0" w:space="0" w:color="auto"/>
                                                            <w:bottom w:val="none" w:sz="0" w:space="0" w:color="auto"/>
                                                            <w:right w:val="none" w:sz="0" w:space="0" w:color="auto"/>
                                                          </w:divBdr>
                                                          <w:divsChild>
                                                            <w:div w:id="1959098659">
                                                              <w:marLeft w:val="0"/>
                                                              <w:marRight w:val="0"/>
                                                              <w:marTop w:val="0"/>
                                                              <w:marBottom w:val="0"/>
                                                              <w:divBdr>
                                                                <w:top w:val="none" w:sz="0" w:space="0" w:color="auto"/>
                                                                <w:left w:val="none" w:sz="0" w:space="0" w:color="auto"/>
                                                                <w:bottom w:val="none" w:sz="0" w:space="0" w:color="auto"/>
                                                                <w:right w:val="none" w:sz="0" w:space="0" w:color="auto"/>
                                                              </w:divBdr>
                                                              <w:divsChild>
                                                                <w:div w:id="37171583">
                                                                  <w:marLeft w:val="0"/>
                                                                  <w:marRight w:val="0"/>
                                                                  <w:marTop w:val="0"/>
                                                                  <w:marBottom w:val="0"/>
                                                                  <w:divBdr>
                                                                    <w:top w:val="none" w:sz="0" w:space="0" w:color="auto"/>
                                                                    <w:left w:val="none" w:sz="0" w:space="0" w:color="auto"/>
                                                                    <w:bottom w:val="none" w:sz="0" w:space="0" w:color="auto"/>
                                                                    <w:right w:val="none" w:sz="0" w:space="0" w:color="auto"/>
                                                                  </w:divBdr>
                                                                  <w:divsChild>
                                                                    <w:div w:id="466051235">
                                                                      <w:marLeft w:val="0"/>
                                                                      <w:marRight w:val="0"/>
                                                                      <w:marTop w:val="0"/>
                                                                      <w:marBottom w:val="0"/>
                                                                      <w:divBdr>
                                                                        <w:top w:val="none" w:sz="0" w:space="0" w:color="auto"/>
                                                                        <w:left w:val="none" w:sz="0" w:space="0" w:color="auto"/>
                                                                        <w:bottom w:val="none" w:sz="0" w:space="0" w:color="auto"/>
                                                                        <w:right w:val="none" w:sz="0" w:space="0" w:color="auto"/>
                                                                      </w:divBdr>
                                                                      <w:divsChild>
                                                                        <w:div w:id="1927956766">
                                                                          <w:marLeft w:val="600"/>
                                                                          <w:marRight w:val="0"/>
                                                                          <w:marTop w:val="0"/>
                                                                          <w:marBottom w:val="0"/>
                                                                          <w:divBdr>
                                                                            <w:top w:val="none" w:sz="0" w:space="0" w:color="auto"/>
                                                                            <w:left w:val="none" w:sz="0" w:space="0" w:color="auto"/>
                                                                            <w:bottom w:val="none" w:sz="0" w:space="0" w:color="auto"/>
                                                                            <w:right w:val="none" w:sz="0" w:space="0" w:color="auto"/>
                                                                          </w:divBdr>
                                                                        </w:div>
                                                                        <w:div w:id="851064669">
                                                                          <w:marLeft w:val="600"/>
                                                                          <w:marRight w:val="0"/>
                                                                          <w:marTop w:val="0"/>
                                                                          <w:marBottom w:val="0"/>
                                                                          <w:divBdr>
                                                                            <w:top w:val="none" w:sz="0" w:space="0" w:color="auto"/>
                                                                            <w:left w:val="none" w:sz="0" w:space="0" w:color="auto"/>
                                                                            <w:bottom w:val="none" w:sz="0" w:space="0" w:color="auto"/>
                                                                            <w:right w:val="none" w:sz="0" w:space="0" w:color="auto"/>
                                                                          </w:divBdr>
                                                                        </w:div>
                                                                        <w:div w:id="2120097151">
                                                                          <w:marLeft w:val="600"/>
                                                                          <w:marRight w:val="0"/>
                                                                          <w:marTop w:val="0"/>
                                                                          <w:marBottom w:val="0"/>
                                                                          <w:divBdr>
                                                                            <w:top w:val="none" w:sz="0" w:space="0" w:color="auto"/>
                                                                            <w:left w:val="none" w:sz="0" w:space="0" w:color="auto"/>
                                                                            <w:bottom w:val="none" w:sz="0" w:space="0" w:color="auto"/>
                                                                            <w:right w:val="none" w:sz="0" w:space="0" w:color="auto"/>
                                                                          </w:divBdr>
                                                                        </w:div>
                                                                        <w:div w:id="414983169">
                                                                          <w:marLeft w:val="600"/>
                                                                          <w:marRight w:val="0"/>
                                                                          <w:marTop w:val="0"/>
                                                                          <w:marBottom w:val="0"/>
                                                                          <w:divBdr>
                                                                            <w:top w:val="none" w:sz="0" w:space="0" w:color="auto"/>
                                                                            <w:left w:val="none" w:sz="0" w:space="0" w:color="auto"/>
                                                                            <w:bottom w:val="none" w:sz="0" w:space="0" w:color="auto"/>
                                                                            <w:right w:val="none" w:sz="0" w:space="0" w:color="auto"/>
                                                                          </w:divBdr>
                                                                        </w:div>
                                                                        <w:div w:id="1060009438">
                                                                          <w:marLeft w:val="600"/>
                                                                          <w:marRight w:val="0"/>
                                                                          <w:marTop w:val="0"/>
                                                                          <w:marBottom w:val="0"/>
                                                                          <w:divBdr>
                                                                            <w:top w:val="none" w:sz="0" w:space="0" w:color="auto"/>
                                                                            <w:left w:val="none" w:sz="0" w:space="0" w:color="auto"/>
                                                                            <w:bottom w:val="none" w:sz="0" w:space="0" w:color="auto"/>
                                                                            <w:right w:val="none" w:sz="0" w:space="0" w:color="auto"/>
                                                                          </w:divBdr>
                                                                        </w:div>
                                                                        <w:div w:id="33818439">
                                                                          <w:marLeft w:val="600"/>
                                                                          <w:marRight w:val="0"/>
                                                                          <w:marTop w:val="0"/>
                                                                          <w:marBottom w:val="0"/>
                                                                          <w:divBdr>
                                                                            <w:top w:val="none" w:sz="0" w:space="0" w:color="auto"/>
                                                                            <w:left w:val="none" w:sz="0" w:space="0" w:color="auto"/>
                                                                            <w:bottom w:val="none" w:sz="0" w:space="0" w:color="auto"/>
                                                                            <w:right w:val="none" w:sz="0" w:space="0" w:color="auto"/>
                                                                          </w:divBdr>
                                                                        </w:div>
                                                                        <w:div w:id="1228883398">
                                                                          <w:marLeft w:val="600"/>
                                                                          <w:marRight w:val="0"/>
                                                                          <w:marTop w:val="0"/>
                                                                          <w:marBottom w:val="0"/>
                                                                          <w:divBdr>
                                                                            <w:top w:val="none" w:sz="0" w:space="0" w:color="auto"/>
                                                                            <w:left w:val="none" w:sz="0" w:space="0" w:color="auto"/>
                                                                            <w:bottom w:val="none" w:sz="0" w:space="0" w:color="auto"/>
                                                                            <w:right w:val="none" w:sz="0" w:space="0" w:color="auto"/>
                                                                          </w:divBdr>
                                                                        </w:div>
                                                                        <w:div w:id="1493981660">
                                                                          <w:marLeft w:val="600"/>
                                                                          <w:marRight w:val="0"/>
                                                                          <w:marTop w:val="0"/>
                                                                          <w:marBottom w:val="0"/>
                                                                          <w:divBdr>
                                                                            <w:top w:val="none" w:sz="0" w:space="0" w:color="auto"/>
                                                                            <w:left w:val="none" w:sz="0" w:space="0" w:color="auto"/>
                                                                            <w:bottom w:val="none" w:sz="0" w:space="0" w:color="auto"/>
                                                                            <w:right w:val="none" w:sz="0" w:space="0" w:color="auto"/>
                                                                          </w:divBdr>
                                                                        </w:div>
                                                                        <w:div w:id="1802966120">
                                                                          <w:marLeft w:val="600"/>
                                                                          <w:marRight w:val="0"/>
                                                                          <w:marTop w:val="0"/>
                                                                          <w:marBottom w:val="0"/>
                                                                          <w:divBdr>
                                                                            <w:top w:val="none" w:sz="0" w:space="0" w:color="auto"/>
                                                                            <w:left w:val="none" w:sz="0" w:space="0" w:color="auto"/>
                                                                            <w:bottom w:val="none" w:sz="0" w:space="0" w:color="auto"/>
                                                                            <w:right w:val="none" w:sz="0" w:space="0" w:color="auto"/>
                                                                          </w:divBdr>
                                                                        </w:div>
                                                                        <w:div w:id="145367000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8223682">
      <w:bodyDiv w:val="1"/>
      <w:marLeft w:val="0"/>
      <w:marRight w:val="0"/>
      <w:marTop w:val="0"/>
      <w:marBottom w:val="0"/>
      <w:divBdr>
        <w:top w:val="none" w:sz="0" w:space="0" w:color="auto"/>
        <w:left w:val="none" w:sz="0" w:space="0" w:color="auto"/>
        <w:bottom w:val="none" w:sz="0" w:space="0" w:color="auto"/>
        <w:right w:val="none" w:sz="0" w:space="0" w:color="auto"/>
      </w:divBdr>
    </w:div>
    <w:div w:id="287127500">
      <w:bodyDiv w:val="1"/>
      <w:marLeft w:val="0"/>
      <w:marRight w:val="0"/>
      <w:marTop w:val="0"/>
      <w:marBottom w:val="0"/>
      <w:divBdr>
        <w:top w:val="none" w:sz="0" w:space="0" w:color="auto"/>
        <w:left w:val="none" w:sz="0" w:space="0" w:color="auto"/>
        <w:bottom w:val="none" w:sz="0" w:space="0" w:color="auto"/>
        <w:right w:val="none" w:sz="0" w:space="0" w:color="auto"/>
      </w:divBdr>
    </w:div>
    <w:div w:id="322777250">
      <w:bodyDiv w:val="1"/>
      <w:marLeft w:val="0"/>
      <w:marRight w:val="0"/>
      <w:marTop w:val="0"/>
      <w:marBottom w:val="0"/>
      <w:divBdr>
        <w:top w:val="none" w:sz="0" w:space="0" w:color="auto"/>
        <w:left w:val="none" w:sz="0" w:space="0" w:color="auto"/>
        <w:bottom w:val="none" w:sz="0" w:space="0" w:color="auto"/>
        <w:right w:val="none" w:sz="0" w:space="0" w:color="auto"/>
      </w:divBdr>
    </w:div>
    <w:div w:id="336155522">
      <w:bodyDiv w:val="1"/>
      <w:marLeft w:val="0"/>
      <w:marRight w:val="0"/>
      <w:marTop w:val="0"/>
      <w:marBottom w:val="0"/>
      <w:divBdr>
        <w:top w:val="none" w:sz="0" w:space="0" w:color="auto"/>
        <w:left w:val="none" w:sz="0" w:space="0" w:color="auto"/>
        <w:bottom w:val="none" w:sz="0" w:space="0" w:color="auto"/>
        <w:right w:val="none" w:sz="0" w:space="0" w:color="auto"/>
      </w:divBdr>
    </w:div>
    <w:div w:id="340664015">
      <w:bodyDiv w:val="1"/>
      <w:marLeft w:val="0"/>
      <w:marRight w:val="0"/>
      <w:marTop w:val="0"/>
      <w:marBottom w:val="0"/>
      <w:divBdr>
        <w:top w:val="none" w:sz="0" w:space="0" w:color="auto"/>
        <w:left w:val="none" w:sz="0" w:space="0" w:color="auto"/>
        <w:bottom w:val="none" w:sz="0" w:space="0" w:color="auto"/>
        <w:right w:val="none" w:sz="0" w:space="0" w:color="auto"/>
      </w:divBdr>
    </w:div>
    <w:div w:id="361706831">
      <w:bodyDiv w:val="1"/>
      <w:marLeft w:val="0"/>
      <w:marRight w:val="0"/>
      <w:marTop w:val="0"/>
      <w:marBottom w:val="0"/>
      <w:divBdr>
        <w:top w:val="none" w:sz="0" w:space="0" w:color="auto"/>
        <w:left w:val="none" w:sz="0" w:space="0" w:color="auto"/>
        <w:bottom w:val="none" w:sz="0" w:space="0" w:color="auto"/>
        <w:right w:val="none" w:sz="0" w:space="0" w:color="auto"/>
      </w:divBdr>
    </w:div>
    <w:div w:id="374163442">
      <w:bodyDiv w:val="1"/>
      <w:marLeft w:val="0"/>
      <w:marRight w:val="0"/>
      <w:marTop w:val="0"/>
      <w:marBottom w:val="0"/>
      <w:divBdr>
        <w:top w:val="none" w:sz="0" w:space="0" w:color="auto"/>
        <w:left w:val="none" w:sz="0" w:space="0" w:color="auto"/>
        <w:bottom w:val="none" w:sz="0" w:space="0" w:color="auto"/>
        <w:right w:val="none" w:sz="0" w:space="0" w:color="auto"/>
      </w:divBdr>
    </w:div>
    <w:div w:id="385180797">
      <w:bodyDiv w:val="1"/>
      <w:marLeft w:val="0"/>
      <w:marRight w:val="0"/>
      <w:marTop w:val="0"/>
      <w:marBottom w:val="0"/>
      <w:divBdr>
        <w:top w:val="none" w:sz="0" w:space="0" w:color="auto"/>
        <w:left w:val="none" w:sz="0" w:space="0" w:color="auto"/>
        <w:bottom w:val="none" w:sz="0" w:space="0" w:color="auto"/>
        <w:right w:val="none" w:sz="0" w:space="0" w:color="auto"/>
      </w:divBdr>
    </w:div>
    <w:div w:id="401678093">
      <w:bodyDiv w:val="1"/>
      <w:marLeft w:val="0"/>
      <w:marRight w:val="0"/>
      <w:marTop w:val="0"/>
      <w:marBottom w:val="0"/>
      <w:divBdr>
        <w:top w:val="none" w:sz="0" w:space="0" w:color="auto"/>
        <w:left w:val="none" w:sz="0" w:space="0" w:color="auto"/>
        <w:bottom w:val="none" w:sz="0" w:space="0" w:color="auto"/>
        <w:right w:val="none" w:sz="0" w:space="0" w:color="auto"/>
      </w:divBdr>
    </w:div>
    <w:div w:id="422259228">
      <w:bodyDiv w:val="1"/>
      <w:marLeft w:val="0"/>
      <w:marRight w:val="0"/>
      <w:marTop w:val="0"/>
      <w:marBottom w:val="0"/>
      <w:divBdr>
        <w:top w:val="none" w:sz="0" w:space="0" w:color="auto"/>
        <w:left w:val="none" w:sz="0" w:space="0" w:color="auto"/>
        <w:bottom w:val="none" w:sz="0" w:space="0" w:color="auto"/>
        <w:right w:val="none" w:sz="0" w:space="0" w:color="auto"/>
      </w:divBdr>
    </w:div>
    <w:div w:id="490102176">
      <w:bodyDiv w:val="1"/>
      <w:marLeft w:val="0"/>
      <w:marRight w:val="0"/>
      <w:marTop w:val="0"/>
      <w:marBottom w:val="0"/>
      <w:divBdr>
        <w:top w:val="none" w:sz="0" w:space="0" w:color="auto"/>
        <w:left w:val="none" w:sz="0" w:space="0" w:color="auto"/>
        <w:bottom w:val="none" w:sz="0" w:space="0" w:color="auto"/>
        <w:right w:val="none" w:sz="0" w:space="0" w:color="auto"/>
      </w:divBdr>
    </w:div>
    <w:div w:id="496847367">
      <w:bodyDiv w:val="1"/>
      <w:marLeft w:val="0"/>
      <w:marRight w:val="0"/>
      <w:marTop w:val="0"/>
      <w:marBottom w:val="0"/>
      <w:divBdr>
        <w:top w:val="none" w:sz="0" w:space="0" w:color="auto"/>
        <w:left w:val="none" w:sz="0" w:space="0" w:color="auto"/>
        <w:bottom w:val="none" w:sz="0" w:space="0" w:color="auto"/>
        <w:right w:val="none" w:sz="0" w:space="0" w:color="auto"/>
      </w:divBdr>
    </w:div>
    <w:div w:id="511801452">
      <w:bodyDiv w:val="1"/>
      <w:marLeft w:val="0"/>
      <w:marRight w:val="0"/>
      <w:marTop w:val="0"/>
      <w:marBottom w:val="0"/>
      <w:divBdr>
        <w:top w:val="none" w:sz="0" w:space="0" w:color="auto"/>
        <w:left w:val="none" w:sz="0" w:space="0" w:color="auto"/>
        <w:bottom w:val="none" w:sz="0" w:space="0" w:color="auto"/>
        <w:right w:val="none" w:sz="0" w:space="0" w:color="auto"/>
      </w:divBdr>
    </w:div>
    <w:div w:id="522134558">
      <w:bodyDiv w:val="1"/>
      <w:marLeft w:val="0"/>
      <w:marRight w:val="0"/>
      <w:marTop w:val="0"/>
      <w:marBottom w:val="0"/>
      <w:divBdr>
        <w:top w:val="none" w:sz="0" w:space="0" w:color="auto"/>
        <w:left w:val="none" w:sz="0" w:space="0" w:color="auto"/>
        <w:bottom w:val="none" w:sz="0" w:space="0" w:color="auto"/>
        <w:right w:val="none" w:sz="0" w:space="0" w:color="auto"/>
      </w:divBdr>
    </w:div>
    <w:div w:id="537008506">
      <w:bodyDiv w:val="1"/>
      <w:marLeft w:val="0"/>
      <w:marRight w:val="0"/>
      <w:marTop w:val="0"/>
      <w:marBottom w:val="0"/>
      <w:divBdr>
        <w:top w:val="none" w:sz="0" w:space="0" w:color="auto"/>
        <w:left w:val="none" w:sz="0" w:space="0" w:color="auto"/>
        <w:bottom w:val="none" w:sz="0" w:space="0" w:color="auto"/>
        <w:right w:val="none" w:sz="0" w:space="0" w:color="auto"/>
      </w:divBdr>
    </w:div>
    <w:div w:id="548347532">
      <w:bodyDiv w:val="1"/>
      <w:marLeft w:val="0"/>
      <w:marRight w:val="0"/>
      <w:marTop w:val="0"/>
      <w:marBottom w:val="0"/>
      <w:divBdr>
        <w:top w:val="none" w:sz="0" w:space="0" w:color="auto"/>
        <w:left w:val="none" w:sz="0" w:space="0" w:color="auto"/>
        <w:bottom w:val="none" w:sz="0" w:space="0" w:color="auto"/>
        <w:right w:val="none" w:sz="0" w:space="0" w:color="auto"/>
      </w:divBdr>
    </w:div>
    <w:div w:id="560333240">
      <w:bodyDiv w:val="1"/>
      <w:marLeft w:val="0"/>
      <w:marRight w:val="0"/>
      <w:marTop w:val="0"/>
      <w:marBottom w:val="0"/>
      <w:divBdr>
        <w:top w:val="none" w:sz="0" w:space="0" w:color="auto"/>
        <w:left w:val="none" w:sz="0" w:space="0" w:color="auto"/>
        <w:bottom w:val="none" w:sz="0" w:space="0" w:color="auto"/>
        <w:right w:val="none" w:sz="0" w:space="0" w:color="auto"/>
      </w:divBdr>
    </w:div>
    <w:div w:id="571046399">
      <w:bodyDiv w:val="1"/>
      <w:marLeft w:val="0"/>
      <w:marRight w:val="0"/>
      <w:marTop w:val="0"/>
      <w:marBottom w:val="0"/>
      <w:divBdr>
        <w:top w:val="none" w:sz="0" w:space="0" w:color="auto"/>
        <w:left w:val="none" w:sz="0" w:space="0" w:color="auto"/>
        <w:bottom w:val="none" w:sz="0" w:space="0" w:color="auto"/>
        <w:right w:val="none" w:sz="0" w:space="0" w:color="auto"/>
      </w:divBdr>
    </w:div>
    <w:div w:id="591932311">
      <w:bodyDiv w:val="1"/>
      <w:marLeft w:val="0"/>
      <w:marRight w:val="0"/>
      <w:marTop w:val="0"/>
      <w:marBottom w:val="0"/>
      <w:divBdr>
        <w:top w:val="none" w:sz="0" w:space="0" w:color="auto"/>
        <w:left w:val="none" w:sz="0" w:space="0" w:color="auto"/>
        <w:bottom w:val="none" w:sz="0" w:space="0" w:color="auto"/>
        <w:right w:val="none" w:sz="0" w:space="0" w:color="auto"/>
      </w:divBdr>
    </w:div>
    <w:div w:id="627247275">
      <w:bodyDiv w:val="1"/>
      <w:marLeft w:val="0"/>
      <w:marRight w:val="0"/>
      <w:marTop w:val="0"/>
      <w:marBottom w:val="0"/>
      <w:divBdr>
        <w:top w:val="none" w:sz="0" w:space="0" w:color="auto"/>
        <w:left w:val="none" w:sz="0" w:space="0" w:color="auto"/>
        <w:bottom w:val="none" w:sz="0" w:space="0" w:color="auto"/>
        <w:right w:val="none" w:sz="0" w:space="0" w:color="auto"/>
      </w:divBdr>
    </w:div>
    <w:div w:id="651057936">
      <w:bodyDiv w:val="1"/>
      <w:marLeft w:val="0"/>
      <w:marRight w:val="0"/>
      <w:marTop w:val="0"/>
      <w:marBottom w:val="0"/>
      <w:divBdr>
        <w:top w:val="none" w:sz="0" w:space="0" w:color="auto"/>
        <w:left w:val="none" w:sz="0" w:space="0" w:color="auto"/>
        <w:bottom w:val="none" w:sz="0" w:space="0" w:color="auto"/>
        <w:right w:val="none" w:sz="0" w:space="0" w:color="auto"/>
      </w:divBdr>
    </w:div>
    <w:div w:id="655187533">
      <w:bodyDiv w:val="1"/>
      <w:marLeft w:val="0"/>
      <w:marRight w:val="0"/>
      <w:marTop w:val="0"/>
      <w:marBottom w:val="0"/>
      <w:divBdr>
        <w:top w:val="none" w:sz="0" w:space="0" w:color="auto"/>
        <w:left w:val="none" w:sz="0" w:space="0" w:color="auto"/>
        <w:bottom w:val="none" w:sz="0" w:space="0" w:color="auto"/>
        <w:right w:val="none" w:sz="0" w:space="0" w:color="auto"/>
      </w:divBdr>
    </w:div>
    <w:div w:id="657415830">
      <w:bodyDiv w:val="1"/>
      <w:marLeft w:val="0"/>
      <w:marRight w:val="0"/>
      <w:marTop w:val="0"/>
      <w:marBottom w:val="0"/>
      <w:divBdr>
        <w:top w:val="none" w:sz="0" w:space="0" w:color="auto"/>
        <w:left w:val="none" w:sz="0" w:space="0" w:color="auto"/>
        <w:bottom w:val="none" w:sz="0" w:space="0" w:color="auto"/>
        <w:right w:val="none" w:sz="0" w:space="0" w:color="auto"/>
      </w:divBdr>
    </w:div>
    <w:div w:id="689112553">
      <w:bodyDiv w:val="1"/>
      <w:marLeft w:val="0"/>
      <w:marRight w:val="0"/>
      <w:marTop w:val="0"/>
      <w:marBottom w:val="0"/>
      <w:divBdr>
        <w:top w:val="none" w:sz="0" w:space="0" w:color="auto"/>
        <w:left w:val="none" w:sz="0" w:space="0" w:color="auto"/>
        <w:bottom w:val="none" w:sz="0" w:space="0" w:color="auto"/>
        <w:right w:val="none" w:sz="0" w:space="0" w:color="auto"/>
      </w:divBdr>
    </w:div>
    <w:div w:id="693767315">
      <w:bodyDiv w:val="1"/>
      <w:marLeft w:val="0"/>
      <w:marRight w:val="0"/>
      <w:marTop w:val="0"/>
      <w:marBottom w:val="0"/>
      <w:divBdr>
        <w:top w:val="none" w:sz="0" w:space="0" w:color="auto"/>
        <w:left w:val="none" w:sz="0" w:space="0" w:color="auto"/>
        <w:bottom w:val="none" w:sz="0" w:space="0" w:color="auto"/>
        <w:right w:val="none" w:sz="0" w:space="0" w:color="auto"/>
      </w:divBdr>
    </w:div>
    <w:div w:id="693923075">
      <w:bodyDiv w:val="1"/>
      <w:marLeft w:val="0"/>
      <w:marRight w:val="0"/>
      <w:marTop w:val="0"/>
      <w:marBottom w:val="0"/>
      <w:divBdr>
        <w:top w:val="none" w:sz="0" w:space="0" w:color="auto"/>
        <w:left w:val="none" w:sz="0" w:space="0" w:color="auto"/>
        <w:bottom w:val="none" w:sz="0" w:space="0" w:color="auto"/>
        <w:right w:val="none" w:sz="0" w:space="0" w:color="auto"/>
      </w:divBdr>
    </w:div>
    <w:div w:id="696741182">
      <w:bodyDiv w:val="1"/>
      <w:marLeft w:val="0"/>
      <w:marRight w:val="0"/>
      <w:marTop w:val="0"/>
      <w:marBottom w:val="0"/>
      <w:divBdr>
        <w:top w:val="none" w:sz="0" w:space="0" w:color="auto"/>
        <w:left w:val="none" w:sz="0" w:space="0" w:color="auto"/>
        <w:bottom w:val="none" w:sz="0" w:space="0" w:color="auto"/>
        <w:right w:val="none" w:sz="0" w:space="0" w:color="auto"/>
      </w:divBdr>
    </w:div>
    <w:div w:id="710157308">
      <w:bodyDiv w:val="1"/>
      <w:marLeft w:val="0"/>
      <w:marRight w:val="0"/>
      <w:marTop w:val="0"/>
      <w:marBottom w:val="0"/>
      <w:divBdr>
        <w:top w:val="none" w:sz="0" w:space="0" w:color="auto"/>
        <w:left w:val="none" w:sz="0" w:space="0" w:color="auto"/>
        <w:bottom w:val="none" w:sz="0" w:space="0" w:color="auto"/>
        <w:right w:val="none" w:sz="0" w:space="0" w:color="auto"/>
      </w:divBdr>
    </w:div>
    <w:div w:id="723412178">
      <w:bodyDiv w:val="1"/>
      <w:marLeft w:val="0"/>
      <w:marRight w:val="0"/>
      <w:marTop w:val="0"/>
      <w:marBottom w:val="0"/>
      <w:divBdr>
        <w:top w:val="none" w:sz="0" w:space="0" w:color="auto"/>
        <w:left w:val="none" w:sz="0" w:space="0" w:color="auto"/>
        <w:bottom w:val="none" w:sz="0" w:space="0" w:color="auto"/>
        <w:right w:val="none" w:sz="0" w:space="0" w:color="auto"/>
      </w:divBdr>
    </w:div>
    <w:div w:id="725954091">
      <w:bodyDiv w:val="1"/>
      <w:marLeft w:val="0"/>
      <w:marRight w:val="0"/>
      <w:marTop w:val="0"/>
      <w:marBottom w:val="0"/>
      <w:divBdr>
        <w:top w:val="none" w:sz="0" w:space="0" w:color="auto"/>
        <w:left w:val="none" w:sz="0" w:space="0" w:color="auto"/>
        <w:bottom w:val="none" w:sz="0" w:space="0" w:color="auto"/>
        <w:right w:val="none" w:sz="0" w:space="0" w:color="auto"/>
      </w:divBdr>
    </w:div>
    <w:div w:id="762065535">
      <w:bodyDiv w:val="1"/>
      <w:marLeft w:val="0"/>
      <w:marRight w:val="0"/>
      <w:marTop w:val="0"/>
      <w:marBottom w:val="0"/>
      <w:divBdr>
        <w:top w:val="none" w:sz="0" w:space="0" w:color="auto"/>
        <w:left w:val="none" w:sz="0" w:space="0" w:color="auto"/>
        <w:bottom w:val="none" w:sz="0" w:space="0" w:color="auto"/>
        <w:right w:val="none" w:sz="0" w:space="0" w:color="auto"/>
      </w:divBdr>
    </w:div>
    <w:div w:id="776754808">
      <w:bodyDiv w:val="1"/>
      <w:marLeft w:val="0"/>
      <w:marRight w:val="0"/>
      <w:marTop w:val="0"/>
      <w:marBottom w:val="0"/>
      <w:divBdr>
        <w:top w:val="none" w:sz="0" w:space="0" w:color="auto"/>
        <w:left w:val="none" w:sz="0" w:space="0" w:color="auto"/>
        <w:bottom w:val="none" w:sz="0" w:space="0" w:color="auto"/>
        <w:right w:val="none" w:sz="0" w:space="0" w:color="auto"/>
      </w:divBdr>
    </w:div>
    <w:div w:id="789714167">
      <w:bodyDiv w:val="1"/>
      <w:marLeft w:val="0"/>
      <w:marRight w:val="0"/>
      <w:marTop w:val="0"/>
      <w:marBottom w:val="0"/>
      <w:divBdr>
        <w:top w:val="none" w:sz="0" w:space="0" w:color="auto"/>
        <w:left w:val="none" w:sz="0" w:space="0" w:color="auto"/>
        <w:bottom w:val="none" w:sz="0" w:space="0" w:color="auto"/>
        <w:right w:val="none" w:sz="0" w:space="0" w:color="auto"/>
      </w:divBdr>
    </w:div>
    <w:div w:id="799495312">
      <w:bodyDiv w:val="1"/>
      <w:marLeft w:val="0"/>
      <w:marRight w:val="0"/>
      <w:marTop w:val="0"/>
      <w:marBottom w:val="0"/>
      <w:divBdr>
        <w:top w:val="none" w:sz="0" w:space="0" w:color="auto"/>
        <w:left w:val="none" w:sz="0" w:space="0" w:color="auto"/>
        <w:bottom w:val="none" w:sz="0" w:space="0" w:color="auto"/>
        <w:right w:val="none" w:sz="0" w:space="0" w:color="auto"/>
      </w:divBdr>
    </w:div>
    <w:div w:id="806358553">
      <w:bodyDiv w:val="1"/>
      <w:marLeft w:val="0"/>
      <w:marRight w:val="0"/>
      <w:marTop w:val="0"/>
      <w:marBottom w:val="0"/>
      <w:divBdr>
        <w:top w:val="none" w:sz="0" w:space="0" w:color="auto"/>
        <w:left w:val="none" w:sz="0" w:space="0" w:color="auto"/>
        <w:bottom w:val="none" w:sz="0" w:space="0" w:color="auto"/>
        <w:right w:val="none" w:sz="0" w:space="0" w:color="auto"/>
      </w:divBdr>
    </w:div>
    <w:div w:id="814566186">
      <w:bodyDiv w:val="1"/>
      <w:marLeft w:val="0"/>
      <w:marRight w:val="0"/>
      <w:marTop w:val="0"/>
      <w:marBottom w:val="0"/>
      <w:divBdr>
        <w:top w:val="none" w:sz="0" w:space="0" w:color="auto"/>
        <w:left w:val="none" w:sz="0" w:space="0" w:color="auto"/>
        <w:bottom w:val="none" w:sz="0" w:space="0" w:color="auto"/>
        <w:right w:val="none" w:sz="0" w:space="0" w:color="auto"/>
      </w:divBdr>
    </w:div>
    <w:div w:id="846867800">
      <w:bodyDiv w:val="1"/>
      <w:marLeft w:val="0"/>
      <w:marRight w:val="0"/>
      <w:marTop w:val="0"/>
      <w:marBottom w:val="0"/>
      <w:divBdr>
        <w:top w:val="none" w:sz="0" w:space="0" w:color="auto"/>
        <w:left w:val="none" w:sz="0" w:space="0" w:color="auto"/>
        <w:bottom w:val="none" w:sz="0" w:space="0" w:color="auto"/>
        <w:right w:val="none" w:sz="0" w:space="0" w:color="auto"/>
      </w:divBdr>
    </w:div>
    <w:div w:id="846939236">
      <w:bodyDiv w:val="1"/>
      <w:marLeft w:val="0"/>
      <w:marRight w:val="0"/>
      <w:marTop w:val="0"/>
      <w:marBottom w:val="0"/>
      <w:divBdr>
        <w:top w:val="none" w:sz="0" w:space="0" w:color="auto"/>
        <w:left w:val="none" w:sz="0" w:space="0" w:color="auto"/>
        <w:bottom w:val="none" w:sz="0" w:space="0" w:color="auto"/>
        <w:right w:val="none" w:sz="0" w:space="0" w:color="auto"/>
      </w:divBdr>
    </w:div>
    <w:div w:id="869879895">
      <w:bodyDiv w:val="1"/>
      <w:marLeft w:val="0"/>
      <w:marRight w:val="0"/>
      <w:marTop w:val="0"/>
      <w:marBottom w:val="0"/>
      <w:divBdr>
        <w:top w:val="none" w:sz="0" w:space="0" w:color="auto"/>
        <w:left w:val="none" w:sz="0" w:space="0" w:color="auto"/>
        <w:bottom w:val="none" w:sz="0" w:space="0" w:color="auto"/>
        <w:right w:val="none" w:sz="0" w:space="0" w:color="auto"/>
      </w:divBdr>
    </w:div>
    <w:div w:id="900169582">
      <w:bodyDiv w:val="1"/>
      <w:marLeft w:val="0"/>
      <w:marRight w:val="0"/>
      <w:marTop w:val="0"/>
      <w:marBottom w:val="0"/>
      <w:divBdr>
        <w:top w:val="none" w:sz="0" w:space="0" w:color="auto"/>
        <w:left w:val="none" w:sz="0" w:space="0" w:color="auto"/>
        <w:bottom w:val="none" w:sz="0" w:space="0" w:color="auto"/>
        <w:right w:val="none" w:sz="0" w:space="0" w:color="auto"/>
      </w:divBdr>
    </w:div>
    <w:div w:id="911155699">
      <w:bodyDiv w:val="1"/>
      <w:marLeft w:val="0"/>
      <w:marRight w:val="0"/>
      <w:marTop w:val="0"/>
      <w:marBottom w:val="0"/>
      <w:divBdr>
        <w:top w:val="none" w:sz="0" w:space="0" w:color="auto"/>
        <w:left w:val="none" w:sz="0" w:space="0" w:color="auto"/>
        <w:bottom w:val="none" w:sz="0" w:space="0" w:color="auto"/>
        <w:right w:val="none" w:sz="0" w:space="0" w:color="auto"/>
      </w:divBdr>
    </w:div>
    <w:div w:id="911310789">
      <w:bodyDiv w:val="1"/>
      <w:marLeft w:val="0"/>
      <w:marRight w:val="0"/>
      <w:marTop w:val="0"/>
      <w:marBottom w:val="0"/>
      <w:divBdr>
        <w:top w:val="none" w:sz="0" w:space="0" w:color="auto"/>
        <w:left w:val="none" w:sz="0" w:space="0" w:color="auto"/>
        <w:bottom w:val="none" w:sz="0" w:space="0" w:color="auto"/>
        <w:right w:val="none" w:sz="0" w:space="0" w:color="auto"/>
      </w:divBdr>
    </w:div>
    <w:div w:id="924218113">
      <w:bodyDiv w:val="1"/>
      <w:marLeft w:val="0"/>
      <w:marRight w:val="0"/>
      <w:marTop w:val="0"/>
      <w:marBottom w:val="0"/>
      <w:divBdr>
        <w:top w:val="none" w:sz="0" w:space="0" w:color="auto"/>
        <w:left w:val="none" w:sz="0" w:space="0" w:color="auto"/>
        <w:bottom w:val="none" w:sz="0" w:space="0" w:color="auto"/>
        <w:right w:val="none" w:sz="0" w:space="0" w:color="auto"/>
      </w:divBdr>
    </w:div>
    <w:div w:id="929044590">
      <w:bodyDiv w:val="1"/>
      <w:marLeft w:val="0"/>
      <w:marRight w:val="0"/>
      <w:marTop w:val="0"/>
      <w:marBottom w:val="0"/>
      <w:divBdr>
        <w:top w:val="none" w:sz="0" w:space="0" w:color="auto"/>
        <w:left w:val="none" w:sz="0" w:space="0" w:color="auto"/>
        <w:bottom w:val="none" w:sz="0" w:space="0" w:color="auto"/>
        <w:right w:val="none" w:sz="0" w:space="0" w:color="auto"/>
      </w:divBdr>
    </w:div>
    <w:div w:id="939487105">
      <w:bodyDiv w:val="1"/>
      <w:marLeft w:val="0"/>
      <w:marRight w:val="0"/>
      <w:marTop w:val="0"/>
      <w:marBottom w:val="0"/>
      <w:divBdr>
        <w:top w:val="none" w:sz="0" w:space="0" w:color="auto"/>
        <w:left w:val="none" w:sz="0" w:space="0" w:color="auto"/>
        <w:bottom w:val="none" w:sz="0" w:space="0" w:color="auto"/>
        <w:right w:val="none" w:sz="0" w:space="0" w:color="auto"/>
      </w:divBdr>
    </w:div>
    <w:div w:id="939797321">
      <w:bodyDiv w:val="1"/>
      <w:marLeft w:val="0"/>
      <w:marRight w:val="0"/>
      <w:marTop w:val="0"/>
      <w:marBottom w:val="0"/>
      <w:divBdr>
        <w:top w:val="none" w:sz="0" w:space="0" w:color="auto"/>
        <w:left w:val="none" w:sz="0" w:space="0" w:color="auto"/>
        <w:bottom w:val="none" w:sz="0" w:space="0" w:color="auto"/>
        <w:right w:val="none" w:sz="0" w:space="0" w:color="auto"/>
      </w:divBdr>
    </w:div>
    <w:div w:id="952251253">
      <w:bodyDiv w:val="1"/>
      <w:marLeft w:val="0"/>
      <w:marRight w:val="0"/>
      <w:marTop w:val="0"/>
      <w:marBottom w:val="0"/>
      <w:divBdr>
        <w:top w:val="none" w:sz="0" w:space="0" w:color="auto"/>
        <w:left w:val="none" w:sz="0" w:space="0" w:color="auto"/>
        <w:bottom w:val="none" w:sz="0" w:space="0" w:color="auto"/>
        <w:right w:val="none" w:sz="0" w:space="0" w:color="auto"/>
      </w:divBdr>
    </w:div>
    <w:div w:id="952439402">
      <w:bodyDiv w:val="1"/>
      <w:marLeft w:val="0"/>
      <w:marRight w:val="0"/>
      <w:marTop w:val="0"/>
      <w:marBottom w:val="0"/>
      <w:divBdr>
        <w:top w:val="none" w:sz="0" w:space="0" w:color="auto"/>
        <w:left w:val="none" w:sz="0" w:space="0" w:color="auto"/>
        <w:bottom w:val="none" w:sz="0" w:space="0" w:color="auto"/>
        <w:right w:val="none" w:sz="0" w:space="0" w:color="auto"/>
      </w:divBdr>
    </w:div>
    <w:div w:id="963460338">
      <w:bodyDiv w:val="1"/>
      <w:marLeft w:val="0"/>
      <w:marRight w:val="0"/>
      <w:marTop w:val="0"/>
      <w:marBottom w:val="0"/>
      <w:divBdr>
        <w:top w:val="none" w:sz="0" w:space="0" w:color="auto"/>
        <w:left w:val="none" w:sz="0" w:space="0" w:color="auto"/>
        <w:bottom w:val="none" w:sz="0" w:space="0" w:color="auto"/>
        <w:right w:val="none" w:sz="0" w:space="0" w:color="auto"/>
      </w:divBdr>
    </w:div>
    <w:div w:id="976766563">
      <w:bodyDiv w:val="1"/>
      <w:marLeft w:val="0"/>
      <w:marRight w:val="0"/>
      <w:marTop w:val="0"/>
      <w:marBottom w:val="0"/>
      <w:divBdr>
        <w:top w:val="none" w:sz="0" w:space="0" w:color="auto"/>
        <w:left w:val="none" w:sz="0" w:space="0" w:color="auto"/>
        <w:bottom w:val="none" w:sz="0" w:space="0" w:color="auto"/>
        <w:right w:val="none" w:sz="0" w:space="0" w:color="auto"/>
      </w:divBdr>
    </w:div>
    <w:div w:id="978993673">
      <w:bodyDiv w:val="1"/>
      <w:marLeft w:val="0"/>
      <w:marRight w:val="0"/>
      <w:marTop w:val="0"/>
      <w:marBottom w:val="0"/>
      <w:divBdr>
        <w:top w:val="none" w:sz="0" w:space="0" w:color="auto"/>
        <w:left w:val="none" w:sz="0" w:space="0" w:color="auto"/>
        <w:bottom w:val="none" w:sz="0" w:space="0" w:color="auto"/>
        <w:right w:val="none" w:sz="0" w:space="0" w:color="auto"/>
      </w:divBdr>
    </w:div>
    <w:div w:id="990331005">
      <w:bodyDiv w:val="1"/>
      <w:marLeft w:val="0"/>
      <w:marRight w:val="0"/>
      <w:marTop w:val="0"/>
      <w:marBottom w:val="0"/>
      <w:divBdr>
        <w:top w:val="none" w:sz="0" w:space="0" w:color="auto"/>
        <w:left w:val="none" w:sz="0" w:space="0" w:color="auto"/>
        <w:bottom w:val="none" w:sz="0" w:space="0" w:color="auto"/>
        <w:right w:val="none" w:sz="0" w:space="0" w:color="auto"/>
      </w:divBdr>
    </w:div>
    <w:div w:id="1018695956">
      <w:bodyDiv w:val="1"/>
      <w:marLeft w:val="0"/>
      <w:marRight w:val="0"/>
      <w:marTop w:val="0"/>
      <w:marBottom w:val="0"/>
      <w:divBdr>
        <w:top w:val="none" w:sz="0" w:space="0" w:color="auto"/>
        <w:left w:val="none" w:sz="0" w:space="0" w:color="auto"/>
        <w:bottom w:val="none" w:sz="0" w:space="0" w:color="auto"/>
        <w:right w:val="none" w:sz="0" w:space="0" w:color="auto"/>
      </w:divBdr>
    </w:div>
    <w:div w:id="1036081600">
      <w:bodyDiv w:val="1"/>
      <w:marLeft w:val="0"/>
      <w:marRight w:val="0"/>
      <w:marTop w:val="0"/>
      <w:marBottom w:val="0"/>
      <w:divBdr>
        <w:top w:val="none" w:sz="0" w:space="0" w:color="auto"/>
        <w:left w:val="none" w:sz="0" w:space="0" w:color="auto"/>
        <w:bottom w:val="none" w:sz="0" w:space="0" w:color="auto"/>
        <w:right w:val="none" w:sz="0" w:space="0" w:color="auto"/>
      </w:divBdr>
    </w:div>
    <w:div w:id="1039160342">
      <w:bodyDiv w:val="1"/>
      <w:marLeft w:val="0"/>
      <w:marRight w:val="0"/>
      <w:marTop w:val="0"/>
      <w:marBottom w:val="0"/>
      <w:divBdr>
        <w:top w:val="none" w:sz="0" w:space="0" w:color="auto"/>
        <w:left w:val="none" w:sz="0" w:space="0" w:color="auto"/>
        <w:bottom w:val="none" w:sz="0" w:space="0" w:color="auto"/>
        <w:right w:val="none" w:sz="0" w:space="0" w:color="auto"/>
      </w:divBdr>
    </w:div>
    <w:div w:id="1052385565">
      <w:bodyDiv w:val="1"/>
      <w:marLeft w:val="0"/>
      <w:marRight w:val="0"/>
      <w:marTop w:val="0"/>
      <w:marBottom w:val="0"/>
      <w:divBdr>
        <w:top w:val="none" w:sz="0" w:space="0" w:color="auto"/>
        <w:left w:val="none" w:sz="0" w:space="0" w:color="auto"/>
        <w:bottom w:val="none" w:sz="0" w:space="0" w:color="auto"/>
        <w:right w:val="none" w:sz="0" w:space="0" w:color="auto"/>
      </w:divBdr>
    </w:div>
    <w:div w:id="1055277383">
      <w:bodyDiv w:val="1"/>
      <w:marLeft w:val="0"/>
      <w:marRight w:val="0"/>
      <w:marTop w:val="0"/>
      <w:marBottom w:val="0"/>
      <w:divBdr>
        <w:top w:val="none" w:sz="0" w:space="0" w:color="auto"/>
        <w:left w:val="none" w:sz="0" w:space="0" w:color="auto"/>
        <w:bottom w:val="none" w:sz="0" w:space="0" w:color="auto"/>
        <w:right w:val="none" w:sz="0" w:space="0" w:color="auto"/>
      </w:divBdr>
    </w:div>
    <w:div w:id="1056003402">
      <w:bodyDiv w:val="1"/>
      <w:marLeft w:val="0"/>
      <w:marRight w:val="0"/>
      <w:marTop w:val="0"/>
      <w:marBottom w:val="0"/>
      <w:divBdr>
        <w:top w:val="none" w:sz="0" w:space="0" w:color="auto"/>
        <w:left w:val="none" w:sz="0" w:space="0" w:color="auto"/>
        <w:bottom w:val="none" w:sz="0" w:space="0" w:color="auto"/>
        <w:right w:val="none" w:sz="0" w:space="0" w:color="auto"/>
      </w:divBdr>
    </w:div>
    <w:div w:id="1057239401">
      <w:bodyDiv w:val="1"/>
      <w:marLeft w:val="0"/>
      <w:marRight w:val="0"/>
      <w:marTop w:val="0"/>
      <w:marBottom w:val="0"/>
      <w:divBdr>
        <w:top w:val="none" w:sz="0" w:space="0" w:color="auto"/>
        <w:left w:val="none" w:sz="0" w:space="0" w:color="auto"/>
        <w:bottom w:val="none" w:sz="0" w:space="0" w:color="auto"/>
        <w:right w:val="none" w:sz="0" w:space="0" w:color="auto"/>
      </w:divBdr>
    </w:div>
    <w:div w:id="1061252325">
      <w:bodyDiv w:val="1"/>
      <w:marLeft w:val="0"/>
      <w:marRight w:val="0"/>
      <w:marTop w:val="0"/>
      <w:marBottom w:val="0"/>
      <w:divBdr>
        <w:top w:val="none" w:sz="0" w:space="0" w:color="auto"/>
        <w:left w:val="none" w:sz="0" w:space="0" w:color="auto"/>
        <w:bottom w:val="none" w:sz="0" w:space="0" w:color="auto"/>
        <w:right w:val="none" w:sz="0" w:space="0" w:color="auto"/>
      </w:divBdr>
    </w:div>
    <w:div w:id="1089695803">
      <w:bodyDiv w:val="1"/>
      <w:marLeft w:val="0"/>
      <w:marRight w:val="0"/>
      <w:marTop w:val="0"/>
      <w:marBottom w:val="0"/>
      <w:divBdr>
        <w:top w:val="none" w:sz="0" w:space="0" w:color="auto"/>
        <w:left w:val="none" w:sz="0" w:space="0" w:color="auto"/>
        <w:bottom w:val="none" w:sz="0" w:space="0" w:color="auto"/>
        <w:right w:val="none" w:sz="0" w:space="0" w:color="auto"/>
      </w:divBdr>
    </w:div>
    <w:div w:id="1104615725">
      <w:bodyDiv w:val="1"/>
      <w:marLeft w:val="0"/>
      <w:marRight w:val="0"/>
      <w:marTop w:val="0"/>
      <w:marBottom w:val="0"/>
      <w:divBdr>
        <w:top w:val="none" w:sz="0" w:space="0" w:color="auto"/>
        <w:left w:val="none" w:sz="0" w:space="0" w:color="auto"/>
        <w:bottom w:val="none" w:sz="0" w:space="0" w:color="auto"/>
        <w:right w:val="none" w:sz="0" w:space="0" w:color="auto"/>
      </w:divBdr>
    </w:div>
    <w:div w:id="1115365612">
      <w:bodyDiv w:val="1"/>
      <w:marLeft w:val="0"/>
      <w:marRight w:val="0"/>
      <w:marTop w:val="0"/>
      <w:marBottom w:val="0"/>
      <w:divBdr>
        <w:top w:val="none" w:sz="0" w:space="0" w:color="auto"/>
        <w:left w:val="none" w:sz="0" w:space="0" w:color="auto"/>
        <w:bottom w:val="none" w:sz="0" w:space="0" w:color="auto"/>
        <w:right w:val="none" w:sz="0" w:space="0" w:color="auto"/>
      </w:divBdr>
    </w:div>
    <w:div w:id="1121463375">
      <w:bodyDiv w:val="1"/>
      <w:marLeft w:val="0"/>
      <w:marRight w:val="0"/>
      <w:marTop w:val="0"/>
      <w:marBottom w:val="0"/>
      <w:divBdr>
        <w:top w:val="none" w:sz="0" w:space="0" w:color="auto"/>
        <w:left w:val="none" w:sz="0" w:space="0" w:color="auto"/>
        <w:bottom w:val="none" w:sz="0" w:space="0" w:color="auto"/>
        <w:right w:val="none" w:sz="0" w:space="0" w:color="auto"/>
      </w:divBdr>
    </w:div>
    <w:div w:id="1125545649">
      <w:bodyDiv w:val="1"/>
      <w:marLeft w:val="0"/>
      <w:marRight w:val="0"/>
      <w:marTop w:val="0"/>
      <w:marBottom w:val="0"/>
      <w:divBdr>
        <w:top w:val="none" w:sz="0" w:space="0" w:color="auto"/>
        <w:left w:val="none" w:sz="0" w:space="0" w:color="auto"/>
        <w:bottom w:val="none" w:sz="0" w:space="0" w:color="auto"/>
        <w:right w:val="none" w:sz="0" w:space="0" w:color="auto"/>
      </w:divBdr>
    </w:div>
    <w:div w:id="1133325359">
      <w:bodyDiv w:val="1"/>
      <w:marLeft w:val="0"/>
      <w:marRight w:val="0"/>
      <w:marTop w:val="0"/>
      <w:marBottom w:val="0"/>
      <w:divBdr>
        <w:top w:val="none" w:sz="0" w:space="0" w:color="auto"/>
        <w:left w:val="none" w:sz="0" w:space="0" w:color="auto"/>
        <w:bottom w:val="none" w:sz="0" w:space="0" w:color="auto"/>
        <w:right w:val="none" w:sz="0" w:space="0" w:color="auto"/>
      </w:divBdr>
    </w:div>
    <w:div w:id="1134566222">
      <w:bodyDiv w:val="1"/>
      <w:marLeft w:val="0"/>
      <w:marRight w:val="0"/>
      <w:marTop w:val="0"/>
      <w:marBottom w:val="0"/>
      <w:divBdr>
        <w:top w:val="none" w:sz="0" w:space="0" w:color="auto"/>
        <w:left w:val="none" w:sz="0" w:space="0" w:color="auto"/>
        <w:bottom w:val="none" w:sz="0" w:space="0" w:color="auto"/>
        <w:right w:val="none" w:sz="0" w:space="0" w:color="auto"/>
      </w:divBdr>
    </w:div>
    <w:div w:id="1158112243">
      <w:bodyDiv w:val="1"/>
      <w:marLeft w:val="0"/>
      <w:marRight w:val="0"/>
      <w:marTop w:val="0"/>
      <w:marBottom w:val="0"/>
      <w:divBdr>
        <w:top w:val="none" w:sz="0" w:space="0" w:color="auto"/>
        <w:left w:val="none" w:sz="0" w:space="0" w:color="auto"/>
        <w:bottom w:val="none" w:sz="0" w:space="0" w:color="auto"/>
        <w:right w:val="none" w:sz="0" w:space="0" w:color="auto"/>
      </w:divBdr>
    </w:div>
    <w:div w:id="1237666901">
      <w:bodyDiv w:val="1"/>
      <w:marLeft w:val="0"/>
      <w:marRight w:val="0"/>
      <w:marTop w:val="0"/>
      <w:marBottom w:val="0"/>
      <w:divBdr>
        <w:top w:val="none" w:sz="0" w:space="0" w:color="auto"/>
        <w:left w:val="none" w:sz="0" w:space="0" w:color="auto"/>
        <w:bottom w:val="none" w:sz="0" w:space="0" w:color="auto"/>
        <w:right w:val="none" w:sz="0" w:space="0" w:color="auto"/>
      </w:divBdr>
    </w:div>
    <w:div w:id="1259563577">
      <w:bodyDiv w:val="1"/>
      <w:marLeft w:val="0"/>
      <w:marRight w:val="0"/>
      <w:marTop w:val="0"/>
      <w:marBottom w:val="0"/>
      <w:divBdr>
        <w:top w:val="none" w:sz="0" w:space="0" w:color="auto"/>
        <w:left w:val="none" w:sz="0" w:space="0" w:color="auto"/>
        <w:bottom w:val="none" w:sz="0" w:space="0" w:color="auto"/>
        <w:right w:val="none" w:sz="0" w:space="0" w:color="auto"/>
      </w:divBdr>
    </w:div>
    <w:div w:id="1266113022">
      <w:bodyDiv w:val="1"/>
      <w:marLeft w:val="0"/>
      <w:marRight w:val="0"/>
      <w:marTop w:val="0"/>
      <w:marBottom w:val="0"/>
      <w:divBdr>
        <w:top w:val="none" w:sz="0" w:space="0" w:color="auto"/>
        <w:left w:val="none" w:sz="0" w:space="0" w:color="auto"/>
        <w:bottom w:val="none" w:sz="0" w:space="0" w:color="auto"/>
        <w:right w:val="none" w:sz="0" w:space="0" w:color="auto"/>
      </w:divBdr>
    </w:div>
    <w:div w:id="1346204749">
      <w:bodyDiv w:val="1"/>
      <w:marLeft w:val="0"/>
      <w:marRight w:val="0"/>
      <w:marTop w:val="0"/>
      <w:marBottom w:val="0"/>
      <w:divBdr>
        <w:top w:val="none" w:sz="0" w:space="0" w:color="auto"/>
        <w:left w:val="none" w:sz="0" w:space="0" w:color="auto"/>
        <w:bottom w:val="none" w:sz="0" w:space="0" w:color="auto"/>
        <w:right w:val="none" w:sz="0" w:space="0" w:color="auto"/>
      </w:divBdr>
    </w:div>
    <w:div w:id="1373263642">
      <w:bodyDiv w:val="1"/>
      <w:marLeft w:val="0"/>
      <w:marRight w:val="0"/>
      <w:marTop w:val="0"/>
      <w:marBottom w:val="0"/>
      <w:divBdr>
        <w:top w:val="none" w:sz="0" w:space="0" w:color="auto"/>
        <w:left w:val="none" w:sz="0" w:space="0" w:color="auto"/>
        <w:bottom w:val="none" w:sz="0" w:space="0" w:color="auto"/>
        <w:right w:val="none" w:sz="0" w:space="0" w:color="auto"/>
      </w:divBdr>
    </w:div>
    <w:div w:id="1385760848">
      <w:bodyDiv w:val="1"/>
      <w:marLeft w:val="0"/>
      <w:marRight w:val="0"/>
      <w:marTop w:val="0"/>
      <w:marBottom w:val="0"/>
      <w:divBdr>
        <w:top w:val="none" w:sz="0" w:space="0" w:color="auto"/>
        <w:left w:val="none" w:sz="0" w:space="0" w:color="auto"/>
        <w:bottom w:val="none" w:sz="0" w:space="0" w:color="auto"/>
        <w:right w:val="none" w:sz="0" w:space="0" w:color="auto"/>
      </w:divBdr>
    </w:div>
    <w:div w:id="1406223227">
      <w:bodyDiv w:val="1"/>
      <w:marLeft w:val="0"/>
      <w:marRight w:val="0"/>
      <w:marTop w:val="0"/>
      <w:marBottom w:val="0"/>
      <w:divBdr>
        <w:top w:val="none" w:sz="0" w:space="0" w:color="auto"/>
        <w:left w:val="none" w:sz="0" w:space="0" w:color="auto"/>
        <w:bottom w:val="none" w:sz="0" w:space="0" w:color="auto"/>
        <w:right w:val="none" w:sz="0" w:space="0" w:color="auto"/>
      </w:divBdr>
    </w:div>
    <w:div w:id="1415322058">
      <w:bodyDiv w:val="1"/>
      <w:marLeft w:val="0"/>
      <w:marRight w:val="0"/>
      <w:marTop w:val="0"/>
      <w:marBottom w:val="0"/>
      <w:divBdr>
        <w:top w:val="none" w:sz="0" w:space="0" w:color="auto"/>
        <w:left w:val="none" w:sz="0" w:space="0" w:color="auto"/>
        <w:bottom w:val="none" w:sz="0" w:space="0" w:color="auto"/>
        <w:right w:val="none" w:sz="0" w:space="0" w:color="auto"/>
      </w:divBdr>
    </w:div>
    <w:div w:id="1446927616">
      <w:bodyDiv w:val="1"/>
      <w:marLeft w:val="0"/>
      <w:marRight w:val="0"/>
      <w:marTop w:val="0"/>
      <w:marBottom w:val="0"/>
      <w:divBdr>
        <w:top w:val="none" w:sz="0" w:space="0" w:color="auto"/>
        <w:left w:val="none" w:sz="0" w:space="0" w:color="auto"/>
        <w:bottom w:val="none" w:sz="0" w:space="0" w:color="auto"/>
        <w:right w:val="none" w:sz="0" w:space="0" w:color="auto"/>
      </w:divBdr>
    </w:div>
    <w:div w:id="1460954946">
      <w:bodyDiv w:val="1"/>
      <w:marLeft w:val="0"/>
      <w:marRight w:val="0"/>
      <w:marTop w:val="0"/>
      <w:marBottom w:val="0"/>
      <w:divBdr>
        <w:top w:val="none" w:sz="0" w:space="0" w:color="auto"/>
        <w:left w:val="none" w:sz="0" w:space="0" w:color="auto"/>
        <w:bottom w:val="none" w:sz="0" w:space="0" w:color="auto"/>
        <w:right w:val="none" w:sz="0" w:space="0" w:color="auto"/>
      </w:divBdr>
    </w:div>
    <w:div w:id="1461144852">
      <w:bodyDiv w:val="1"/>
      <w:marLeft w:val="0"/>
      <w:marRight w:val="0"/>
      <w:marTop w:val="0"/>
      <w:marBottom w:val="0"/>
      <w:divBdr>
        <w:top w:val="none" w:sz="0" w:space="0" w:color="auto"/>
        <w:left w:val="none" w:sz="0" w:space="0" w:color="auto"/>
        <w:bottom w:val="none" w:sz="0" w:space="0" w:color="auto"/>
        <w:right w:val="none" w:sz="0" w:space="0" w:color="auto"/>
      </w:divBdr>
    </w:div>
    <w:div w:id="1494682867">
      <w:bodyDiv w:val="1"/>
      <w:marLeft w:val="0"/>
      <w:marRight w:val="0"/>
      <w:marTop w:val="0"/>
      <w:marBottom w:val="0"/>
      <w:divBdr>
        <w:top w:val="none" w:sz="0" w:space="0" w:color="auto"/>
        <w:left w:val="none" w:sz="0" w:space="0" w:color="auto"/>
        <w:bottom w:val="none" w:sz="0" w:space="0" w:color="auto"/>
        <w:right w:val="none" w:sz="0" w:space="0" w:color="auto"/>
      </w:divBdr>
    </w:div>
    <w:div w:id="1504856851">
      <w:bodyDiv w:val="1"/>
      <w:marLeft w:val="0"/>
      <w:marRight w:val="0"/>
      <w:marTop w:val="0"/>
      <w:marBottom w:val="0"/>
      <w:divBdr>
        <w:top w:val="none" w:sz="0" w:space="0" w:color="auto"/>
        <w:left w:val="none" w:sz="0" w:space="0" w:color="auto"/>
        <w:bottom w:val="none" w:sz="0" w:space="0" w:color="auto"/>
        <w:right w:val="none" w:sz="0" w:space="0" w:color="auto"/>
      </w:divBdr>
    </w:div>
    <w:div w:id="1506435346">
      <w:bodyDiv w:val="1"/>
      <w:marLeft w:val="0"/>
      <w:marRight w:val="0"/>
      <w:marTop w:val="0"/>
      <w:marBottom w:val="0"/>
      <w:divBdr>
        <w:top w:val="none" w:sz="0" w:space="0" w:color="auto"/>
        <w:left w:val="none" w:sz="0" w:space="0" w:color="auto"/>
        <w:bottom w:val="none" w:sz="0" w:space="0" w:color="auto"/>
        <w:right w:val="none" w:sz="0" w:space="0" w:color="auto"/>
      </w:divBdr>
    </w:div>
    <w:div w:id="1519543056">
      <w:bodyDiv w:val="1"/>
      <w:marLeft w:val="0"/>
      <w:marRight w:val="0"/>
      <w:marTop w:val="0"/>
      <w:marBottom w:val="0"/>
      <w:divBdr>
        <w:top w:val="none" w:sz="0" w:space="0" w:color="auto"/>
        <w:left w:val="none" w:sz="0" w:space="0" w:color="auto"/>
        <w:bottom w:val="none" w:sz="0" w:space="0" w:color="auto"/>
        <w:right w:val="none" w:sz="0" w:space="0" w:color="auto"/>
      </w:divBdr>
    </w:div>
    <w:div w:id="1538471628">
      <w:bodyDiv w:val="1"/>
      <w:marLeft w:val="0"/>
      <w:marRight w:val="0"/>
      <w:marTop w:val="0"/>
      <w:marBottom w:val="0"/>
      <w:divBdr>
        <w:top w:val="none" w:sz="0" w:space="0" w:color="auto"/>
        <w:left w:val="none" w:sz="0" w:space="0" w:color="auto"/>
        <w:bottom w:val="none" w:sz="0" w:space="0" w:color="auto"/>
        <w:right w:val="none" w:sz="0" w:space="0" w:color="auto"/>
      </w:divBdr>
    </w:div>
    <w:div w:id="1551771942">
      <w:bodyDiv w:val="1"/>
      <w:marLeft w:val="0"/>
      <w:marRight w:val="0"/>
      <w:marTop w:val="0"/>
      <w:marBottom w:val="0"/>
      <w:divBdr>
        <w:top w:val="none" w:sz="0" w:space="0" w:color="auto"/>
        <w:left w:val="none" w:sz="0" w:space="0" w:color="auto"/>
        <w:bottom w:val="none" w:sz="0" w:space="0" w:color="auto"/>
        <w:right w:val="none" w:sz="0" w:space="0" w:color="auto"/>
      </w:divBdr>
    </w:div>
    <w:div w:id="1553420002">
      <w:bodyDiv w:val="1"/>
      <w:marLeft w:val="0"/>
      <w:marRight w:val="0"/>
      <w:marTop w:val="0"/>
      <w:marBottom w:val="0"/>
      <w:divBdr>
        <w:top w:val="none" w:sz="0" w:space="0" w:color="auto"/>
        <w:left w:val="none" w:sz="0" w:space="0" w:color="auto"/>
        <w:bottom w:val="none" w:sz="0" w:space="0" w:color="auto"/>
        <w:right w:val="none" w:sz="0" w:space="0" w:color="auto"/>
      </w:divBdr>
    </w:div>
    <w:div w:id="1568957517">
      <w:bodyDiv w:val="1"/>
      <w:marLeft w:val="0"/>
      <w:marRight w:val="0"/>
      <w:marTop w:val="0"/>
      <w:marBottom w:val="0"/>
      <w:divBdr>
        <w:top w:val="none" w:sz="0" w:space="0" w:color="auto"/>
        <w:left w:val="none" w:sz="0" w:space="0" w:color="auto"/>
        <w:bottom w:val="none" w:sz="0" w:space="0" w:color="auto"/>
        <w:right w:val="none" w:sz="0" w:space="0" w:color="auto"/>
      </w:divBdr>
    </w:div>
    <w:div w:id="1581669505">
      <w:bodyDiv w:val="1"/>
      <w:marLeft w:val="0"/>
      <w:marRight w:val="0"/>
      <w:marTop w:val="0"/>
      <w:marBottom w:val="0"/>
      <w:divBdr>
        <w:top w:val="none" w:sz="0" w:space="0" w:color="auto"/>
        <w:left w:val="none" w:sz="0" w:space="0" w:color="auto"/>
        <w:bottom w:val="none" w:sz="0" w:space="0" w:color="auto"/>
        <w:right w:val="none" w:sz="0" w:space="0" w:color="auto"/>
      </w:divBdr>
    </w:div>
    <w:div w:id="1589584034">
      <w:bodyDiv w:val="1"/>
      <w:marLeft w:val="0"/>
      <w:marRight w:val="0"/>
      <w:marTop w:val="0"/>
      <w:marBottom w:val="0"/>
      <w:divBdr>
        <w:top w:val="none" w:sz="0" w:space="0" w:color="auto"/>
        <w:left w:val="none" w:sz="0" w:space="0" w:color="auto"/>
        <w:bottom w:val="none" w:sz="0" w:space="0" w:color="auto"/>
        <w:right w:val="none" w:sz="0" w:space="0" w:color="auto"/>
      </w:divBdr>
    </w:div>
    <w:div w:id="1592736411">
      <w:bodyDiv w:val="1"/>
      <w:marLeft w:val="0"/>
      <w:marRight w:val="0"/>
      <w:marTop w:val="0"/>
      <w:marBottom w:val="0"/>
      <w:divBdr>
        <w:top w:val="none" w:sz="0" w:space="0" w:color="auto"/>
        <w:left w:val="none" w:sz="0" w:space="0" w:color="auto"/>
        <w:bottom w:val="none" w:sz="0" w:space="0" w:color="auto"/>
        <w:right w:val="none" w:sz="0" w:space="0" w:color="auto"/>
      </w:divBdr>
    </w:div>
    <w:div w:id="1617911367">
      <w:bodyDiv w:val="1"/>
      <w:marLeft w:val="0"/>
      <w:marRight w:val="0"/>
      <w:marTop w:val="0"/>
      <w:marBottom w:val="0"/>
      <w:divBdr>
        <w:top w:val="none" w:sz="0" w:space="0" w:color="auto"/>
        <w:left w:val="none" w:sz="0" w:space="0" w:color="auto"/>
        <w:bottom w:val="none" w:sz="0" w:space="0" w:color="auto"/>
        <w:right w:val="none" w:sz="0" w:space="0" w:color="auto"/>
      </w:divBdr>
    </w:div>
    <w:div w:id="1621641997">
      <w:bodyDiv w:val="1"/>
      <w:marLeft w:val="0"/>
      <w:marRight w:val="0"/>
      <w:marTop w:val="0"/>
      <w:marBottom w:val="0"/>
      <w:divBdr>
        <w:top w:val="none" w:sz="0" w:space="0" w:color="auto"/>
        <w:left w:val="none" w:sz="0" w:space="0" w:color="auto"/>
        <w:bottom w:val="none" w:sz="0" w:space="0" w:color="auto"/>
        <w:right w:val="none" w:sz="0" w:space="0" w:color="auto"/>
      </w:divBdr>
    </w:div>
    <w:div w:id="1632975227">
      <w:bodyDiv w:val="1"/>
      <w:marLeft w:val="0"/>
      <w:marRight w:val="0"/>
      <w:marTop w:val="0"/>
      <w:marBottom w:val="0"/>
      <w:divBdr>
        <w:top w:val="none" w:sz="0" w:space="0" w:color="auto"/>
        <w:left w:val="none" w:sz="0" w:space="0" w:color="auto"/>
        <w:bottom w:val="none" w:sz="0" w:space="0" w:color="auto"/>
        <w:right w:val="none" w:sz="0" w:space="0" w:color="auto"/>
      </w:divBdr>
    </w:div>
    <w:div w:id="1669627365">
      <w:bodyDiv w:val="1"/>
      <w:marLeft w:val="0"/>
      <w:marRight w:val="0"/>
      <w:marTop w:val="0"/>
      <w:marBottom w:val="0"/>
      <w:divBdr>
        <w:top w:val="none" w:sz="0" w:space="0" w:color="auto"/>
        <w:left w:val="none" w:sz="0" w:space="0" w:color="auto"/>
        <w:bottom w:val="none" w:sz="0" w:space="0" w:color="auto"/>
        <w:right w:val="none" w:sz="0" w:space="0" w:color="auto"/>
      </w:divBdr>
    </w:div>
    <w:div w:id="1673727261">
      <w:bodyDiv w:val="1"/>
      <w:marLeft w:val="0"/>
      <w:marRight w:val="0"/>
      <w:marTop w:val="0"/>
      <w:marBottom w:val="0"/>
      <w:divBdr>
        <w:top w:val="none" w:sz="0" w:space="0" w:color="auto"/>
        <w:left w:val="none" w:sz="0" w:space="0" w:color="auto"/>
        <w:bottom w:val="none" w:sz="0" w:space="0" w:color="auto"/>
        <w:right w:val="none" w:sz="0" w:space="0" w:color="auto"/>
      </w:divBdr>
    </w:div>
    <w:div w:id="1694459964">
      <w:bodyDiv w:val="1"/>
      <w:marLeft w:val="0"/>
      <w:marRight w:val="0"/>
      <w:marTop w:val="0"/>
      <w:marBottom w:val="0"/>
      <w:divBdr>
        <w:top w:val="none" w:sz="0" w:space="0" w:color="auto"/>
        <w:left w:val="none" w:sz="0" w:space="0" w:color="auto"/>
        <w:bottom w:val="none" w:sz="0" w:space="0" w:color="auto"/>
        <w:right w:val="none" w:sz="0" w:space="0" w:color="auto"/>
      </w:divBdr>
    </w:div>
    <w:div w:id="1708406973">
      <w:bodyDiv w:val="1"/>
      <w:marLeft w:val="0"/>
      <w:marRight w:val="0"/>
      <w:marTop w:val="0"/>
      <w:marBottom w:val="0"/>
      <w:divBdr>
        <w:top w:val="none" w:sz="0" w:space="0" w:color="auto"/>
        <w:left w:val="none" w:sz="0" w:space="0" w:color="auto"/>
        <w:bottom w:val="none" w:sz="0" w:space="0" w:color="auto"/>
        <w:right w:val="none" w:sz="0" w:space="0" w:color="auto"/>
      </w:divBdr>
    </w:div>
    <w:div w:id="1718897750">
      <w:bodyDiv w:val="1"/>
      <w:marLeft w:val="0"/>
      <w:marRight w:val="0"/>
      <w:marTop w:val="0"/>
      <w:marBottom w:val="0"/>
      <w:divBdr>
        <w:top w:val="none" w:sz="0" w:space="0" w:color="auto"/>
        <w:left w:val="none" w:sz="0" w:space="0" w:color="auto"/>
        <w:bottom w:val="none" w:sz="0" w:space="0" w:color="auto"/>
        <w:right w:val="none" w:sz="0" w:space="0" w:color="auto"/>
      </w:divBdr>
    </w:div>
    <w:div w:id="1773473159">
      <w:bodyDiv w:val="1"/>
      <w:marLeft w:val="0"/>
      <w:marRight w:val="0"/>
      <w:marTop w:val="0"/>
      <w:marBottom w:val="0"/>
      <w:divBdr>
        <w:top w:val="none" w:sz="0" w:space="0" w:color="auto"/>
        <w:left w:val="none" w:sz="0" w:space="0" w:color="auto"/>
        <w:bottom w:val="none" w:sz="0" w:space="0" w:color="auto"/>
        <w:right w:val="none" w:sz="0" w:space="0" w:color="auto"/>
      </w:divBdr>
    </w:div>
    <w:div w:id="1783724377">
      <w:bodyDiv w:val="1"/>
      <w:marLeft w:val="0"/>
      <w:marRight w:val="0"/>
      <w:marTop w:val="0"/>
      <w:marBottom w:val="0"/>
      <w:divBdr>
        <w:top w:val="none" w:sz="0" w:space="0" w:color="auto"/>
        <w:left w:val="none" w:sz="0" w:space="0" w:color="auto"/>
        <w:bottom w:val="none" w:sz="0" w:space="0" w:color="auto"/>
        <w:right w:val="none" w:sz="0" w:space="0" w:color="auto"/>
      </w:divBdr>
    </w:div>
    <w:div w:id="1799644259">
      <w:bodyDiv w:val="1"/>
      <w:marLeft w:val="0"/>
      <w:marRight w:val="0"/>
      <w:marTop w:val="0"/>
      <w:marBottom w:val="0"/>
      <w:divBdr>
        <w:top w:val="none" w:sz="0" w:space="0" w:color="auto"/>
        <w:left w:val="none" w:sz="0" w:space="0" w:color="auto"/>
        <w:bottom w:val="none" w:sz="0" w:space="0" w:color="auto"/>
        <w:right w:val="none" w:sz="0" w:space="0" w:color="auto"/>
      </w:divBdr>
    </w:div>
    <w:div w:id="1842551222">
      <w:bodyDiv w:val="1"/>
      <w:marLeft w:val="0"/>
      <w:marRight w:val="0"/>
      <w:marTop w:val="0"/>
      <w:marBottom w:val="0"/>
      <w:divBdr>
        <w:top w:val="none" w:sz="0" w:space="0" w:color="auto"/>
        <w:left w:val="none" w:sz="0" w:space="0" w:color="auto"/>
        <w:bottom w:val="none" w:sz="0" w:space="0" w:color="auto"/>
        <w:right w:val="none" w:sz="0" w:space="0" w:color="auto"/>
      </w:divBdr>
    </w:div>
    <w:div w:id="1847476812">
      <w:bodyDiv w:val="1"/>
      <w:marLeft w:val="0"/>
      <w:marRight w:val="0"/>
      <w:marTop w:val="0"/>
      <w:marBottom w:val="0"/>
      <w:divBdr>
        <w:top w:val="none" w:sz="0" w:space="0" w:color="auto"/>
        <w:left w:val="none" w:sz="0" w:space="0" w:color="auto"/>
        <w:bottom w:val="none" w:sz="0" w:space="0" w:color="auto"/>
        <w:right w:val="none" w:sz="0" w:space="0" w:color="auto"/>
      </w:divBdr>
    </w:div>
    <w:div w:id="1849372297">
      <w:bodyDiv w:val="1"/>
      <w:marLeft w:val="0"/>
      <w:marRight w:val="0"/>
      <w:marTop w:val="0"/>
      <w:marBottom w:val="0"/>
      <w:divBdr>
        <w:top w:val="none" w:sz="0" w:space="0" w:color="auto"/>
        <w:left w:val="none" w:sz="0" w:space="0" w:color="auto"/>
        <w:bottom w:val="none" w:sz="0" w:space="0" w:color="auto"/>
        <w:right w:val="none" w:sz="0" w:space="0" w:color="auto"/>
      </w:divBdr>
    </w:div>
    <w:div w:id="1851096587">
      <w:bodyDiv w:val="1"/>
      <w:marLeft w:val="0"/>
      <w:marRight w:val="0"/>
      <w:marTop w:val="0"/>
      <w:marBottom w:val="0"/>
      <w:divBdr>
        <w:top w:val="none" w:sz="0" w:space="0" w:color="auto"/>
        <w:left w:val="none" w:sz="0" w:space="0" w:color="auto"/>
        <w:bottom w:val="none" w:sz="0" w:space="0" w:color="auto"/>
        <w:right w:val="none" w:sz="0" w:space="0" w:color="auto"/>
      </w:divBdr>
    </w:div>
    <w:div w:id="1852182936">
      <w:bodyDiv w:val="1"/>
      <w:marLeft w:val="0"/>
      <w:marRight w:val="0"/>
      <w:marTop w:val="0"/>
      <w:marBottom w:val="0"/>
      <w:divBdr>
        <w:top w:val="none" w:sz="0" w:space="0" w:color="auto"/>
        <w:left w:val="none" w:sz="0" w:space="0" w:color="auto"/>
        <w:bottom w:val="none" w:sz="0" w:space="0" w:color="auto"/>
        <w:right w:val="none" w:sz="0" w:space="0" w:color="auto"/>
      </w:divBdr>
    </w:div>
    <w:div w:id="1870221710">
      <w:bodyDiv w:val="1"/>
      <w:marLeft w:val="0"/>
      <w:marRight w:val="0"/>
      <w:marTop w:val="0"/>
      <w:marBottom w:val="0"/>
      <w:divBdr>
        <w:top w:val="none" w:sz="0" w:space="0" w:color="auto"/>
        <w:left w:val="none" w:sz="0" w:space="0" w:color="auto"/>
        <w:bottom w:val="none" w:sz="0" w:space="0" w:color="auto"/>
        <w:right w:val="none" w:sz="0" w:space="0" w:color="auto"/>
      </w:divBdr>
    </w:div>
    <w:div w:id="1870995785">
      <w:bodyDiv w:val="1"/>
      <w:marLeft w:val="0"/>
      <w:marRight w:val="0"/>
      <w:marTop w:val="0"/>
      <w:marBottom w:val="0"/>
      <w:divBdr>
        <w:top w:val="none" w:sz="0" w:space="0" w:color="auto"/>
        <w:left w:val="none" w:sz="0" w:space="0" w:color="auto"/>
        <w:bottom w:val="none" w:sz="0" w:space="0" w:color="auto"/>
        <w:right w:val="none" w:sz="0" w:space="0" w:color="auto"/>
      </w:divBdr>
    </w:div>
    <w:div w:id="1875579268">
      <w:bodyDiv w:val="1"/>
      <w:marLeft w:val="0"/>
      <w:marRight w:val="0"/>
      <w:marTop w:val="0"/>
      <w:marBottom w:val="0"/>
      <w:divBdr>
        <w:top w:val="none" w:sz="0" w:space="0" w:color="auto"/>
        <w:left w:val="none" w:sz="0" w:space="0" w:color="auto"/>
        <w:bottom w:val="none" w:sz="0" w:space="0" w:color="auto"/>
        <w:right w:val="none" w:sz="0" w:space="0" w:color="auto"/>
      </w:divBdr>
    </w:div>
    <w:div w:id="1882671584">
      <w:bodyDiv w:val="1"/>
      <w:marLeft w:val="0"/>
      <w:marRight w:val="0"/>
      <w:marTop w:val="0"/>
      <w:marBottom w:val="0"/>
      <w:divBdr>
        <w:top w:val="none" w:sz="0" w:space="0" w:color="auto"/>
        <w:left w:val="none" w:sz="0" w:space="0" w:color="auto"/>
        <w:bottom w:val="none" w:sz="0" w:space="0" w:color="auto"/>
        <w:right w:val="none" w:sz="0" w:space="0" w:color="auto"/>
      </w:divBdr>
    </w:div>
    <w:div w:id="1910310066">
      <w:bodyDiv w:val="1"/>
      <w:marLeft w:val="0"/>
      <w:marRight w:val="0"/>
      <w:marTop w:val="0"/>
      <w:marBottom w:val="0"/>
      <w:divBdr>
        <w:top w:val="none" w:sz="0" w:space="0" w:color="auto"/>
        <w:left w:val="none" w:sz="0" w:space="0" w:color="auto"/>
        <w:bottom w:val="none" w:sz="0" w:space="0" w:color="auto"/>
        <w:right w:val="none" w:sz="0" w:space="0" w:color="auto"/>
      </w:divBdr>
    </w:div>
    <w:div w:id="1922255338">
      <w:bodyDiv w:val="1"/>
      <w:marLeft w:val="0"/>
      <w:marRight w:val="0"/>
      <w:marTop w:val="0"/>
      <w:marBottom w:val="0"/>
      <w:divBdr>
        <w:top w:val="none" w:sz="0" w:space="0" w:color="auto"/>
        <w:left w:val="none" w:sz="0" w:space="0" w:color="auto"/>
        <w:bottom w:val="none" w:sz="0" w:space="0" w:color="auto"/>
        <w:right w:val="none" w:sz="0" w:space="0" w:color="auto"/>
      </w:divBdr>
    </w:div>
    <w:div w:id="1933276783">
      <w:bodyDiv w:val="1"/>
      <w:marLeft w:val="0"/>
      <w:marRight w:val="0"/>
      <w:marTop w:val="0"/>
      <w:marBottom w:val="0"/>
      <w:divBdr>
        <w:top w:val="none" w:sz="0" w:space="0" w:color="auto"/>
        <w:left w:val="none" w:sz="0" w:space="0" w:color="auto"/>
        <w:bottom w:val="none" w:sz="0" w:space="0" w:color="auto"/>
        <w:right w:val="none" w:sz="0" w:space="0" w:color="auto"/>
      </w:divBdr>
    </w:div>
    <w:div w:id="1936134824">
      <w:bodyDiv w:val="1"/>
      <w:marLeft w:val="0"/>
      <w:marRight w:val="0"/>
      <w:marTop w:val="0"/>
      <w:marBottom w:val="0"/>
      <w:divBdr>
        <w:top w:val="none" w:sz="0" w:space="0" w:color="auto"/>
        <w:left w:val="none" w:sz="0" w:space="0" w:color="auto"/>
        <w:bottom w:val="none" w:sz="0" w:space="0" w:color="auto"/>
        <w:right w:val="none" w:sz="0" w:space="0" w:color="auto"/>
      </w:divBdr>
    </w:div>
    <w:div w:id="1937516997">
      <w:bodyDiv w:val="1"/>
      <w:marLeft w:val="0"/>
      <w:marRight w:val="0"/>
      <w:marTop w:val="0"/>
      <w:marBottom w:val="0"/>
      <w:divBdr>
        <w:top w:val="none" w:sz="0" w:space="0" w:color="auto"/>
        <w:left w:val="none" w:sz="0" w:space="0" w:color="auto"/>
        <w:bottom w:val="none" w:sz="0" w:space="0" w:color="auto"/>
        <w:right w:val="none" w:sz="0" w:space="0" w:color="auto"/>
      </w:divBdr>
    </w:div>
    <w:div w:id="1957563560">
      <w:bodyDiv w:val="1"/>
      <w:marLeft w:val="0"/>
      <w:marRight w:val="0"/>
      <w:marTop w:val="0"/>
      <w:marBottom w:val="0"/>
      <w:divBdr>
        <w:top w:val="none" w:sz="0" w:space="0" w:color="auto"/>
        <w:left w:val="none" w:sz="0" w:space="0" w:color="auto"/>
        <w:bottom w:val="none" w:sz="0" w:space="0" w:color="auto"/>
        <w:right w:val="none" w:sz="0" w:space="0" w:color="auto"/>
      </w:divBdr>
    </w:div>
    <w:div w:id="1962373409">
      <w:bodyDiv w:val="1"/>
      <w:marLeft w:val="0"/>
      <w:marRight w:val="0"/>
      <w:marTop w:val="0"/>
      <w:marBottom w:val="0"/>
      <w:divBdr>
        <w:top w:val="none" w:sz="0" w:space="0" w:color="auto"/>
        <w:left w:val="none" w:sz="0" w:space="0" w:color="auto"/>
        <w:bottom w:val="none" w:sz="0" w:space="0" w:color="auto"/>
        <w:right w:val="none" w:sz="0" w:space="0" w:color="auto"/>
      </w:divBdr>
    </w:div>
    <w:div w:id="1994214760">
      <w:bodyDiv w:val="1"/>
      <w:marLeft w:val="0"/>
      <w:marRight w:val="0"/>
      <w:marTop w:val="0"/>
      <w:marBottom w:val="0"/>
      <w:divBdr>
        <w:top w:val="none" w:sz="0" w:space="0" w:color="auto"/>
        <w:left w:val="none" w:sz="0" w:space="0" w:color="auto"/>
        <w:bottom w:val="none" w:sz="0" w:space="0" w:color="auto"/>
        <w:right w:val="none" w:sz="0" w:space="0" w:color="auto"/>
      </w:divBdr>
    </w:div>
    <w:div w:id="2035230049">
      <w:bodyDiv w:val="1"/>
      <w:marLeft w:val="0"/>
      <w:marRight w:val="0"/>
      <w:marTop w:val="0"/>
      <w:marBottom w:val="0"/>
      <w:divBdr>
        <w:top w:val="none" w:sz="0" w:space="0" w:color="auto"/>
        <w:left w:val="none" w:sz="0" w:space="0" w:color="auto"/>
        <w:bottom w:val="none" w:sz="0" w:space="0" w:color="auto"/>
        <w:right w:val="none" w:sz="0" w:space="0" w:color="auto"/>
      </w:divBdr>
    </w:div>
    <w:div w:id="2054961417">
      <w:bodyDiv w:val="1"/>
      <w:marLeft w:val="0"/>
      <w:marRight w:val="0"/>
      <w:marTop w:val="0"/>
      <w:marBottom w:val="0"/>
      <w:divBdr>
        <w:top w:val="none" w:sz="0" w:space="0" w:color="auto"/>
        <w:left w:val="none" w:sz="0" w:space="0" w:color="auto"/>
        <w:bottom w:val="none" w:sz="0" w:space="0" w:color="auto"/>
        <w:right w:val="none" w:sz="0" w:space="0" w:color="auto"/>
      </w:divBdr>
    </w:div>
    <w:div w:id="2063630111">
      <w:bodyDiv w:val="1"/>
      <w:marLeft w:val="0"/>
      <w:marRight w:val="0"/>
      <w:marTop w:val="0"/>
      <w:marBottom w:val="0"/>
      <w:divBdr>
        <w:top w:val="none" w:sz="0" w:space="0" w:color="auto"/>
        <w:left w:val="none" w:sz="0" w:space="0" w:color="auto"/>
        <w:bottom w:val="none" w:sz="0" w:space="0" w:color="auto"/>
        <w:right w:val="none" w:sz="0" w:space="0" w:color="auto"/>
      </w:divBdr>
    </w:div>
    <w:div w:id="2087338867">
      <w:bodyDiv w:val="1"/>
      <w:marLeft w:val="0"/>
      <w:marRight w:val="0"/>
      <w:marTop w:val="0"/>
      <w:marBottom w:val="0"/>
      <w:divBdr>
        <w:top w:val="none" w:sz="0" w:space="0" w:color="auto"/>
        <w:left w:val="none" w:sz="0" w:space="0" w:color="auto"/>
        <w:bottom w:val="none" w:sz="0" w:space="0" w:color="auto"/>
        <w:right w:val="none" w:sz="0" w:space="0" w:color="auto"/>
      </w:divBdr>
    </w:div>
    <w:div w:id="2093504464">
      <w:bodyDiv w:val="1"/>
      <w:marLeft w:val="0"/>
      <w:marRight w:val="0"/>
      <w:marTop w:val="0"/>
      <w:marBottom w:val="0"/>
      <w:divBdr>
        <w:top w:val="none" w:sz="0" w:space="0" w:color="auto"/>
        <w:left w:val="none" w:sz="0" w:space="0" w:color="auto"/>
        <w:bottom w:val="none" w:sz="0" w:space="0" w:color="auto"/>
        <w:right w:val="none" w:sz="0" w:space="0" w:color="auto"/>
      </w:divBdr>
    </w:div>
    <w:div w:id="2094279656">
      <w:bodyDiv w:val="1"/>
      <w:marLeft w:val="0"/>
      <w:marRight w:val="0"/>
      <w:marTop w:val="0"/>
      <w:marBottom w:val="0"/>
      <w:divBdr>
        <w:top w:val="none" w:sz="0" w:space="0" w:color="auto"/>
        <w:left w:val="none" w:sz="0" w:space="0" w:color="auto"/>
        <w:bottom w:val="none" w:sz="0" w:space="0" w:color="auto"/>
        <w:right w:val="none" w:sz="0" w:space="0" w:color="auto"/>
      </w:divBdr>
    </w:div>
    <w:div w:id="2101561966">
      <w:bodyDiv w:val="1"/>
      <w:marLeft w:val="0"/>
      <w:marRight w:val="0"/>
      <w:marTop w:val="0"/>
      <w:marBottom w:val="0"/>
      <w:divBdr>
        <w:top w:val="none" w:sz="0" w:space="0" w:color="auto"/>
        <w:left w:val="none" w:sz="0" w:space="0" w:color="auto"/>
        <w:bottom w:val="none" w:sz="0" w:space="0" w:color="auto"/>
        <w:right w:val="none" w:sz="0" w:space="0" w:color="auto"/>
      </w:divBdr>
    </w:div>
    <w:div w:id="2114782243">
      <w:bodyDiv w:val="1"/>
      <w:marLeft w:val="0"/>
      <w:marRight w:val="0"/>
      <w:marTop w:val="0"/>
      <w:marBottom w:val="0"/>
      <w:divBdr>
        <w:top w:val="none" w:sz="0" w:space="0" w:color="auto"/>
        <w:left w:val="none" w:sz="0" w:space="0" w:color="auto"/>
        <w:bottom w:val="none" w:sz="0" w:space="0" w:color="auto"/>
        <w:right w:val="none" w:sz="0" w:space="0" w:color="auto"/>
      </w:divBdr>
    </w:div>
    <w:div w:id="2118792716">
      <w:bodyDiv w:val="1"/>
      <w:marLeft w:val="0"/>
      <w:marRight w:val="0"/>
      <w:marTop w:val="0"/>
      <w:marBottom w:val="0"/>
      <w:divBdr>
        <w:top w:val="none" w:sz="0" w:space="0" w:color="auto"/>
        <w:left w:val="none" w:sz="0" w:space="0" w:color="auto"/>
        <w:bottom w:val="none" w:sz="0" w:space="0" w:color="auto"/>
        <w:right w:val="none" w:sz="0" w:space="0" w:color="auto"/>
      </w:divBdr>
    </w:div>
    <w:div w:id="214442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aww.vrm.km.va.gov/system/templates/selfservice/va_kanew/help/agent/locale/en-US/portal/554400000001030/content/554400000014370/M21-1-Part-V-Subpart-i-Chapter-3-Section-D-Reduction-of-Income-Due-to-Unreimbursed-Expenses" TargetMode="External"/><Relationship Id="rId18" Type="http://schemas.openxmlformats.org/officeDocument/2006/relationships/hyperlink" Target="https://vaww.vrm.km.va.gov/system/templates/selfservice/va_kanew/help/agent/locale/en-US/portal/554400000001034/content/554400000014360/M21-1-Part-V-Subpart-i-Chapter-2-Original-Disability-Pension-Claims?query=survivor%20pension" TargetMode="External"/><Relationship Id="rId26" Type="http://schemas.openxmlformats.org/officeDocument/2006/relationships/hyperlink" Target="https://vaww.vrm.km.va.gov/system/templates/selfservice/va_kanew/help/agent/locale/en-US/portal/554400000001034/content/554400000014205/M21-1,-Part-III,-Subpart-iv,-Chapter-6,-Section-B---Determining-the-Issues"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vaww.vrm.km.va.gov/system/templates/selfservice/va_kanew/help/agent/locale/en-US/portal/554400000001034/content/554400000014080/M21-1,%20Part%20I,%20Chapter%204%20-%20%20Regional%20Office%20(RO)%20Hearings" TargetMode="External"/><Relationship Id="rId34" Type="http://schemas.openxmlformats.org/officeDocument/2006/relationships/hyperlink" Target="https://vbaw.vba.va.gov/PENSIONANDFIDUCIARY/pension/docs/Updated_Temporary_Field_Examination_Protocols_3-23-20_Final_.pdf"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vbaw.vba.va.gov/bl/21/PL%2020-02%20COVID-19%20.pdf" TargetMode="External"/><Relationship Id="rId25" Type="http://schemas.openxmlformats.org/officeDocument/2006/relationships/hyperlink" Target="http://www.law.cornell.edu/uscode/text/38/part-III/chapter-35" TargetMode="External"/><Relationship Id="rId33" Type="http://schemas.openxmlformats.org/officeDocument/2006/relationships/hyperlink" Target="https://vaww.vrm.km.va.gov/system/templates/selfservice/va_kanew/help/agent/locale/en-US/portal/554400000001034/content/554400000015112/M21-1,-Part-IX,-Subpart-ii,-Chapter-2---Ratings-for-Special-Purposes"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vaww.vrm.km.va.gov/system/templates/selfservice/va_kanew/help/agent/locale/en-US/portal/554400000001030/content/554400000115811/M21-1-Part-V-Subpart-iii-Chapter-1-Section-K-Pension-Other-Deductible-Expenses" TargetMode="External"/><Relationship Id="rId20" Type="http://schemas.openxmlformats.org/officeDocument/2006/relationships/hyperlink" Target="https://vaww.vrm.km.va.gov/system/templates/selfservice/va_kanew/help/agent/locale/en-US/portal/554400000001030/content/554400000031819/M21-1-Part-III-Subpart-ii-Chapter-3-Section-D-Claims-Establishment" TargetMode="External"/><Relationship Id="rId29" Type="http://schemas.openxmlformats.org/officeDocument/2006/relationships/hyperlink" Target="http://www.ecfr.gov/cgi-bin/text-idx?SID=1ade2a2aaa470a921b0a3f407296613c&amp;node=se38.2.21_13021&amp;rgn=div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law.cornell.edu/uscode/text/38/part-III/chapter-35" TargetMode="External"/><Relationship Id="rId32" Type="http://schemas.openxmlformats.org/officeDocument/2006/relationships/hyperlink" Target="http://vbaw.vba.va.gov/VBMS/docs/VBMS-Rating_10_0_User_Guide.pdf" TargetMode="External"/><Relationship Id="rId37" Type="http://schemas.openxmlformats.org/officeDocument/2006/relationships/hyperlink" Target="mailto:PFBUSMGMT.VBAVACO@va.gov" TargetMode="External"/><Relationship Id="rId5" Type="http://schemas.openxmlformats.org/officeDocument/2006/relationships/numbering" Target="numbering.xml"/><Relationship Id="rId15" Type="http://schemas.openxmlformats.org/officeDocument/2006/relationships/hyperlink" Target="https://vaww.vrm.km.va.gov/system/templates/selfservice/va_kanew/help/agent/locale/en-US/portal/554400000001030/content/554400000014370/M21-1-Part-V-Subpart-i-Chapter-3-Section-D-Reduction-of-Income-Due-to-Unreimbursed-Expenses" TargetMode="External"/><Relationship Id="rId23" Type="http://schemas.openxmlformats.org/officeDocument/2006/relationships/hyperlink" Target="https://www.law.cornell.edu/uscode/text/38/1318" TargetMode="External"/><Relationship Id="rId28" Type="http://schemas.openxmlformats.org/officeDocument/2006/relationships/hyperlink" Target="https://vaww.vrm.km.va.gov/system/templates/selfservice/va_kanew/help/agent/locale/en-US/portal/554400000001034/content/554400000015112/M21-1,-Part-IX,-Subpart-ii,-Chapter-2---Ratings-for-Special-Purposes" TargetMode="External"/><Relationship Id="rId36" Type="http://schemas.openxmlformats.org/officeDocument/2006/relationships/hyperlink" Target="mailto:PFTNGQUALOVRST.VBACO@va.gov" TargetMode="External"/><Relationship Id="rId10" Type="http://schemas.openxmlformats.org/officeDocument/2006/relationships/endnotes" Target="endnotes.xml"/><Relationship Id="rId19" Type="http://schemas.openxmlformats.org/officeDocument/2006/relationships/hyperlink" Target="https://vaww.vrm.km.va.gov/system/templates/selfservice/va_kanew/help/agent/locale/en-US/portal/554400000001034/content/554400000014430/M21-1-Part-V-Subpart-iii-Chapter-1-Section-G-Pension-Deductible-Medical-Expenses?query=counting%20medical%20expense%20for%20initial%20year" TargetMode="External"/><Relationship Id="rId31" Type="http://schemas.openxmlformats.org/officeDocument/2006/relationships/hyperlink" Target="https://www.law.cornell.edu/uscode/text/38/115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aww.vrm.km.va.gov/system/templates/selfservice/va_kanew/help/agent/locale/en-US/portal/554400000001030/content/554400000014370/M21-1-Part-V-Subpart-i-Chapter-3-Section-D-Reduction-of-Income-Due-to-Unreimbursed-Expenses" TargetMode="External"/><Relationship Id="rId22" Type="http://schemas.openxmlformats.org/officeDocument/2006/relationships/hyperlink" Target="https://www.law.cornell.edu/uscode/text/38/1310" TargetMode="External"/><Relationship Id="rId27" Type="http://schemas.openxmlformats.org/officeDocument/2006/relationships/hyperlink" Target="https://vaww.vrm.km.va.gov/system/templates/selfservice/va_kanew/help/agent/locale/en-US/portal/554400000001034/content/554400000015112/M21-1,-Part-IX,-Subpart-ii,-Chapter-2---Ratings-for-Special-Purposes" TargetMode="External"/><Relationship Id="rId30" Type="http://schemas.openxmlformats.org/officeDocument/2006/relationships/hyperlink" Target="http://www.ecfr.gov/cgi-bin/text-idx?SID=1ade2a2aaa470a921b0a3f407296613c&amp;node=se38.2.21_13021&amp;rgn=div8" TargetMode="External"/><Relationship Id="rId35" Type="http://schemas.openxmlformats.org/officeDocument/2006/relationships/hyperlink" Target="mailto:PFPOLPROC.VBACO@v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200D6F14EDD742A3C1269618837B7D" ma:contentTypeVersion="1" ma:contentTypeDescription="Create a new document." ma:contentTypeScope="" ma:versionID="995ba3c4a3bc1d95d75659d45c48ff1c">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EE9A8-2152-4AFD-9E57-6B9AD61778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8B1BE5-206A-41AA-A3A6-AA6D1FF5F164}">
  <ds:schemaRefs>
    <ds:schemaRef ds:uri="http://schemas.microsoft.com/sharepoint/v3/contenttype/forms"/>
  </ds:schemaRefs>
</ds:datastoreItem>
</file>

<file path=customXml/itemProps3.xml><?xml version="1.0" encoding="utf-8"?>
<ds:datastoreItem xmlns:ds="http://schemas.openxmlformats.org/officeDocument/2006/customXml" ds:itemID="{14FE464C-7D88-4C48-9CD2-927B1CF052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DC7A14F-BAF5-48EE-A1E9-09F332676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6707</Words>
  <Characters>38230</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Pension &amp; Fiduciary Services June 2020 Inquiry Response Highlights</vt:lpstr>
    </vt:vector>
  </TitlesOfParts>
  <Company>Veterans Benefits Administration</Company>
  <LinksUpToDate>false</LinksUpToDate>
  <CharactersWithSpaces>44848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Pension &amp; Fiduciary Services June 2020 Inquiry Response Highlights</dc:title>
  <dc:subject>PMC VSR, PMC RVSR, PMC DRO, FE, LIE</dc:subject>
  <dc:creator>Department of Veterans Affairs, Veterans Benefits Administration, Pension Service, STAFF</dc:creator>
  <cp:lastModifiedBy>Kathy Poole</cp:lastModifiedBy>
  <cp:revision>7</cp:revision>
  <cp:lastPrinted>2019-03-18T19:38:00Z</cp:lastPrinted>
  <dcterms:created xsi:type="dcterms:W3CDTF">2020-07-17T14:55:00Z</dcterms:created>
  <dcterms:modified xsi:type="dcterms:W3CDTF">2020-07-20T14:41:00Z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0x01010098200D6F14EDD742A3C1269618837B7D</vt:lpwstr>
  </property>
  <property fmtid="{D5CDD505-2E9C-101B-9397-08002B2CF9AE}" pid="3" name="Language">
    <vt:lpwstr>en</vt:lpwstr>
  </property>
  <property fmtid="{D5CDD505-2E9C-101B-9397-08002B2CF9AE}" pid="4" name="Type">
    <vt:lpwstr>Reference</vt:lpwstr>
  </property>
</Properties>
</file>