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2408" w14:textId="77777777" w:rsidR="00C8779F" w:rsidRDefault="003B3577" w:rsidP="003E3D02">
      <w:pPr>
        <w:pStyle w:val="VBAILTCoverService"/>
      </w:pPr>
      <w:r>
        <w:t xml:space="preserve">PENSION AND FIDUCIARY </w:t>
      </w:r>
      <w:r w:rsidR="00C8779F">
        <w:t>Service</w:t>
      </w:r>
    </w:p>
    <w:p w14:paraId="4ECD009A" w14:textId="723790BD" w:rsidR="00C8779F" w:rsidRDefault="003B3577" w:rsidP="00C8779F">
      <w:pPr>
        <w:pStyle w:val="VBAILTCoverdoctypecourse"/>
      </w:pPr>
      <w:r>
        <w:t>PMC VSR Core Course</w:t>
      </w:r>
    </w:p>
    <w:p w14:paraId="299CE88B" w14:textId="0C671E6C" w:rsidR="00C214A9" w:rsidRDefault="003B3577" w:rsidP="00C8779F">
      <w:pPr>
        <w:pStyle w:val="VBAILTCoverLessonTitle"/>
      </w:pPr>
      <w:r w:rsidRPr="003B3577">
        <w:t xml:space="preserve">Processing </w:t>
      </w:r>
      <w:r w:rsidR="00A429D8">
        <w:t xml:space="preserve">a </w:t>
      </w:r>
      <w:r w:rsidR="00415771">
        <w:t>Burial</w:t>
      </w:r>
      <w:r w:rsidR="00DC5AF1">
        <w:t xml:space="preserve"> </w:t>
      </w:r>
      <w:r w:rsidRPr="003B3577">
        <w:t xml:space="preserve">Claim Checklist </w:t>
      </w:r>
    </w:p>
    <w:p w14:paraId="0391D2C0" w14:textId="77777777" w:rsidR="00C30F06" w:rsidRPr="00C214A9" w:rsidRDefault="003B3577" w:rsidP="00C8779F">
      <w:pPr>
        <w:pStyle w:val="VBAILTCoverdoctypecourse"/>
      </w:pPr>
      <w:r>
        <w:t>Job Aid</w:t>
      </w:r>
      <w:r w:rsidR="00C30F06">
        <w:t xml:space="preserve"> </w:t>
      </w:r>
    </w:p>
    <w:p w14:paraId="0C4EB059" w14:textId="0B8FB47A" w:rsidR="001D2E6A" w:rsidRDefault="0070389D" w:rsidP="00C8779F">
      <w:pPr>
        <w:pStyle w:val="VBAILTCoverMisc"/>
      </w:pPr>
      <w:r>
        <w:t>March</w:t>
      </w:r>
      <w:r w:rsidR="008D300D">
        <w:t xml:space="preserve"> 2022</w:t>
      </w:r>
    </w:p>
    <w:p w14:paraId="41CFFA55" w14:textId="5340AEA5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7DEB68A2" w14:textId="4791D7C9" w:rsidR="001262F7" w:rsidRPr="001262F7" w:rsidRDefault="003B3577" w:rsidP="003B3577">
      <w:pPr>
        <w:pStyle w:val="VBAILTBody"/>
      </w:pPr>
      <w:r>
        <w:lastRenderedPageBreak/>
        <w:t xml:space="preserve">This job aid provides a checklist to help you as a new PMC VSR process </w:t>
      </w:r>
      <w:r w:rsidR="00A40EBB">
        <w:t>burial</w:t>
      </w:r>
      <w:r w:rsidR="00A763E5">
        <w:t xml:space="preserve"> </w:t>
      </w:r>
      <w:r>
        <w:t>claim</w:t>
      </w:r>
      <w:r w:rsidR="00F96F0C">
        <w:t>s</w:t>
      </w:r>
      <w:r>
        <w:t>. By checking off each item as you review or screen it on the claim form, you will be more confident that you have processed the claim correctly.</w:t>
      </w:r>
    </w:p>
    <w:tbl>
      <w:tblPr>
        <w:tblStyle w:val="TableGrid"/>
        <w:tblW w:w="985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rocessing Burial Claims Checklist "/>
        <w:tblDescription w:val="Checklist of all the tasks for processing the claim. Column 1 is for indicating completion. Column 2 provides the step. Column 3 is for notes."/>
      </w:tblPr>
      <w:tblGrid>
        <w:gridCol w:w="788"/>
        <w:gridCol w:w="4500"/>
        <w:gridCol w:w="4567"/>
      </w:tblGrid>
      <w:tr w:rsidR="00DA0D5C" w14:paraId="1C7D486F" w14:textId="77777777" w:rsidTr="005471D0">
        <w:trPr>
          <w:cantSplit/>
          <w:tblHeader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1A0610" w14:textId="77777777" w:rsidR="00DA0D5C" w:rsidRPr="00DA0D5C" w:rsidRDefault="00DA0D5C" w:rsidP="00DA0D5C">
            <w:pPr>
              <w:pStyle w:val="VBAILTTableHeading1"/>
              <w:jc w:val="center"/>
              <w:rPr>
                <w:sz w:val="28"/>
                <w:szCs w:val="28"/>
              </w:rPr>
            </w:pPr>
            <w:r w:rsidRPr="00DA0D5C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676D5A" w14:textId="77777777" w:rsidR="00DA0D5C" w:rsidRPr="006E54AE" w:rsidRDefault="00DA0D5C" w:rsidP="00DA0D5C">
            <w:pPr>
              <w:pStyle w:val="VBAILTTableHeading1"/>
            </w:pPr>
            <w:r>
              <w:t>Action</w:t>
            </w:r>
          </w:p>
        </w:tc>
        <w:tc>
          <w:tcPr>
            <w:tcW w:w="4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ADAF1DB" w14:textId="7E901AC2" w:rsidR="00DA0D5C" w:rsidRDefault="00DA0D5C" w:rsidP="005471D0">
            <w:pPr>
              <w:pStyle w:val="VBAILTTableHeading1"/>
            </w:pPr>
            <w:r>
              <w:t>Notes</w:t>
            </w:r>
          </w:p>
        </w:tc>
      </w:tr>
      <w:tr w:rsidR="00DA0D5C" w14:paraId="1E746CF0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0970E" w14:textId="59D0BFB4" w:rsidR="00DA0D5C" w:rsidRPr="005D42D3" w:rsidRDefault="005D42D3" w:rsidP="005D42D3">
            <w:pPr>
              <w:pStyle w:val="VBAILTBody"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>Part 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FA78F" w14:textId="12610DFD" w:rsidR="00DA0D5C" w:rsidRDefault="00DA0D5C" w:rsidP="00415771">
            <w:pPr>
              <w:pStyle w:val="VBAILTBody"/>
            </w:pPr>
            <w:r w:rsidRPr="00DA0D5C">
              <w:t xml:space="preserve">Recognize indicators of </w:t>
            </w:r>
            <w:r w:rsidR="00415771">
              <w:t>burial</w:t>
            </w:r>
            <w:r w:rsidR="00146579">
              <w:t xml:space="preserve"> </w:t>
            </w:r>
            <w:r w:rsidRPr="00DA0D5C">
              <w:t>claim</w:t>
            </w:r>
            <w:r w:rsidR="00F96F0C">
              <w:t>s</w:t>
            </w:r>
            <w:r w:rsidR="005D42D3">
              <w:rPr>
                <w:rStyle w:val="Strong"/>
              </w:rPr>
              <w:t xml:space="preserve"> </w:t>
            </w:r>
            <w:r w:rsidR="005D42D3" w:rsidRPr="005D42D3">
              <w:t>(refer to</w:t>
            </w:r>
            <w:r w:rsidR="005D42D3">
              <w:rPr>
                <w:rStyle w:val="Strong"/>
              </w:rPr>
              <w:t xml:space="preserve"> Claim Types</w:t>
            </w:r>
            <w:r w:rsidR="005D42D3">
              <w:t xml:space="preserve"> job aid)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8C10FC" w14:textId="0976530B" w:rsidR="00DA0D5C" w:rsidRPr="00E73EE7" w:rsidRDefault="00DA0D5C" w:rsidP="00D12E0C">
            <w:pPr>
              <w:pStyle w:val="VBAILTBody"/>
            </w:pPr>
          </w:p>
        </w:tc>
      </w:tr>
      <w:tr w:rsidR="00A85E50" w14:paraId="0D0AEECC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CABCC" w14:textId="77777777" w:rsidR="00A85E50" w:rsidRDefault="00A85E50" w:rsidP="00DA0D5C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7B80E" w14:textId="663207A6" w:rsidR="003B71E6" w:rsidRPr="00DA0D5C" w:rsidRDefault="00415771" w:rsidP="00415771">
            <w:pPr>
              <w:pStyle w:val="VBAILTbullet1"/>
            </w:pPr>
            <w:r>
              <w:t>VA Form 21P-530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593CD02B" w14:textId="77777777" w:rsidR="00A85E50" w:rsidRDefault="00A85E50" w:rsidP="00D12E0C">
            <w:pPr>
              <w:pStyle w:val="VBAILTBody"/>
              <w:rPr>
                <w:rStyle w:val="Strong"/>
              </w:rPr>
            </w:pPr>
          </w:p>
        </w:tc>
      </w:tr>
      <w:tr w:rsidR="00A85E50" w14:paraId="0AC2E049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9FA4A" w14:textId="77777777" w:rsidR="00A85E50" w:rsidRDefault="00A85E50" w:rsidP="00A85E50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3EC61" w14:textId="7D23304F" w:rsidR="008934AA" w:rsidRPr="00DA0D5C" w:rsidRDefault="000A2228" w:rsidP="00982E71">
            <w:pPr>
              <w:pStyle w:val="VBAILTbullet1"/>
            </w:pPr>
            <w:proofErr w:type="spellStart"/>
            <w:r w:rsidRPr="00745C0C">
              <w:t>C</w:t>
            </w:r>
            <w:r>
              <w:t>ESTed</w:t>
            </w:r>
            <w:proofErr w:type="spellEnd"/>
            <w:r>
              <w:t xml:space="preserve">: EP </w:t>
            </w:r>
            <w:r w:rsidR="00415771">
              <w:t>16</w:t>
            </w:r>
            <w:r w:rsidR="00982E71">
              <w:t>0 series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77D03D0C" w14:textId="30B55F6F" w:rsidR="00A85E50" w:rsidRDefault="00A85E50" w:rsidP="00D12E0C">
            <w:pPr>
              <w:pStyle w:val="VBAILTBody"/>
              <w:rPr>
                <w:rStyle w:val="Strong"/>
              </w:rPr>
            </w:pPr>
          </w:p>
        </w:tc>
      </w:tr>
      <w:tr w:rsidR="00DA0D5C" w14:paraId="5382452E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40169" w14:textId="281837B8" w:rsidR="00DA0D5C" w:rsidRPr="005D42D3" w:rsidRDefault="005D42D3" w:rsidP="005D42D3">
            <w:pPr>
              <w:pStyle w:val="VBAILTBody"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>Part 2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70B43" w14:textId="77777777" w:rsidR="00DA0D5C" w:rsidRDefault="00DA0D5C" w:rsidP="00DA0D5C">
            <w:pPr>
              <w:pStyle w:val="VBAILTBody"/>
            </w:pPr>
            <w:r w:rsidRPr="00DA0D5C">
              <w:t>Confirm claim characteristics assigned by claims assistant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B7D565" w14:textId="2FF227C9" w:rsidR="00DA0D5C" w:rsidRPr="00DA0D5C" w:rsidRDefault="00DA0D5C" w:rsidP="00D12E0C">
            <w:pPr>
              <w:pStyle w:val="VBAILTBody"/>
            </w:pPr>
          </w:p>
        </w:tc>
      </w:tr>
      <w:tr w:rsidR="00CB02CF" w14:paraId="0BE291AD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227FE00E" w14:textId="77777777" w:rsidR="00CB02CF" w:rsidRDefault="00CB02CF" w:rsidP="00DA0D5C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1EC35061" w14:textId="29492D9F" w:rsidR="00CB02CF" w:rsidRDefault="00154036" w:rsidP="00CB02CF">
            <w:pPr>
              <w:pStyle w:val="VBAILTbullet1"/>
            </w:pPr>
            <w:r>
              <w:t>Verify claim is substantially complete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45EF642B" w14:textId="77777777" w:rsidR="00CB02CF" w:rsidRPr="00DA0D5C" w:rsidRDefault="00CB02CF" w:rsidP="00D12E0C">
            <w:pPr>
              <w:pStyle w:val="VBAILTBody"/>
            </w:pPr>
          </w:p>
        </w:tc>
      </w:tr>
      <w:tr w:rsidR="00DA0D5C" w14:paraId="0C32F7CF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47A4C61C" w14:textId="77777777" w:rsidR="00DA0D5C" w:rsidRDefault="00DA0D5C" w:rsidP="00DA0D5C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1750F631" w14:textId="77777777" w:rsidR="00DA0D5C" w:rsidRDefault="00DA0D5C" w:rsidP="005D42D3">
            <w:pPr>
              <w:pStyle w:val="VBAILTbullet1"/>
            </w:pPr>
            <w:r>
              <w:t>Verify claim type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18017D5C" w14:textId="77777777" w:rsidR="00DA0D5C" w:rsidRPr="00DA0D5C" w:rsidRDefault="00DA0D5C" w:rsidP="00D12E0C">
            <w:pPr>
              <w:pStyle w:val="VBAILTBody"/>
            </w:pPr>
          </w:p>
        </w:tc>
      </w:tr>
      <w:tr w:rsidR="00DA0D5C" w14:paraId="1FB0DCC1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644B997" w14:textId="77777777" w:rsidR="00DA0D5C" w:rsidRDefault="00DA0D5C" w:rsidP="00DA0D5C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2590C799" w14:textId="423CDDD4" w:rsidR="00DA0D5C" w:rsidRDefault="00826962" w:rsidP="009259ED">
            <w:pPr>
              <w:pStyle w:val="VBAILTbullet1"/>
            </w:pPr>
            <w:r>
              <w:t>Verify date of claim</w:t>
            </w:r>
            <w:r w:rsidR="009259ED">
              <w:t xml:space="preserve"> and effective date</w:t>
            </w:r>
            <w:r w:rsidR="00E73EE7">
              <w:t xml:space="preserve"> 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3E460815" w14:textId="77777777" w:rsidR="00DA0D5C" w:rsidRPr="00DA0D5C" w:rsidRDefault="00DA0D5C" w:rsidP="00D12E0C">
            <w:pPr>
              <w:pStyle w:val="VBAILTBody"/>
            </w:pPr>
          </w:p>
        </w:tc>
      </w:tr>
      <w:tr w:rsidR="00DA0D5C" w14:paraId="640A41E6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F11AAC2" w14:textId="77777777" w:rsidR="00DA0D5C" w:rsidRDefault="00DA0D5C" w:rsidP="00DA0D5C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43D0BBBA" w14:textId="77777777" w:rsidR="00DA0D5C" w:rsidRDefault="00DA0D5C" w:rsidP="005D42D3">
            <w:pPr>
              <w:pStyle w:val="VBAILTbullet1"/>
            </w:pPr>
            <w:r>
              <w:t>Verify POA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39BEB3F3" w14:textId="77777777" w:rsidR="00DA0D5C" w:rsidRPr="00DA0D5C" w:rsidRDefault="00DA0D5C" w:rsidP="00D12E0C">
            <w:pPr>
              <w:pStyle w:val="VBAILTBody"/>
            </w:pPr>
          </w:p>
        </w:tc>
      </w:tr>
      <w:tr w:rsidR="00227210" w14:paraId="6684D8B0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250C5F8D" w14:textId="77777777" w:rsidR="00227210" w:rsidRDefault="00227210" w:rsidP="00DA0D5C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6BA6329" w14:textId="63155B92" w:rsidR="001F2555" w:rsidRDefault="00227210" w:rsidP="00642131">
            <w:pPr>
              <w:pStyle w:val="VBAILTbullet1"/>
            </w:pPr>
            <w:r>
              <w:t xml:space="preserve">Verify EP </w:t>
            </w:r>
            <w:r w:rsidR="00F96F0C">
              <w:t xml:space="preserve">and Payee </w:t>
            </w:r>
            <w:r>
              <w:t>Code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177B0BEA" w14:textId="77777777" w:rsidR="00227210" w:rsidRPr="00DA0D5C" w:rsidRDefault="00227210" w:rsidP="00D12E0C">
            <w:pPr>
              <w:pStyle w:val="VBAILTBody"/>
            </w:pPr>
          </w:p>
        </w:tc>
      </w:tr>
      <w:tr w:rsidR="00DA0D5C" w14:paraId="0472F98D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788EFF79" w14:textId="77777777" w:rsidR="00DA0D5C" w:rsidRDefault="00DA0D5C" w:rsidP="00DA0D5C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0B20989A" w14:textId="77777777" w:rsidR="008A7792" w:rsidRDefault="008A7792" w:rsidP="008A7792">
            <w:pPr>
              <w:pStyle w:val="VBAILTbullet1"/>
            </w:pPr>
            <w:r>
              <w:t>Verify claimant information</w:t>
            </w:r>
          </w:p>
          <w:p w14:paraId="7C8B0DBB" w14:textId="77777777" w:rsidR="008A7792" w:rsidRDefault="008A7792" w:rsidP="008A7792">
            <w:pPr>
              <w:pStyle w:val="VBAILTBullet2"/>
            </w:pPr>
            <w:r>
              <w:t>Name</w:t>
            </w:r>
          </w:p>
          <w:p w14:paraId="7D9AAB34" w14:textId="77777777" w:rsidR="008A7792" w:rsidRDefault="008A7792" w:rsidP="008A7792">
            <w:pPr>
              <w:pStyle w:val="VBAILTBullet2"/>
            </w:pPr>
            <w:r>
              <w:t>Address</w:t>
            </w:r>
          </w:p>
          <w:p w14:paraId="31A6D5DD" w14:textId="77777777" w:rsidR="008A7792" w:rsidRDefault="008A7792" w:rsidP="008A7792">
            <w:pPr>
              <w:pStyle w:val="VBAILTBullet2"/>
            </w:pPr>
            <w:r>
              <w:t>SSN</w:t>
            </w:r>
          </w:p>
          <w:p w14:paraId="20EBCCE1" w14:textId="68674F62" w:rsidR="00DA0D5C" w:rsidRDefault="008A7792" w:rsidP="008A7792">
            <w:pPr>
              <w:pStyle w:val="VBAILTBullet2"/>
            </w:pPr>
            <w:r>
              <w:t>DOB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111F9A66" w14:textId="77777777" w:rsidR="00DA0D5C" w:rsidRPr="00DA0D5C" w:rsidRDefault="00DA0D5C" w:rsidP="00D12E0C">
            <w:pPr>
              <w:pStyle w:val="VBAILTBody"/>
            </w:pPr>
          </w:p>
        </w:tc>
      </w:tr>
      <w:tr w:rsidR="00DA0D5C" w14:paraId="24CC3DE6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9E316" w14:textId="447FCF15" w:rsidR="00DA0D5C" w:rsidRPr="005D42D3" w:rsidRDefault="005D42D3" w:rsidP="005D42D3">
            <w:pPr>
              <w:pStyle w:val="VBAILTBody"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>Part 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9A1C6" w14:textId="4BD05A1C" w:rsidR="00DA0D5C" w:rsidRDefault="005D42D3" w:rsidP="0064727D">
            <w:pPr>
              <w:pStyle w:val="VBAILTBody"/>
            </w:pPr>
            <w:r>
              <w:t xml:space="preserve">Screen </w:t>
            </w:r>
            <w:r w:rsidR="00415771">
              <w:t xml:space="preserve">burial claim </w:t>
            </w:r>
            <w:r w:rsidR="00397216">
              <w:t xml:space="preserve">to </w:t>
            </w:r>
            <w:r w:rsidR="00DC100D">
              <w:t xml:space="preserve">deny </w:t>
            </w:r>
            <w:r w:rsidR="0064727D">
              <w:t>without development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602085" w14:textId="03ECF0B0" w:rsidR="00DA0D5C" w:rsidRPr="00ED4C36" w:rsidRDefault="00DA0D5C" w:rsidP="00D12E0C">
            <w:pPr>
              <w:pStyle w:val="VBAILTBody"/>
            </w:pPr>
          </w:p>
        </w:tc>
      </w:tr>
      <w:tr w:rsidR="00AF1E5E" w14:paraId="266E08D7" w14:textId="77777777" w:rsidTr="00C61435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334C6" w14:textId="77777777" w:rsidR="00AF1E5E" w:rsidRPr="00827E18" w:rsidRDefault="00AF1E5E" w:rsidP="00C61435">
            <w:pPr>
              <w:pStyle w:val="VBAILTBody"/>
              <w:rPr>
                <w:i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C7767" w14:textId="6322FB0B" w:rsidR="00AF1E5E" w:rsidRDefault="00AF1E5E" w:rsidP="00C61435">
            <w:pPr>
              <w:pStyle w:val="VBAILTbullet1"/>
            </w:pPr>
            <w:r>
              <w:t>Deny upfront if</w:t>
            </w:r>
            <w:r w:rsidR="0005024A">
              <w:t xml:space="preserve"> any ONE of these is true</w:t>
            </w:r>
            <w:r>
              <w:t>:</w:t>
            </w:r>
          </w:p>
          <w:p w14:paraId="507DA4B3" w14:textId="7200D159" w:rsidR="00AF1E5E" w:rsidRDefault="00AF1E5E" w:rsidP="00C61435">
            <w:pPr>
              <w:pStyle w:val="VBAILTBullet2"/>
            </w:pPr>
            <w:r>
              <w:t>Claimant is NOT a family member or executor</w:t>
            </w:r>
            <w:r w:rsidR="00BC203A">
              <w:t xml:space="preserve"> or a funeral director in the case of unclaimed remains</w:t>
            </w:r>
          </w:p>
          <w:p w14:paraId="3BC705F3" w14:textId="77777777" w:rsidR="00AF1E5E" w:rsidRDefault="00AF1E5E" w:rsidP="00C61435">
            <w:pPr>
              <w:pStyle w:val="VBAILTBullet2"/>
            </w:pPr>
            <w:r>
              <w:t>Claimant did NOT incur expenses</w:t>
            </w:r>
          </w:p>
          <w:p w14:paraId="50110C73" w14:textId="2BDD6A02" w:rsidR="006310E7" w:rsidRDefault="006310E7" w:rsidP="00C61435">
            <w:pPr>
              <w:pStyle w:val="VBAILTBullet2"/>
            </w:pPr>
            <w:r>
              <w:t>Claimant did not submit within two-year time limit (if applicable)</w:t>
            </w:r>
          </w:p>
          <w:p w14:paraId="7F2451A6" w14:textId="3D3248CC" w:rsidR="0005024A" w:rsidRDefault="0005024A" w:rsidP="0005024A">
            <w:pPr>
              <w:pStyle w:val="VBAILTBullet2"/>
            </w:pPr>
            <w:r>
              <w:t>Veteran death occurred while on active duty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2F5D395A" w14:textId="77777777" w:rsidR="00AF1E5E" w:rsidRDefault="00AF1E5E" w:rsidP="00D12E0C">
            <w:pPr>
              <w:pStyle w:val="VBAILTBody"/>
            </w:pPr>
          </w:p>
        </w:tc>
      </w:tr>
      <w:tr w:rsidR="00AB20A5" w14:paraId="4DB9500A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272FC" w14:textId="2891C49C" w:rsidR="00AB20A5" w:rsidRPr="00827E18" w:rsidRDefault="00AB20A5" w:rsidP="005D42D3">
            <w:pPr>
              <w:pStyle w:val="VBAILTBody"/>
              <w:rPr>
                <w:i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9C4DA" w14:textId="366F6664" w:rsidR="00DC100D" w:rsidRDefault="00DC100D" w:rsidP="00AF1E5E">
            <w:pPr>
              <w:pStyle w:val="VBAILTbullet1"/>
            </w:pPr>
            <w:r>
              <w:t xml:space="preserve">Deny upfront if </w:t>
            </w:r>
            <w:proofErr w:type="gramStart"/>
            <w:r w:rsidR="00AF1E5E" w:rsidRPr="00A40EBB">
              <w:rPr>
                <w:b/>
              </w:rPr>
              <w:t>ALL</w:t>
            </w:r>
            <w:r>
              <w:t xml:space="preserve"> of</w:t>
            </w:r>
            <w:proofErr w:type="gramEnd"/>
            <w:r>
              <w:t xml:space="preserve"> the following requirements are met:</w:t>
            </w:r>
          </w:p>
          <w:p w14:paraId="6511D9C7" w14:textId="293B7DC0" w:rsidR="00DC100D" w:rsidRDefault="0067374E" w:rsidP="00AF1E5E">
            <w:pPr>
              <w:pStyle w:val="VBAILTBullet2"/>
            </w:pPr>
            <w:r>
              <w:t>When RVSR review is NOT required for s</w:t>
            </w:r>
            <w:r w:rsidR="00DC100D">
              <w:t>ervice</w:t>
            </w:r>
            <w:r>
              <w:t>-</w:t>
            </w:r>
            <w:r w:rsidR="00DC100D">
              <w:t xml:space="preserve"> connect</w:t>
            </w:r>
            <w:r>
              <w:t>ed</w:t>
            </w:r>
            <w:r w:rsidR="002A4288">
              <w:t xml:space="preserve"> (SC)</w:t>
            </w:r>
            <w:r>
              <w:t xml:space="preserve"> </w:t>
            </w:r>
            <w:r w:rsidR="00AF1E5E">
              <w:t>death</w:t>
            </w:r>
            <w:r w:rsidR="00DC100D">
              <w:t xml:space="preserve"> </w:t>
            </w:r>
            <w:r w:rsidR="000339DC">
              <w:t xml:space="preserve">for burial benefits </w:t>
            </w:r>
            <w:r w:rsidR="0045583E">
              <w:t xml:space="preserve">(To determine, refer </w:t>
            </w:r>
            <w:r w:rsidR="000339DC" w:rsidRPr="000339DC">
              <w:rPr>
                <w:i/>
              </w:rPr>
              <w:t xml:space="preserve">Table 2: Specific Ready to Rate Requirements, </w:t>
            </w:r>
            <w:r w:rsidR="002A4288">
              <w:t xml:space="preserve">in the </w:t>
            </w:r>
            <w:r w:rsidR="000339DC" w:rsidRPr="000339DC">
              <w:rPr>
                <w:i/>
              </w:rPr>
              <w:t>When Required</w:t>
            </w:r>
            <w:r w:rsidR="0045583E">
              <w:t xml:space="preserve"> column </w:t>
            </w:r>
            <w:r w:rsidR="002A4288">
              <w:t>of</w:t>
            </w:r>
            <w:r w:rsidR="0045583E">
              <w:t xml:space="preserve"> </w:t>
            </w:r>
            <w:r w:rsidR="000339DC">
              <w:t xml:space="preserve">the </w:t>
            </w:r>
            <w:r w:rsidR="0045583E" w:rsidRPr="0045583E">
              <w:rPr>
                <w:b/>
              </w:rPr>
              <w:t>Ready to Rate</w:t>
            </w:r>
            <w:r w:rsidR="0045583E">
              <w:t xml:space="preserve"> job aid) </w:t>
            </w:r>
          </w:p>
          <w:p w14:paraId="78DC876C" w14:textId="3CF94374" w:rsidR="00DC100D" w:rsidRDefault="00DC100D" w:rsidP="00AF1E5E">
            <w:pPr>
              <w:pStyle w:val="VBAILTBullet2"/>
            </w:pPr>
            <w:r w:rsidRPr="004043BF">
              <w:t>Veteran was </w:t>
            </w:r>
            <w:r w:rsidR="00AF1E5E">
              <w:t xml:space="preserve">NOT </w:t>
            </w:r>
            <w:r w:rsidRPr="004043BF">
              <w:t xml:space="preserve">receiving </w:t>
            </w:r>
            <w:r w:rsidR="002A4288">
              <w:t xml:space="preserve">compensation </w:t>
            </w:r>
            <w:r w:rsidRPr="004043BF">
              <w:t xml:space="preserve">or </w:t>
            </w:r>
            <w:r w:rsidR="00AF1E5E">
              <w:t>did NOT have</w:t>
            </w:r>
            <w:r w:rsidRPr="004043BF">
              <w:t xml:space="preserve"> a pending claim at the time of death that was sufficient to grant pension or disability compensation effective before the date of death</w:t>
            </w:r>
          </w:p>
          <w:p w14:paraId="3F443C29" w14:textId="15D687EB" w:rsidR="00DC100D" w:rsidRDefault="00DC100D" w:rsidP="00AF1E5E">
            <w:pPr>
              <w:pStyle w:val="VBAILTBullet2"/>
            </w:pPr>
            <w:r w:rsidRPr="004043BF">
              <w:t>Veteran was </w:t>
            </w:r>
            <w:r w:rsidR="00AF1E5E">
              <w:t xml:space="preserve">NOT </w:t>
            </w:r>
            <w:r w:rsidRPr="004043BF">
              <w:t>receiving military retirement in lieu of compensation benefits at time of death</w:t>
            </w:r>
          </w:p>
          <w:p w14:paraId="37C4C989" w14:textId="140D35BF" w:rsidR="00DC100D" w:rsidRDefault="00DC100D" w:rsidP="00AF1E5E">
            <w:pPr>
              <w:pStyle w:val="VBAILTBullet2"/>
            </w:pPr>
            <w:r w:rsidRPr="004043BF">
              <w:t xml:space="preserve">Veteran </w:t>
            </w:r>
            <w:r w:rsidR="00AF1E5E">
              <w:t>did NOT die</w:t>
            </w:r>
            <w:r w:rsidRPr="004043BF">
              <w:t xml:space="preserve"> under VA care</w:t>
            </w:r>
            <w:r w:rsidRPr="00447290">
              <w:t xml:space="preserve"> </w:t>
            </w:r>
          </w:p>
          <w:p w14:paraId="6A32024A" w14:textId="0BEB0162" w:rsidR="00AB20A5" w:rsidRDefault="00AF1E5E" w:rsidP="00AF1E5E">
            <w:pPr>
              <w:pStyle w:val="VBAILTBullet2"/>
            </w:pPr>
            <w:r>
              <w:t>Veterans remains are NOT u</w:t>
            </w:r>
            <w:r w:rsidR="00DC100D">
              <w:t xml:space="preserve">nclaimed 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1B8EBB6F" w14:textId="092FDFE3" w:rsidR="00AB20A5" w:rsidRPr="00AB20A5" w:rsidRDefault="00AB20A5" w:rsidP="00D12E0C">
            <w:pPr>
              <w:pStyle w:val="VBAILTBody"/>
            </w:pPr>
          </w:p>
        </w:tc>
      </w:tr>
      <w:tr w:rsidR="0094789F" w14:paraId="457B6E96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3AC6" w14:textId="77777777" w:rsidR="0094789F" w:rsidRPr="00827E18" w:rsidRDefault="0094789F" w:rsidP="005D42D3">
            <w:pPr>
              <w:pStyle w:val="VBAILTBody"/>
              <w:rPr>
                <w:i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0F582" w14:textId="574B2631" w:rsidR="0094789F" w:rsidRDefault="0064727D" w:rsidP="00AF1E5E">
            <w:pPr>
              <w:pStyle w:val="VBAILTbullet1"/>
            </w:pPr>
            <w:r>
              <w:t xml:space="preserve">Process the award </w:t>
            </w:r>
            <w:r w:rsidR="0094789F">
              <w:t>if</w:t>
            </w:r>
            <w:r w:rsidR="00B447C1">
              <w:t xml:space="preserve"> automated payment has been made</w:t>
            </w:r>
            <w:r w:rsidR="0094789F">
              <w:t>:</w:t>
            </w:r>
          </w:p>
          <w:p w14:paraId="4EC67AD1" w14:textId="24049AF1" w:rsidR="0094789F" w:rsidRPr="00A40EBB" w:rsidRDefault="0094789F" w:rsidP="00A40EBB">
            <w:pPr>
              <w:pStyle w:val="VBAILTBullet2"/>
              <w:rPr>
                <w:b/>
              </w:rPr>
            </w:pPr>
            <w:r>
              <w:t xml:space="preserve">When RVSR review is NOT required for </w:t>
            </w:r>
            <w:r w:rsidR="002A4288">
              <w:t xml:space="preserve">SC </w:t>
            </w:r>
            <w:r>
              <w:t xml:space="preserve">death for </w:t>
            </w:r>
            <w:r w:rsidRPr="00A40EBB">
              <w:t>burial</w:t>
            </w:r>
            <w:r>
              <w:t xml:space="preserve"> benefits (To determine, refer </w:t>
            </w:r>
            <w:r w:rsidRPr="0064727D">
              <w:rPr>
                <w:i/>
              </w:rPr>
              <w:t xml:space="preserve">Table 2: Specific Ready to Rate Requirements, </w:t>
            </w:r>
            <w:r w:rsidR="002A4288">
              <w:t xml:space="preserve">in the </w:t>
            </w:r>
            <w:r w:rsidRPr="0064727D">
              <w:rPr>
                <w:i/>
              </w:rPr>
              <w:t>When Required</w:t>
            </w:r>
            <w:r>
              <w:t xml:space="preserve"> column </w:t>
            </w:r>
            <w:r w:rsidR="002A4288">
              <w:t>of</w:t>
            </w:r>
            <w:r>
              <w:t xml:space="preserve"> the </w:t>
            </w:r>
            <w:r w:rsidRPr="0064727D">
              <w:rPr>
                <w:b/>
              </w:rPr>
              <w:t>Ready to Rate</w:t>
            </w:r>
            <w:r>
              <w:t xml:space="preserve"> job aid) </w:t>
            </w:r>
            <w:r w:rsidRPr="00A40EBB">
              <w:rPr>
                <w:b/>
              </w:rPr>
              <w:t>AND</w:t>
            </w:r>
          </w:p>
          <w:p w14:paraId="73F092A4" w14:textId="77777777" w:rsidR="0094789F" w:rsidRDefault="0094789F" w:rsidP="0094789F">
            <w:pPr>
              <w:pStyle w:val="VBAILTBullet2"/>
            </w:pPr>
            <w:r>
              <w:t>No additional benefits</w:t>
            </w:r>
            <w:r w:rsidR="00B447C1">
              <w:t xml:space="preserve"> are owed</w:t>
            </w:r>
          </w:p>
          <w:p w14:paraId="447D869C" w14:textId="531309D9" w:rsidR="0064727D" w:rsidRPr="00A40EBB" w:rsidRDefault="0064727D" w:rsidP="00A40EBB">
            <w:pPr>
              <w:pStyle w:val="VBAILTBody"/>
              <w:rPr>
                <w:i/>
              </w:rPr>
            </w:pPr>
            <w:r w:rsidRPr="00A40EBB">
              <w:rPr>
                <w:i/>
              </w:rPr>
              <w:t>Note: Ensure the net effect</w:t>
            </w:r>
            <w:r>
              <w:rPr>
                <w:i/>
              </w:rPr>
              <w:t xml:space="preserve"> on the award</w:t>
            </w:r>
            <w:r w:rsidRPr="00A40EBB">
              <w:rPr>
                <w:i/>
              </w:rPr>
              <w:t xml:space="preserve"> is $0.00.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1EA1EFDB" w14:textId="77777777" w:rsidR="0094789F" w:rsidRPr="00AB20A5" w:rsidRDefault="0094789F" w:rsidP="00D12E0C">
            <w:pPr>
              <w:pStyle w:val="VBAILTBody"/>
            </w:pPr>
          </w:p>
        </w:tc>
      </w:tr>
      <w:tr w:rsidR="005D42D3" w14:paraId="6DF38B3A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1F5FD" w14:textId="4B774D86" w:rsidR="005D42D3" w:rsidRPr="005D42D3" w:rsidRDefault="005D42D3" w:rsidP="003E095B">
            <w:pPr>
              <w:pStyle w:val="VBAILTBody"/>
              <w:keepNext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 xml:space="preserve">Part </w:t>
            </w:r>
            <w:r w:rsidR="003E095B">
              <w:rPr>
                <w:rStyle w:val="Strong"/>
              </w:rPr>
              <w:t>4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6A163" w14:textId="4760A21C" w:rsidR="005D42D3" w:rsidRPr="00826962" w:rsidRDefault="00371012" w:rsidP="00CE6989">
            <w:pPr>
              <w:pStyle w:val="VBAILTBody"/>
              <w:keepNext/>
            </w:pPr>
            <w:r>
              <w:t xml:space="preserve">Identify </w:t>
            </w:r>
            <w:r w:rsidR="00CE6989">
              <w:t>m</w:t>
            </w:r>
            <w:r>
              <w:t xml:space="preserve">issing </w:t>
            </w:r>
            <w:r w:rsidR="00CE6989">
              <w:t>i</w:t>
            </w:r>
            <w:r>
              <w:t>nformation/</w:t>
            </w:r>
            <w:r w:rsidR="00CE6989">
              <w:t>e</w:t>
            </w:r>
            <w:r>
              <w:t xml:space="preserve">vidence 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0A0876" w14:textId="40B5EA8B" w:rsidR="005D42D3" w:rsidRPr="00E1374D" w:rsidRDefault="005D42D3" w:rsidP="00D12E0C">
            <w:pPr>
              <w:pStyle w:val="VBAILTBody"/>
            </w:pPr>
          </w:p>
        </w:tc>
      </w:tr>
      <w:tr w:rsidR="00E73EE7" w14:paraId="1CD71958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4BFEEA5B" w14:textId="77777777" w:rsidR="00E73EE7" w:rsidRDefault="00E73EE7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0D718CB0" w14:textId="7FCE50A0" w:rsidR="00266581" w:rsidRDefault="005A61B3" w:rsidP="00415771">
            <w:pPr>
              <w:pStyle w:val="VBAILTbullet1"/>
            </w:pPr>
            <w:r>
              <w:t xml:space="preserve">Proof </w:t>
            </w:r>
            <w:r w:rsidR="00F91A51">
              <w:t>and/</w:t>
            </w:r>
            <w:r>
              <w:t>or cause of death</w:t>
            </w:r>
            <w:r w:rsidR="00F91A51">
              <w:t xml:space="preserve"> evidence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582EF76E" w14:textId="77777777" w:rsidR="00E73EE7" w:rsidRPr="00DA0D5C" w:rsidRDefault="00E73EE7" w:rsidP="00D12E0C">
            <w:pPr>
              <w:pStyle w:val="VBAILTBody"/>
            </w:pPr>
          </w:p>
        </w:tc>
      </w:tr>
      <w:tr w:rsidR="001024EA" w14:paraId="0F645F34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1345FCF3" w14:textId="77777777" w:rsidR="001024EA" w:rsidRDefault="001024EA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7F05C34D" w14:textId="4CE83129" w:rsidR="00266581" w:rsidRDefault="002A4288" w:rsidP="00415771">
            <w:pPr>
              <w:pStyle w:val="VBAILTbullet1"/>
            </w:pPr>
            <w:r>
              <w:t>SC</w:t>
            </w:r>
            <w:r w:rsidR="00F91A51">
              <w:t xml:space="preserve"> death evidence or correspondence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1B2256B0" w14:textId="77777777" w:rsidR="001024EA" w:rsidRPr="00DA0D5C" w:rsidRDefault="001024EA" w:rsidP="00D12E0C">
            <w:pPr>
              <w:pStyle w:val="VBAILTBody"/>
            </w:pPr>
          </w:p>
        </w:tc>
      </w:tr>
      <w:tr w:rsidR="001024EA" w14:paraId="22D544D8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23D73822" w14:textId="6ACB589A" w:rsidR="001024EA" w:rsidRDefault="001024EA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12914300" w14:textId="3CFEC515" w:rsidR="001024EA" w:rsidRDefault="005A61B3" w:rsidP="00415771">
            <w:pPr>
              <w:pStyle w:val="VBAILTbullet1"/>
            </w:pPr>
            <w:r>
              <w:t>Relationship</w:t>
            </w:r>
            <w:r w:rsidR="00F91A51">
              <w:t xml:space="preserve"> eligibility</w:t>
            </w:r>
            <w:r>
              <w:t xml:space="preserve"> of claimant</w:t>
            </w:r>
            <w:r w:rsidR="00F91A51">
              <w:t xml:space="preserve"> to the Veteran</w:t>
            </w:r>
            <w:r w:rsidR="003F0934">
              <w:t xml:space="preserve"> (Priority of claimants)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69C417E3" w14:textId="23F05C7D" w:rsidR="001024EA" w:rsidRPr="004E14E0" w:rsidRDefault="001024EA" w:rsidP="00D12E0C">
            <w:pPr>
              <w:pStyle w:val="VBAILTBody"/>
            </w:pPr>
          </w:p>
        </w:tc>
      </w:tr>
      <w:tr w:rsidR="000339DC" w14:paraId="0E516A1B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566E06A" w14:textId="77777777" w:rsidR="000339DC" w:rsidRDefault="000339DC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6BC2B2E" w14:textId="551B2E1D" w:rsidR="000339DC" w:rsidRDefault="00F91A51" w:rsidP="00415771">
            <w:pPr>
              <w:pStyle w:val="VBAILTbullet1"/>
            </w:pPr>
            <w:r>
              <w:t>Eligibility information for VA contracted care at a non-VA facility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5BD17A65" w14:textId="77777777" w:rsidR="000339DC" w:rsidRPr="004E14E0" w:rsidRDefault="000339DC" w:rsidP="00D12E0C">
            <w:pPr>
              <w:pStyle w:val="VBAILTBody"/>
            </w:pPr>
          </w:p>
        </w:tc>
      </w:tr>
      <w:tr w:rsidR="000339DC" w14:paraId="7EA69427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383BB85" w14:textId="77777777" w:rsidR="000339DC" w:rsidRDefault="000339DC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4FBDB68E" w14:textId="5ECCD8F1" w:rsidR="000339DC" w:rsidRDefault="00F91A51" w:rsidP="00415771">
            <w:pPr>
              <w:pStyle w:val="VBAILTbullet1"/>
            </w:pPr>
            <w:r>
              <w:t>Transportation receipt (missing or incomplete)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3C114C3D" w14:textId="77777777" w:rsidR="000339DC" w:rsidRPr="004E14E0" w:rsidRDefault="000339DC" w:rsidP="00D12E0C">
            <w:pPr>
              <w:pStyle w:val="VBAILTBody"/>
            </w:pPr>
          </w:p>
        </w:tc>
      </w:tr>
      <w:tr w:rsidR="00E73EE7" w14:paraId="76607793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BF539" w14:textId="23C9244C" w:rsidR="00E73EE7" w:rsidRPr="005D42D3" w:rsidRDefault="00153B46" w:rsidP="003B3F5C">
            <w:pPr>
              <w:pStyle w:val="VBAILTBody"/>
              <w:keepNext/>
              <w:jc w:val="center"/>
              <w:rPr>
                <w:rStyle w:val="Strong"/>
              </w:rPr>
            </w:pPr>
            <w:r>
              <w:rPr>
                <w:rStyle w:val="Strong"/>
              </w:rPr>
              <w:t>Part</w:t>
            </w:r>
            <w:r w:rsidR="00FF373C">
              <w:rPr>
                <w:rStyle w:val="Strong"/>
              </w:rPr>
              <w:t xml:space="preserve"> </w:t>
            </w:r>
            <w:r w:rsidR="003E095B">
              <w:rPr>
                <w:rStyle w:val="Strong"/>
              </w:rPr>
              <w:t>5</w:t>
            </w:r>
            <w:r w:rsidR="00B447C1">
              <w:rPr>
                <w:rStyle w:val="Strong"/>
              </w:rPr>
              <w:t>A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B65B3" w14:textId="48487B5B" w:rsidR="00E73EE7" w:rsidRDefault="00E73EE7" w:rsidP="00CE6989">
            <w:pPr>
              <w:pStyle w:val="VBAILTBody"/>
              <w:keepNext/>
            </w:pPr>
            <w:r>
              <w:t xml:space="preserve">Develop for the </w:t>
            </w:r>
            <w:r w:rsidR="00CE6989">
              <w:t>m</w:t>
            </w:r>
            <w:r>
              <w:t xml:space="preserve">issing </w:t>
            </w:r>
            <w:r w:rsidR="00CE6989">
              <w:t>i</w:t>
            </w:r>
            <w:r>
              <w:t>nformation/</w:t>
            </w:r>
            <w:r w:rsidR="00CE6989">
              <w:t>e</w:t>
            </w:r>
            <w:r>
              <w:t xml:space="preserve">vidence (refer to </w:t>
            </w:r>
            <w:r w:rsidRPr="00DE2E28">
              <w:rPr>
                <w:rStyle w:val="Strong"/>
              </w:rPr>
              <w:t>Develop for Missing Information/Evidence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DE2E28">
              <w:t>job aid</w:t>
            </w:r>
            <w:r>
              <w:t>)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693D47" w14:textId="7F423005" w:rsidR="00E73EE7" w:rsidRPr="00DA0D5C" w:rsidRDefault="00E73EE7" w:rsidP="00D12E0C">
            <w:pPr>
              <w:pStyle w:val="VBAILTBody"/>
            </w:pPr>
          </w:p>
        </w:tc>
      </w:tr>
      <w:tr w:rsidR="00E73EE7" w14:paraId="0EDC1B26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4C3B34CE" w14:textId="77777777" w:rsidR="00E73EE7" w:rsidRDefault="00E73EE7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1665A12C" w14:textId="3F7F1F09" w:rsidR="00E73EE7" w:rsidRDefault="00E73EE7" w:rsidP="00E73EE7">
            <w:pPr>
              <w:pStyle w:val="VBAILTbullet1"/>
            </w:pPr>
            <w:r>
              <w:t xml:space="preserve">Refer to the </w:t>
            </w:r>
            <w:r w:rsidRPr="00DA3CE4">
              <w:rPr>
                <w:rStyle w:val="Strong"/>
              </w:rPr>
              <w:t>Time Limits</w:t>
            </w:r>
            <w:r>
              <w:t xml:space="preserve"> job aid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53E4E2C2" w14:textId="77777777" w:rsidR="00E73EE7" w:rsidRPr="00DA0D5C" w:rsidRDefault="00E73EE7" w:rsidP="00D12E0C">
            <w:pPr>
              <w:pStyle w:val="VBAILTBody"/>
            </w:pPr>
          </w:p>
        </w:tc>
      </w:tr>
      <w:tr w:rsidR="00E73EE7" w14:paraId="5E887707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7DA39072" w14:textId="77777777" w:rsidR="00E73EE7" w:rsidRDefault="00E73EE7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05A91FDE" w14:textId="6174620D" w:rsidR="00150C46" w:rsidRDefault="00150C46" w:rsidP="00150C46">
            <w:pPr>
              <w:pStyle w:val="VBAILTbullet1"/>
            </w:pPr>
            <w:r>
              <w:t>D</w:t>
            </w:r>
            <w:r w:rsidR="00E73EE7">
              <w:t xml:space="preserve">evelop for the </w:t>
            </w:r>
            <w:r w:rsidR="00EF659B">
              <w:t>identified missing information</w:t>
            </w:r>
            <w:r w:rsidR="00E73EE7">
              <w:t xml:space="preserve">, as needed </w:t>
            </w:r>
          </w:p>
          <w:p w14:paraId="06E961F3" w14:textId="5F8F2BD3" w:rsidR="00E73EE7" w:rsidRDefault="00ED75CE" w:rsidP="00ED75CE">
            <w:pPr>
              <w:pStyle w:val="VBAILTbullet1"/>
            </w:pPr>
            <w:r>
              <w:t>Call or s</w:t>
            </w:r>
            <w:r w:rsidR="00150C46">
              <w:t xml:space="preserve">end development letter to the claimant or </w:t>
            </w:r>
            <w:r w:rsidR="001A4D42">
              <w:t xml:space="preserve">funeral home </w:t>
            </w:r>
            <w:r w:rsidR="00150C46">
              <w:t xml:space="preserve">(as indicated in the </w:t>
            </w:r>
            <w:r w:rsidR="00150C46" w:rsidRPr="001068C0">
              <w:rPr>
                <w:rStyle w:val="Strong"/>
              </w:rPr>
              <w:t>Develop for Missing Information/Evidence</w:t>
            </w:r>
            <w:r w:rsidR="00150C46">
              <w:t xml:space="preserve"> job aid)</w:t>
            </w:r>
            <w:r w:rsidR="000D4F1E">
              <w:t xml:space="preserve"> 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425F568F" w14:textId="73AA29E7" w:rsidR="00E73EE7" w:rsidRPr="00DA0D5C" w:rsidRDefault="00E73EE7" w:rsidP="00D12E0C">
            <w:pPr>
              <w:pStyle w:val="VBAILTBody"/>
            </w:pPr>
          </w:p>
        </w:tc>
      </w:tr>
      <w:tr w:rsidR="00150C46" w14:paraId="2D275192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453D3" w14:textId="6F13E070" w:rsidR="00150C46" w:rsidRPr="005D42D3" w:rsidRDefault="00150C46" w:rsidP="000D2FE8">
            <w:pPr>
              <w:pStyle w:val="VBAILTBody"/>
              <w:keepNext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 xml:space="preserve">Part </w:t>
            </w:r>
            <w:r w:rsidR="00B447C1">
              <w:rPr>
                <w:rStyle w:val="Strong"/>
              </w:rPr>
              <w:t>5B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2FC44" w14:textId="77777777" w:rsidR="00DC395F" w:rsidRDefault="00150C46" w:rsidP="00256AC8">
            <w:pPr>
              <w:pStyle w:val="VBAILTBody"/>
              <w:keepNext/>
              <w:rPr>
                <w:i/>
              </w:rPr>
            </w:pPr>
            <w:r>
              <w:t xml:space="preserve">Determine </w:t>
            </w:r>
            <w:r w:rsidR="00CE6989">
              <w:t>w</w:t>
            </w:r>
            <w:r>
              <w:t xml:space="preserve">hether to </w:t>
            </w:r>
            <w:r w:rsidR="00CE6989">
              <w:t>a</w:t>
            </w:r>
            <w:r w:rsidR="00FB514D">
              <w:t xml:space="preserve">pply </w:t>
            </w:r>
            <w:r w:rsidR="00CE6989">
              <w:t>d</w:t>
            </w:r>
            <w:r>
              <w:t xml:space="preserve">ue </w:t>
            </w:r>
            <w:r w:rsidR="00CE6989">
              <w:t>p</w:t>
            </w:r>
            <w:r>
              <w:t xml:space="preserve">rocess </w:t>
            </w:r>
            <w:r w:rsidR="00CE6989">
              <w:t>p</w:t>
            </w:r>
            <w:r w:rsidR="00FB514D">
              <w:t xml:space="preserve">rovisions for </w:t>
            </w:r>
            <w:r w:rsidR="00256AC8">
              <w:t>burial</w:t>
            </w:r>
            <w:r>
              <w:t xml:space="preserve"> </w:t>
            </w:r>
            <w:r w:rsidR="00CE6989">
              <w:t>c</w:t>
            </w:r>
            <w:r>
              <w:t>laims</w:t>
            </w:r>
            <w:r w:rsidR="00B447C1">
              <w:t>, if required</w:t>
            </w:r>
            <w:r w:rsidR="00DC395F">
              <w:rPr>
                <w:i/>
              </w:rPr>
              <w:t xml:space="preserve"> </w:t>
            </w:r>
          </w:p>
          <w:p w14:paraId="14C07E14" w14:textId="03A4AAED" w:rsidR="00150C46" w:rsidRDefault="00DC395F" w:rsidP="00256AC8">
            <w:pPr>
              <w:pStyle w:val="VBAILTBody"/>
              <w:keepNext/>
            </w:pPr>
            <w:r>
              <w:rPr>
                <w:i/>
              </w:rPr>
              <w:t xml:space="preserve">Refer to Burial section in </w:t>
            </w:r>
            <w:r w:rsidRPr="00091DAC">
              <w:rPr>
                <w:b/>
                <w:i/>
              </w:rPr>
              <w:t>Due Process</w:t>
            </w:r>
            <w:r>
              <w:rPr>
                <w:i/>
              </w:rPr>
              <w:t xml:space="preserve"> job aid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B17020" w14:textId="3676BEF2" w:rsidR="00150C46" w:rsidRPr="00DA0D5C" w:rsidRDefault="00150C46" w:rsidP="00D12E0C">
            <w:pPr>
              <w:pStyle w:val="VBAILTBody"/>
            </w:pPr>
          </w:p>
        </w:tc>
      </w:tr>
      <w:tr w:rsidR="00CE15F4" w14:paraId="64B56540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4CD040D7" w14:textId="77777777" w:rsidR="00CE15F4" w:rsidRDefault="00CE15F4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C544B93" w14:textId="45CFBE31" w:rsidR="000B36DA" w:rsidRDefault="00FB514D" w:rsidP="00B62711">
            <w:pPr>
              <w:pStyle w:val="VBAILTbullet1"/>
            </w:pPr>
            <w:r>
              <w:t xml:space="preserve">Apply </w:t>
            </w:r>
            <w:r w:rsidR="00153B46">
              <w:t>due process</w:t>
            </w:r>
            <w:r w:rsidR="00982E71">
              <w:t xml:space="preserve"> according to local procedures</w:t>
            </w:r>
            <w:r w:rsidR="00153B46">
              <w:t xml:space="preserve"> f</w:t>
            </w:r>
            <w:r w:rsidR="00150C46">
              <w:t xml:space="preserve">or </w:t>
            </w:r>
            <w:r w:rsidR="00B447C1">
              <w:t xml:space="preserve">burial claims if </w:t>
            </w:r>
            <w:r w:rsidR="00B62711">
              <w:t xml:space="preserve">an </w:t>
            </w:r>
            <w:r w:rsidR="00B447C1">
              <w:t>automated payment was made to someone other than the Veteran’s spouse</w:t>
            </w:r>
            <w:r w:rsidR="00091DAC">
              <w:t xml:space="preserve"> and a second claimant appears </w:t>
            </w:r>
            <w:r w:rsidR="00117577">
              <w:t xml:space="preserve">to be </w:t>
            </w:r>
            <w:r w:rsidR="00091DAC">
              <w:t>entitled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78E42D93" w14:textId="10440E11" w:rsidR="00CE15F4" w:rsidRPr="002C06D5" w:rsidRDefault="00CE15F4" w:rsidP="00D12E0C">
            <w:pPr>
              <w:pStyle w:val="VBAILTBody"/>
            </w:pPr>
          </w:p>
        </w:tc>
      </w:tr>
      <w:tr w:rsidR="003B3F5C" w14:paraId="0A91BF68" w14:textId="77777777" w:rsidTr="00F1109A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4CA81" w14:textId="2B560CB2" w:rsidR="003B3F5C" w:rsidRPr="005D42D3" w:rsidRDefault="003B3F5C" w:rsidP="00120759">
            <w:pPr>
              <w:pStyle w:val="VBAILTBody"/>
              <w:keepNext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lastRenderedPageBreak/>
              <w:t xml:space="preserve">Part </w:t>
            </w:r>
            <w:r w:rsidR="00120759">
              <w:rPr>
                <w:rStyle w:val="Strong"/>
              </w:rPr>
              <w:t>6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A3A1C" w14:textId="77777777" w:rsidR="00DC395F" w:rsidRDefault="00CE6989" w:rsidP="0045583E">
            <w:pPr>
              <w:pStyle w:val="VBAILTBody"/>
              <w:keepNext/>
            </w:pPr>
            <w:r>
              <w:t xml:space="preserve">Determine </w:t>
            </w:r>
            <w:r w:rsidR="0045583E">
              <w:t xml:space="preserve">whether </w:t>
            </w:r>
            <w:r w:rsidR="001D02E9">
              <w:t xml:space="preserve">claim </w:t>
            </w:r>
            <w:r w:rsidR="0045583E">
              <w:t xml:space="preserve">is ready to </w:t>
            </w:r>
            <w:proofErr w:type="gramStart"/>
            <w:r w:rsidR="0045583E">
              <w:t>rate, if</w:t>
            </w:r>
            <w:proofErr w:type="gramEnd"/>
            <w:r w:rsidR="0045583E">
              <w:t xml:space="preserve"> </w:t>
            </w:r>
            <w:r w:rsidR="00FD74DA">
              <w:t xml:space="preserve">rating activity is </w:t>
            </w:r>
            <w:r w:rsidR="0045583E">
              <w:t>required</w:t>
            </w:r>
            <w:r w:rsidR="003B3F5C">
              <w:t xml:space="preserve"> </w:t>
            </w:r>
          </w:p>
          <w:p w14:paraId="3D19B62B" w14:textId="64942713" w:rsidR="003B3F5C" w:rsidRDefault="00DC395F" w:rsidP="0045583E">
            <w:pPr>
              <w:pStyle w:val="VBAILTBody"/>
              <w:keepNext/>
            </w:pPr>
            <w:r w:rsidRPr="00F1109A">
              <w:rPr>
                <w:i/>
              </w:rPr>
              <w:t xml:space="preserve">Refer to </w:t>
            </w:r>
            <w:r w:rsidRPr="00F1109A">
              <w:rPr>
                <w:b/>
                <w:i/>
              </w:rPr>
              <w:t xml:space="preserve">Ready to Rate </w:t>
            </w:r>
            <w:r w:rsidRPr="00F1109A">
              <w:rPr>
                <w:i/>
              </w:rPr>
              <w:t>job aid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E5A7A" w14:textId="69EEB4D4" w:rsidR="003B3F5C" w:rsidRPr="00F1109A" w:rsidRDefault="003B3F5C" w:rsidP="00D12E0C">
            <w:pPr>
              <w:pStyle w:val="VBAILTBody"/>
            </w:pPr>
          </w:p>
        </w:tc>
      </w:tr>
      <w:tr w:rsidR="003B3F5C" w14:paraId="684B2576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1468BE65" w14:textId="77777777" w:rsidR="003B3F5C" w:rsidRDefault="003B3F5C" w:rsidP="00C61435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3355F9F6" w14:textId="6910613F" w:rsidR="0045583E" w:rsidRDefault="0045583E" w:rsidP="00F1109A">
            <w:pPr>
              <w:pStyle w:val="VBAILTbullet1"/>
            </w:pPr>
            <w:r>
              <w:t>Cause of death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046315E2" w14:textId="77777777" w:rsidR="003B3F5C" w:rsidRPr="00DA0D5C" w:rsidRDefault="003B3F5C" w:rsidP="00D12E0C">
            <w:pPr>
              <w:pStyle w:val="VBAILTBody"/>
            </w:pPr>
          </w:p>
        </w:tc>
      </w:tr>
      <w:tr w:rsidR="00DD11B4" w14:paraId="4475A867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7E959A33" w14:textId="77777777" w:rsidR="00DD11B4" w:rsidRDefault="00DD11B4" w:rsidP="00C61435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4C498665" w14:textId="182B9DD6" w:rsidR="00DD11B4" w:rsidRDefault="00DD11B4" w:rsidP="00DD11B4">
            <w:pPr>
              <w:pStyle w:val="VBAILTbullet1"/>
            </w:pPr>
            <w:r>
              <w:t xml:space="preserve">Medical evidence, if received 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3BB5B1E0" w14:textId="77777777" w:rsidR="00DD11B4" w:rsidRPr="00DA0D5C" w:rsidRDefault="00DD11B4" w:rsidP="00D12E0C">
            <w:pPr>
              <w:pStyle w:val="VBAILTBody"/>
            </w:pPr>
          </w:p>
        </w:tc>
      </w:tr>
      <w:tr w:rsidR="00F1109A" w14:paraId="44655978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E3C53FA" w14:textId="77777777" w:rsidR="00F1109A" w:rsidRDefault="00F1109A" w:rsidP="00C61435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3B6E52B8" w14:textId="346FA70C" w:rsidR="00F1109A" w:rsidRDefault="00F1109A" w:rsidP="00F1109A">
            <w:pPr>
              <w:pStyle w:val="VBAILTbullet1"/>
            </w:pPr>
            <w:r>
              <w:t>Veterans claims folder, if needed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12683FD4" w14:textId="77777777" w:rsidR="00F1109A" w:rsidRPr="00DA0D5C" w:rsidRDefault="00F1109A" w:rsidP="00D12E0C">
            <w:pPr>
              <w:pStyle w:val="VBAILTBody"/>
            </w:pPr>
          </w:p>
        </w:tc>
      </w:tr>
      <w:tr w:rsidR="00F1109A" w14:paraId="506352C2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AB2BB6C" w14:textId="77777777" w:rsidR="00F1109A" w:rsidRDefault="00F1109A" w:rsidP="00C61435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05CCD5D6" w14:textId="3A68462F" w:rsidR="00F1109A" w:rsidRDefault="00F1109A" w:rsidP="00F1109A">
            <w:pPr>
              <w:pStyle w:val="VBAILTbullet1"/>
            </w:pPr>
            <w:r>
              <w:t>Veterans service records, if needed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1E341DAE" w14:textId="77777777" w:rsidR="00F1109A" w:rsidRPr="00DA0D5C" w:rsidRDefault="00F1109A" w:rsidP="00D12E0C">
            <w:pPr>
              <w:pStyle w:val="VBAILTBody"/>
            </w:pPr>
          </w:p>
        </w:tc>
      </w:tr>
      <w:tr w:rsidR="00F1109A" w14:paraId="252FB8B1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143AAB84" w14:textId="77777777" w:rsidR="00F1109A" w:rsidRDefault="00F1109A" w:rsidP="00C61435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29D2B21C" w14:textId="6A28F801" w:rsidR="00F1109A" w:rsidRDefault="00F1109A" w:rsidP="0045583E">
            <w:pPr>
              <w:pStyle w:val="VBAILTbullet1"/>
            </w:pPr>
            <w:r>
              <w:t>5103 notification sent and suspense complete, if requested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130796C5" w14:textId="77777777" w:rsidR="00F1109A" w:rsidRPr="00DA0D5C" w:rsidRDefault="00F1109A" w:rsidP="00D12E0C">
            <w:pPr>
              <w:pStyle w:val="VBAILTBody"/>
            </w:pPr>
          </w:p>
        </w:tc>
      </w:tr>
      <w:tr w:rsidR="00E73EE7" w14:paraId="5201324F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26E2F" w14:textId="30C705DE" w:rsidR="00E73EE7" w:rsidRPr="00A763E5" w:rsidRDefault="00E73EE7" w:rsidP="00E73EE7">
            <w:pPr>
              <w:pStyle w:val="VBAILTBody"/>
              <w:keepNext/>
              <w:jc w:val="center"/>
              <w:rPr>
                <w:rStyle w:val="Strong"/>
              </w:rPr>
            </w:pPr>
            <w:r w:rsidRPr="00A763E5">
              <w:rPr>
                <w:rStyle w:val="Strong"/>
              </w:rPr>
              <w:t>Part</w:t>
            </w:r>
          </w:p>
          <w:p w14:paraId="2D70F367" w14:textId="5C5AAE75" w:rsidR="00E73EE7" w:rsidRDefault="00120759" w:rsidP="00E73EE7">
            <w:pPr>
              <w:pStyle w:val="VBAILTBody"/>
              <w:keepNext/>
              <w:jc w:val="center"/>
            </w:pPr>
            <w:r>
              <w:rPr>
                <w:rStyle w:val="Strong"/>
              </w:rPr>
              <w:t>7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8012" w14:textId="600D4D00" w:rsidR="00E73EE7" w:rsidRDefault="00E73EE7" w:rsidP="00680343">
            <w:pPr>
              <w:pStyle w:val="VBAILTBody"/>
              <w:keepNext/>
            </w:pPr>
            <w:r>
              <w:t>Decide the award action</w:t>
            </w:r>
            <w:r w:rsidR="00680343">
              <w:t>s</w:t>
            </w:r>
            <w:r>
              <w:t xml:space="preserve"> </w:t>
            </w:r>
            <w:r w:rsidR="00A17403">
              <w:t>for</w:t>
            </w:r>
            <w:r w:rsidR="00680343">
              <w:t xml:space="preserve"> a </w:t>
            </w:r>
            <w:r w:rsidR="007C0485">
              <w:t>burial</w:t>
            </w:r>
            <w:r w:rsidR="00A17403">
              <w:t xml:space="preserve"> claim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DC2196" w14:textId="555F2031" w:rsidR="00A17403" w:rsidRPr="00E1374D" w:rsidRDefault="00A17403" w:rsidP="00D12E0C">
            <w:pPr>
              <w:pStyle w:val="VBAILTBody"/>
            </w:pPr>
          </w:p>
        </w:tc>
      </w:tr>
      <w:tr w:rsidR="00E73EE7" w14:paraId="7A1F3D9D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99BC5" w14:textId="0EA836D4" w:rsidR="00E73EE7" w:rsidRDefault="00E73EE7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C355" w14:textId="30D1144D" w:rsidR="00A17403" w:rsidRDefault="00A17403" w:rsidP="00E73EE7">
            <w:pPr>
              <w:pStyle w:val="VBAILTbullet1"/>
            </w:pPr>
            <w:r>
              <w:t>Refer to the following job aids:</w:t>
            </w:r>
          </w:p>
          <w:p w14:paraId="70BC0A72" w14:textId="3B86AA19" w:rsidR="00971B51" w:rsidRDefault="0045583E" w:rsidP="00971B51">
            <w:pPr>
              <w:pStyle w:val="VBAILTBullet2"/>
            </w:pPr>
            <w:r>
              <w:rPr>
                <w:b/>
              </w:rPr>
              <w:t>Processing a Grant</w:t>
            </w:r>
            <w:r w:rsidR="00ED75CE">
              <w:rPr>
                <w:b/>
              </w:rPr>
              <w:t xml:space="preserve"> of Benefits</w:t>
            </w:r>
            <w:r>
              <w:rPr>
                <w:b/>
              </w:rPr>
              <w:t xml:space="preserve"> </w:t>
            </w:r>
            <w:r w:rsidR="00971B51">
              <w:t>job aid</w:t>
            </w:r>
          </w:p>
          <w:p w14:paraId="00899A7B" w14:textId="04EB00C0" w:rsidR="00971B51" w:rsidRPr="00DA20FB" w:rsidRDefault="0045583E" w:rsidP="00091DAC">
            <w:pPr>
              <w:pStyle w:val="VBAILTBullet2"/>
            </w:pPr>
            <w:r>
              <w:rPr>
                <w:b/>
              </w:rPr>
              <w:t xml:space="preserve">Processing a Denial </w:t>
            </w:r>
            <w:r w:rsidR="00ED75CE">
              <w:rPr>
                <w:b/>
              </w:rPr>
              <w:t xml:space="preserve">of Benefits </w:t>
            </w:r>
            <w:r>
              <w:t>job aid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39F7FFDB" w14:textId="77777777" w:rsidR="00E73EE7" w:rsidRPr="00DA0D5C" w:rsidRDefault="00E73EE7" w:rsidP="00D12E0C">
            <w:pPr>
              <w:pStyle w:val="VBAILTBody"/>
            </w:pPr>
          </w:p>
        </w:tc>
      </w:tr>
      <w:tr w:rsidR="00C621A9" w14:paraId="23D825E1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5AE03" w14:textId="77777777" w:rsidR="00C621A9" w:rsidRDefault="00C621A9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B63AF" w14:textId="2EF7B70B" w:rsidR="00C621A9" w:rsidRDefault="00BA29E7" w:rsidP="00E73EE7">
            <w:pPr>
              <w:pStyle w:val="VBAILTbullet1"/>
            </w:pPr>
            <w:r>
              <w:t>Is</w:t>
            </w:r>
            <w:r w:rsidR="007C0485">
              <w:t xml:space="preserve"> claimant entitled to</w:t>
            </w:r>
            <w:r>
              <w:t xml:space="preserve">: </w:t>
            </w:r>
          </w:p>
          <w:p w14:paraId="4AFEDDB8" w14:textId="77777777" w:rsidR="00C621A9" w:rsidRDefault="00BA29E7" w:rsidP="00C621A9">
            <w:pPr>
              <w:pStyle w:val="VBAILTBullet2"/>
            </w:pPr>
            <w:r>
              <w:t>SC burial</w:t>
            </w:r>
          </w:p>
          <w:p w14:paraId="65F4F9D3" w14:textId="77777777" w:rsidR="00BA29E7" w:rsidRDefault="00BA29E7" w:rsidP="00C621A9">
            <w:pPr>
              <w:pStyle w:val="VBAILTBullet2"/>
            </w:pPr>
            <w:r>
              <w:t>NSC burial</w:t>
            </w:r>
          </w:p>
          <w:p w14:paraId="7EB88BF9" w14:textId="77777777" w:rsidR="00BA29E7" w:rsidRDefault="00BA29E7" w:rsidP="00C621A9">
            <w:pPr>
              <w:pStyle w:val="VBAILTBullet2"/>
            </w:pPr>
            <w:r>
              <w:t>VAMC hospitalization death</w:t>
            </w:r>
          </w:p>
          <w:p w14:paraId="37647216" w14:textId="77777777" w:rsidR="00BA29E7" w:rsidRDefault="00BA29E7" w:rsidP="00C621A9">
            <w:pPr>
              <w:pStyle w:val="VBAILTBullet2"/>
            </w:pPr>
            <w:r>
              <w:t>Plot</w:t>
            </w:r>
          </w:p>
          <w:p w14:paraId="69217A9C" w14:textId="0DD11F17" w:rsidR="00223F75" w:rsidRDefault="00BA29E7" w:rsidP="00223F75">
            <w:pPr>
              <w:pStyle w:val="VBAILTBullet2"/>
            </w:pPr>
            <w:r>
              <w:t>Transportation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4469A47D" w14:textId="77777777" w:rsidR="00C621A9" w:rsidRPr="00DA0D5C" w:rsidRDefault="00C621A9" w:rsidP="00D12E0C">
            <w:pPr>
              <w:pStyle w:val="VBAILTBody"/>
            </w:pPr>
          </w:p>
        </w:tc>
      </w:tr>
      <w:tr w:rsidR="00036644" w14:paraId="2B66FA7D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BAFC4" w14:textId="77777777" w:rsidR="00036644" w:rsidRDefault="00036644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2E345" w14:textId="763B0FC2" w:rsidR="00036644" w:rsidRDefault="00036644" w:rsidP="00E73EE7">
            <w:pPr>
              <w:pStyle w:val="VBAILTbullet1"/>
            </w:pPr>
            <w:r>
              <w:t>To determine the rate</w:t>
            </w:r>
            <w:r w:rsidR="00B62711">
              <w:t>s</w:t>
            </w:r>
            <w:r>
              <w:t xml:space="preserve"> for the applicable benefits, refer to M21-1 </w:t>
            </w:r>
            <w:r w:rsidR="008D300D">
              <w:t>XI.iii</w:t>
            </w:r>
            <w:r>
              <w:t>.1.B (Burial Benefits)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0515ABA8" w14:textId="77777777" w:rsidR="00036644" w:rsidRPr="00DA0D5C" w:rsidRDefault="00036644" w:rsidP="00D12E0C">
            <w:pPr>
              <w:pStyle w:val="VBAILTBody"/>
            </w:pPr>
          </w:p>
        </w:tc>
      </w:tr>
      <w:tr w:rsidR="00E73EE7" w14:paraId="67DF2ACC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BD783" w14:textId="23798F62" w:rsidR="00E73EE7" w:rsidRDefault="00E73EE7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7AE08" w14:textId="775885DB" w:rsidR="00E73EE7" w:rsidRDefault="00E00806" w:rsidP="00E73EE7">
            <w:pPr>
              <w:pStyle w:val="VBAILTbullet1"/>
            </w:pPr>
            <w:r>
              <w:t>R</w:t>
            </w:r>
            <w:r w:rsidRPr="00096A6C">
              <w:t xml:space="preserve">efer to </w:t>
            </w:r>
            <w:r w:rsidRPr="00462C7B">
              <w:rPr>
                <w:b/>
              </w:rPr>
              <w:t>Annotate the Award Checklist</w:t>
            </w:r>
            <w:r w:rsidRPr="00096A6C">
              <w:t xml:space="preserve"> job aid to annotate your PMC VSR notes about deciding the award action in the applicable system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093C42E6" w14:textId="77777777" w:rsidR="00E73EE7" w:rsidRPr="00DA0D5C" w:rsidRDefault="00E73EE7" w:rsidP="00D12E0C">
            <w:pPr>
              <w:pStyle w:val="VBAILTBody"/>
            </w:pPr>
          </w:p>
        </w:tc>
      </w:tr>
      <w:tr w:rsidR="00E73EE7" w14:paraId="6E9599C2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3F119" w14:textId="4BF76D7C" w:rsidR="00E73EE7" w:rsidRPr="00A763E5" w:rsidRDefault="00E73EE7" w:rsidP="00120759">
            <w:pPr>
              <w:pStyle w:val="VBAILTBody"/>
              <w:keepNext/>
              <w:jc w:val="center"/>
              <w:rPr>
                <w:rStyle w:val="Strong"/>
              </w:rPr>
            </w:pPr>
            <w:r w:rsidRPr="00A763E5">
              <w:rPr>
                <w:rStyle w:val="Strong"/>
              </w:rPr>
              <w:t xml:space="preserve">Part </w:t>
            </w:r>
            <w:r w:rsidR="00120759">
              <w:rPr>
                <w:rStyle w:val="Strong"/>
              </w:rPr>
              <w:t>8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501E2" w14:textId="7182D83E" w:rsidR="00E73EE7" w:rsidRDefault="00E73EE7" w:rsidP="00E73EE7">
            <w:pPr>
              <w:pStyle w:val="VBAILTBody"/>
              <w:keepNext/>
            </w:pPr>
            <w:r>
              <w:t xml:space="preserve">Prepare a decision </w:t>
            </w:r>
            <w:r w:rsidR="00F11167">
              <w:t>notice</w:t>
            </w:r>
            <w:r>
              <w:t xml:space="preserve"> 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D5FE9D" w14:textId="3C62BF48" w:rsidR="00E73EE7" w:rsidRPr="00DA0D5C" w:rsidRDefault="00E73EE7" w:rsidP="00D12E0C">
            <w:pPr>
              <w:pStyle w:val="VBAILTBody"/>
            </w:pPr>
          </w:p>
        </w:tc>
      </w:tr>
      <w:tr w:rsidR="00E73EE7" w14:paraId="042CB15A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D7A986C" w14:textId="3B005906" w:rsidR="00E73EE7" w:rsidRDefault="00E73EE7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33362354" w14:textId="516586A0" w:rsidR="00E73EE7" w:rsidRDefault="00422243" w:rsidP="00422243">
            <w:pPr>
              <w:pStyle w:val="VBAILTbullet1"/>
            </w:pPr>
            <w:r>
              <w:t xml:space="preserve">Review </w:t>
            </w:r>
            <w:r w:rsidR="00E73EE7">
              <w:t xml:space="preserve">decision </w:t>
            </w:r>
            <w:r w:rsidR="00F11167">
              <w:t>notice</w:t>
            </w:r>
            <w:r w:rsidR="008D6C96">
              <w:t xml:space="preserve"> </w:t>
            </w:r>
            <w:r>
              <w:t xml:space="preserve">or create notice </w:t>
            </w:r>
            <w:r w:rsidR="008D6C96">
              <w:t>if applicable</w:t>
            </w:r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3EF6266B" w14:textId="2986FF64" w:rsidR="00E73EE7" w:rsidRPr="00DA0D5C" w:rsidRDefault="00E73EE7" w:rsidP="00D12E0C">
            <w:pPr>
              <w:pStyle w:val="VBAILTBody"/>
            </w:pPr>
          </w:p>
        </w:tc>
      </w:tr>
      <w:tr w:rsidR="00E73EE7" w14:paraId="2D0D646B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F40F9D9" w14:textId="77777777" w:rsidR="00E73EE7" w:rsidRDefault="00E73EE7" w:rsidP="00E73EE7">
            <w:pPr>
              <w:pStyle w:val="VBAILTBody"/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446E1616" w14:textId="3EEA765A" w:rsidR="00E73EE7" w:rsidRDefault="00E73EE7" w:rsidP="00120759">
            <w:pPr>
              <w:pStyle w:val="VBAILTbullet1"/>
            </w:pPr>
            <w:r>
              <w:t>Determine contents</w:t>
            </w:r>
            <w:r w:rsidR="008D6C96">
              <w:t xml:space="preserve">, if applicable, </w:t>
            </w:r>
            <w:r>
              <w:t xml:space="preserve"> of </w:t>
            </w:r>
            <w:r w:rsidR="00FB40E2">
              <w:t xml:space="preserve">decision </w:t>
            </w:r>
            <w:r w:rsidR="00F11167">
              <w:t>notice</w:t>
            </w:r>
            <w:r w:rsidR="008D6C96">
              <w:t xml:space="preserve"> </w:t>
            </w:r>
            <w:r>
              <w:t xml:space="preserve">to include: </w:t>
            </w:r>
          </w:p>
          <w:p w14:paraId="52A6BBB4" w14:textId="77777777" w:rsidR="00E73EE7" w:rsidRPr="00120759" w:rsidRDefault="00E73EE7" w:rsidP="00120759">
            <w:pPr>
              <w:pStyle w:val="VBAILTBullet2"/>
            </w:pPr>
            <w:r w:rsidRPr="00120759">
              <w:t>Paragraphs</w:t>
            </w:r>
          </w:p>
          <w:p w14:paraId="2F2E007F" w14:textId="77777777" w:rsidR="00E73EE7" w:rsidRPr="00120759" w:rsidRDefault="00E73EE7" w:rsidP="00120759">
            <w:pPr>
              <w:pStyle w:val="VBAILTBullet2"/>
            </w:pPr>
            <w:r w:rsidRPr="00120759">
              <w:t>Template</w:t>
            </w:r>
          </w:p>
          <w:p w14:paraId="2ABDFCF5" w14:textId="2FA783E3" w:rsidR="00E73EE7" w:rsidRDefault="00E73EE7" w:rsidP="00120759">
            <w:pPr>
              <w:pStyle w:val="VBAILTBullet2"/>
            </w:pPr>
            <w:proofErr w:type="spellStart"/>
            <w:r w:rsidRPr="00120759">
              <w:t>Autotext</w:t>
            </w:r>
            <w:proofErr w:type="spellEnd"/>
          </w:p>
        </w:tc>
        <w:tc>
          <w:tcPr>
            <w:tcW w:w="4567" w:type="dxa"/>
            <w:tcBorders>
              <w:left w:val="single" w:sz="4" w:space="0" w:color="auto"/>
            </w:tcBorders>
          </w:tcPr>
          <w:p w14:paraId="559E180C" w14:textId="77777777" w:rsidR="00E73EE7" w:rsidRPr="00DA0D5C" w:rsidRDefault="00E73EE7" w:rsidP="00D12E0C">
            <w:pPr>
              <w:pStyle w:val="VBAILTBody"/>
            </w:pPr>
          </w:p>
        </w:tc>
      </w:tr>
      <w:tr w:rsidR="00E73EE7" w14:paraId="35B216C5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7EE" w14:textId="19024F7D" w:rsidR="00E73EE7" w:rsidRPr="00A763E5" w:rsidRDefault="00E73EE7" w:rsidP="00F1109A">
            <w:pPr>
              <w:pStyle w:val="VBAILTBody"/>
              <w:keepNext/>
              <w:jc w:val="center"/>
              <w:rPr>
                <w:rStyle w:val="Strong"/>
                <w:rFonts w:asciiTheme="minorHAnsi" w:hAnsiTheme="minorHAnsi"/>
              </w:rPr>
            </w:pPr>
            <w:r w:rsidRPr="00A763E5">
              <w:rPr>
                <w:rStyle w:val="Strong"/>
              </w:rPr>
              <w:lastRenderedPageBreak/>
              <w:t xml:space="preserve">Part </w:t>
            </w:r>
            <w:r w:rsidR="00120759">
              <w:rPr>
                <w:rStyle w:val="Strong"/>
              </w:rPr>
              <w:t>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5BCAD" w14:textId="1C6356E8" w:rsidR="00E73EE7" w:rsidRDefault="00E73EE7" w:rsidP="00F1109A">
            <w:pPr>
              <w:pStyle w:val="VBAILTBody"/>
              <w:keepNext/>
            </w:pPr>
            <w:r>
              <w:t>Submit the claim to the Authorizer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C402F3" w14:textId="77777777" w:rsidR="00E73EE7" w:rsidRPr="00DA0D5C" w:rsidRDefault="00E73EE7" w:rsidP="00D12E0C">
            <w:pPr>
              <w:pStyle w:val="VBAILTBody"/>
            </w:pPr>
          </w:p>
        </w:tc>
      </w:tr>
      <w:tr w:rsidR="002C06D5" w14:paraId="76142F34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35565" w14:textId="77777777" w:rsidR="002C06D5" w:rsidRPr="00A763E5" w:rsidRDefault="002C06D5" w:rsidP="002C06D5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FC5DA" w14:textId="6F63D18C" w:rsidR="002C06D5" w:rsidRDefault="00BA29E7" w:rsidP="00BA29E7">
            <w:pPr>
              <w:pStyle w:val="VBAILTbullet1"/>
            </w:pPr>
            <w:r>
              <w:t>Whether granting</w:t>
            </w:r>
            <w:r w:rsidR="002C06D5" w:rsidRPr="00094FB1">
              <w:t xml:space="preserve"> </w:t>
            </w:r>
            <w:r w:rsidR="00ED75CE">
              <w:t>and/</w:t>
            </w:r>
            <w:r>
              <w:t xml:space="preserve">or </w:t>
            </w:r>
            <w:r w:rsidR="002C06D5" w:rsidRPr="00094FB1">
              <w:t xml:space="preserve">denying refer to </w:t>
            </w:r>
            <w:r w:rsidR="002C06D5" w:rsidRPr="00462C7B">
              <w:rPr>
                <w:b/>
              </w:rPr>
              <w:t>Annotate the Award Checklist</w:t>
            </w:r>
            <w:r w:rsidR="002C06D5" w:rsidRPr="00094FB1">
              <w:t xml:space="preserve"> job aid to document your final PMC VSR notes about the award in the applicable system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179624F3" w14:textId="77777777" w:rsidR="002C06D5" w:rsidRPr="00DA0D5C" w:rsidRDefault="002C06D5" w:rsidP="00D12E0C">
            <w:pPr>
              <w:pStyle w:val="VBAILTBody"/>
            </w:pPr>
          </w:p>
        </w:tc>
      </w:tr>
      <w:tr w:rsidR="002C06D5" w14:paraId="448856CC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384D3" w14:textId="77777777" w:rsidR="002C06D5" w:rsidRPr="00A763E5" w:rsidRDefault="002C06D5" w:rsidP="002C06D5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B5E1B" w14:textId="56664C00" w:rsidR="002C06D5" w:rsidRDefault="002C06D5" w:rsidP="002C06D5">
            <w:pPr>
              <w:pStyle w:val="VBAILTbullet1"/>
            </w:pPr>
            <w:r w:rsidRPr="00094FB1">
              <w:t xml:space="preserve">Save completed work, including </w:t>
            </w:r>
            <w:r>
              <w:t>decision notice</w:t>
            </w:r>
            <w:r w:rsidRPr="00094FB1">
              <w:t>, in appropriate locations according to local procedures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09560848" w14:textId="77777777" w:rsidR="002C06D5" w:rsidRPr="00DA0D5C" w:rsidRDefault="002C06D5" w:rsidP="00D12E0C">
            <w:pPr>
              <w:pStyle w:val="VBAILTBody"/>
            </w:pPr>
          </w:p>
        </w:tc>
      </w:tr>
      <w:tr w:rsidR="002C06D5" w14:paraId="42E915BF" w14:textId="77777777" w:rsidTr="005471D0">
        <w:trPr>
          <w:cantSplit/>
          <w:trHeight w:val="1440"/>
          <w:jc w:val="center"/>
        </w:trPr>
        <w:tc>
          <w:tcPr>
            <w:tcW w:w="7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93FA3" w14:textId="77777777" w:rsidR="002C06D5" w:rsidRPr="00A763E5" w:rsidRDefault="002C06D5" w:rsidP="002C06D5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B2C56" w14:textId="2D7E7F35" w:rsidR="002C06D5" w:rsidRDefault="002C06D5" w:rsidP="002C06D5">
            <w:pPr>
              <w:pStyle w:val="VBAILTbullet1"/>
            </w:pPr>
            <w:r w:rsidRPr="00094FB1">
              <w:t xml:space="preserve">Submit the claim and </w:t>
            </w:r>
            <w:r>
              <w:t>decision notice</w:t>
            </w:r>
            <w:r w:rsidRPr="00094FB1">
              <w:t xml:space="preserve"> for review by Authorizer according to local procedures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</w:tcPr>
          <w:p w14:paraId="6EE0D8C6" w14:textId="77777777" w:rsidR="002C06D5" w:rsidRPr="00DA0D5C" w:rsidRDefault="002C06D5" w:rsidP="00D12E0C">
            <w:pPr>
              <w:pStyle w:val="VBAILTBody"/>
            </w:pPr>
          </w:p>
        </w:tc>
      </w:tr>
    </w:tbl>
    <w:p w14:paraId="5A71C8F2" w14:textId="55CD5EE4" w:rsidR="00011F60" w:rsidRDefault="00F6391E" w:rsidP="001C2556">
      <w:pPr>
        <w:pStyle w:val="VBAILTBody"/>
      </w:pPr>
      <w:r>
        <w:t>Remember, these steps are broken out into distinct tasks for instructional purposes</w:t>
      </w:r>
      <w:r w:rsidR="00745C0C">
        <w:t xml:space="preserve"> only</w:t>
      </w:r>
      <w:r w:rsidR="002C4EE7">
        <w:t>;</w:t>
      </w:r>
      <w:r>
        <w:t xml:space="preserve"> an experienced PMC VSR may complete </w:t>
      </w:r>
      <w:r w:rsidR="009D32EE">
        <w:t xml:space="preserve">many of the </w:t>
      </w:r>
      <w:r>
        <w:t>tasks simultaneously.</w:t>
      </w:r>
    </w:p>
    <w:sectPr w:rsidR="00011F60" w:rsidSect="003708D9">
      <w:headerReference w:type="default" r:id="rId12"/>
      <w:footerReference w:type="default" r:id="rId13"/>
      <w:headerReference w:type="first" r:id="rId14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EFEB" w14:textId="77777777" w:rsidR="004A7491" w:rsidRDefault="004A7491" w:rsidP="00C214A9">
      <w:pPr>
        <w:spacing w:after="0" w:line="240" w:lineRule="auto"/>
      </w:pPr>
      <w:r>
        <w:separator/>
      </w:r>
    </w:p>
  </w:endnote>
  <w:endnote w:type="continuationSeparator" w:id="0">
    <w:p w14:paraId="506D7F49" w14:textId="77777777" w:rsidR="004A7491" w:rsidRDefault="004A749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4362" w14:textId="3D49F435" w:rsidR="00C214A9" w:rsidRPr="00C214A9" w:rsidRDefault="0070389D" w:rsidP="0024084E">
    <w:pPr>
      <w:pStyle w:val="VBAILTFooter"/>
    </w:pPr>
    <w:r>
      <w:t>March</w:t>
    </w:r>
    <w:r w:rsidR="008D300D">
      <w:t xml:space="preserve"> 2022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5327EC" w:rsidRPr="005327EC">
      <w:rPr>
        <w:b/>
        <w:bCs/>
        <w:noProof/>
      </w:rPr>
      <w:t>2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62AC" w14:textId="77777777" w:rsidR="004A7491" w:rsidRDefault="004A7491" w:rsidP="00C214A9">
      <w:pPr>
        <w:spacing w:after="0" w:line="240" w:lineRule="auto"/>
      </w:pPr>
      <w:r>
        <w:separator/>
      </w:r>
    </w:p>
  </w:footnote>
  <w:footnote w:type="continuationSeparator" w:id="0">
    <w:p w14:paraId="1000D87C" w14:textId="77777777" w:rsidR="004A7491" w:rsidRDefault="004A749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C62" w14:textId="42FBC060" w:rsidR="002D1DCE" w:rsidRPr="002D1DCE" w:rsidRDefault="003B3577" w:rsidP="00C569BF">
    <w:pPr>
      <w:pStyle w:val="VBAILTHeader"/>
      <w:pBdr>
        <w:bottom w:val="single" w:sz="4" w:space="1" w:color="auto"/>
      </w:pBdr>
    </w:pPr>
    <w:r>
      <w:t xml:space="preserve">Processing </w:t>
    </w:r>
    <w:r w:rsidR="00415771">
      <w:t xml:space="preserve">Burial </w:t>
    </w:r>
    <w:r>
      <w:t>Claim</w:t>
    </w:r>
    <w:r w:rsidR="00F96F0C">
      <w:t>s</w:t>
    </w:r>
    <w:r>
      <w:t xml:space="preserve"> Checklist</w:t>
    </w:r>
    <w:r w:rsidR="00F9133E">
      <w:t xml:space="preserve"> </w:t>
    </w:r>
    <w:r>
      <w:t>Job Aid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90B0" w14:textId="77777777" w:rsidR="002D1DCE" w:rsidRDefault="00F054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EC9601" wp14:editId="7019EB42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9AB"/>
    <w:multiLevelType w:val="hybridMultilevel"/>
    <w:tmpl w:val="ED381126"/>
    <w:lvl w:ilvl="0" w:tplc="B7441D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C0161"/>
    <w:multiLevelType w:val="multilevel"/>
    <w:tmpl w:val="383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" w15:restartNumberingAfterBreak="0">
    <w:nsid w:val="0B9C217A"/>
    <w:multiLevelType w:val="multilevel"/>
    <w:tmpl w:val="5A3AB502"/>
    <w:numStyleLink w:val="VBAILTNumbering"/>
  </w:abstractNum>
  <w:abstractNum w:abstractNumId="4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521E0"/>
    <w:multiLevelType w:val="multilevel"/>
    <w:tmpl w:val="9F3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F057D7"/>
    <w:multiLevelType w:val="multilevel"/>
    <w:tmpl w:val="5A3AB502"/>
    <w:styleLink w:val="VBAILTNumbering"/>
    <w:lvl w:ilvl="0">
      <w:start w:val="1"/>
      <w:numFmt w:val="decimal"/>
      <w:pStyle w:val="VBAILTTableste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6A1AC8"/>
    <w:multiLevelType w:val="hybridMultilevel"/>
    <w:tmpl w:val="39307332"/>
    <w:lvl w:ilvl="0" w:tplc="76BC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7C2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057B4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827C0"/>
    <w:multiLevelType w:val="multilevel"/>
    <w:tmpl w:val="65AA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9152F4"/>
    <w:multiLevelType w:val="multilevel"/>
    <w:tmpl w:val="3A0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6D238F"/>
    <w:multiLevelType w:val="multilevel"/>
    <w:tmpl w:val="5A3AB502"/>
    <w:numStyleLink w:val="VBAILTNumbering"/>
  </w:abstractNum>
  <w:abstractNum w:abstractNumId="16" w15:restartNumberingAfterBreak="0">
    <w:nsid w:val="5FD6662E"/>
    <w:multiLevelType w:val="multilevel"/>
    <w:tmpl w:val="623C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D72446"/>
    <w:multiLevelType w:val="hybridMultilevel"/>
    <w:tmpl w:val="A1A49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9" w15:restartNumberingAfterBreak="0">
    <w:nsid w:val="71452841"/>
    <w:multiLevelType w:val="hybridMultilevel"/>
    <w:tmpl w:val="40D4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2523A"/>
    <w:multiLevelType w:val="multilevel"/>
    <w:tmpl w:val="F1CCC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VBAILTTablesubstep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11"/>
  </w:num>
  <w:num w:numId="9">
    <w:abstractNumId w:val="6"/>
  </w:num>
  <w:num w:numId="10">
    <w:abstractNumId w:val="15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19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17"/>
  </w:num>
  <w:num w:numId="27">
    <w:abstractNumId w:val="0"/>
  </w:num>
  <w:num w:numId="28">
    <w:abstractNumId w:val="4"/>
  </w:num>
  <w:num w:numId="29">
    <w:abstractNumId w:val="10"/>
  </w:num>
  <w:num w:numId="30">
    <w:abstractNumId w:val="8"/>
  </w:num>
  <w:num w:numId="31">
    <w:abstractNumId w:val="13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6"/>
  </w:num>
  <w:num w:numId="37">
    <w:abstractNumId w:val="3"/>
    <w:lvlOverride w:ilvl="0">
      <w:lvl w:ilvl="0">
        <w:start w:val="1"/>
        <w:numFmt w:val="decimal"/>
        <w:pStyle w:val="VBAILTTablestep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77"/>
    <w:rsid w:val="00011F60"/>
    <w:rsid w:val="0001636C"/>
    <w:rsid w:val="000339DC"/>
    <w:rsid w:val="00036644"/>
    <w:rsid w:val="000408E6"/>
    <w:rsid w:val="0005024A"/>
    <w:rsid w:val="00055624"/>
    <w:rsid w:val="000565F5"/>
    <w:rsid w:val="00077BE7"/>
    <w:rsid w:val="00091DAC"/>
    <w:rsid w:val="0009467C"/>
    <w:rsid w:val="00096A6C"/>
    <w:rsid w:val="000A2228"/>
    <w:rsid w:val="000A4CCA"/>
    <w:rsid w:val="000B36DA"/>
    <w:rsid w:val="000C4E80"/>
    <w:rsid w:val="000C51B7"/>
    <w:rsid w:val="000D1E2F"/>
    <w:rsid w:val="000D2FE8"/>
    <w:rsid w:val="000D4F1E"/>
    <w:rsid w:val="000E142C"/>
    <w:rsid w:val="000E1B36"/>
    <w:rsid w:val="000E38D2"/>
    <w:rsid w:val="000F18C5"/>
    <w:rsid w:val="000F3345"/>
    <w:rsid w:val="000F6A22"/>
    <w:rsid w:val="001024EA"/>
    <w:rsid w:val="001068C0"/>
    <w:rsid w:val="00116035"/>
    <w:rsid w:val="00117577"/>
    <w:rsid w:val="00120759"/>
    <w:rsid w:val="001262F7"/>
    <w:rsid w:val="00143CCF"/>
    <w:rsid w:val="00146579"/>
    <w:rsid w:val="00150C46"/>
    <w:rsid w:val="00153B46"/>
    <w:rsid w:val="00154036"/>
    <w:rsid w:val="001604CC"/>
    <w:rsid w:val="00162EF7"/>
    <w:rsid w:val="0016329B"/>
    <w:rsid w:val="00167971"/>
    <w:rsid w:val="0017171B"/>
    <w:rsid w:val="00184189"/>
    <w:rsid w:val="00192220"/>
    <w:rsid w:val="001A4C7C"/>
    <w:rsid w:val="001A4D42"/>
    <w:rsid w:val="001A7A88"/>
    <w:rsid w:val="001B1493"/>
    <w:rsid w:val="001B7755"/>
    <w:rsid w:val="001C2556"/>
    <w:rsid w:val="001C5CBF"/>
    <w:rsid w:val="001D02E9"/>
    <w:rsid w:val="001D2E6A"/>
    <w:rsid w:val="001D5A75"/>
    <w:rsid w:val="001E3E4D"/>
    <w:rsid w:val="001E58C2"/>
    <w:rsid w:val="001F2555"/>
    <w:rsid w:val="00211F88"/>
    <w:rsid w:val="00223F75"/>
    <w:rsid w:val="00224AE0"/>
    <w:rsid w:val="00227210"/>
    <w:rsid w:val="002356F5"/>
    <w:rsid w:val="0024084E"/>
    <w:rsid w:val="00243235"/>
    <w:rsid w:val="00250FEF"/>
    <w:rsid w:val="00253D43"/>
    <w:rsid w:val="00255123"/>
    <w:rsid w:val="00256AC8"/>
    <w:rsid w:val="00261E09"/>
    <w:rsid w:val="00264E6D"/>
    <w:rsid w:val="00266581"/>
    <w:rsid w:val="00267BA2"/>
    <w:rsid w:val="00283CAC"/>
    <w:rsid w:val="00291114"/>
    <w:rsid w:val="002912BA"/>
    <w:rsid w:val="002A1917"/>
    <w:rsid w:val="002A1BB0"/>
    <w:rsid w:val="002A4288"/>
    <w:rsid w:val="002B234B"/>
    <w:rsid w:val="002C06D5"/>
    <w:rsid w:val="002C3FE7"/>
    <w:rsid w:val="002C4EE7"/>
    <w:rsid w:val="002D0050"/>
    <w:rsid w:val="002D0152"/>
    <w:rsid w:val="002D1DCE"/>
    <w:rsid w:val="002D38F1"/>
    <w:rsid w:val="002E280E"/>
    <w:rsid w:val="002E3812"/>
    <w:rsid w:val="002E7FD3"/>
    <w:rsid w:val="00304403"/>
    <w:rsid w:val="003061A0"/>
    <w:rsid w:val="00316C7D"/>
    <w:rsid w:val="00324C21"/>
    <w:rsid w:val="00342BD5"/>
    <w:rsid w:val="00344658"/>
    <w:rsid w:val="00360F79"/>
    <w:rsid w:val="00365C26"/>
    <w:rsid w:val="00366382"/>
    <w:rsid w:val="00366F7C"/>
    <w:rsid w:val="00370635"/>
    <w:rsid w:val="003708D9"/>
    <w:rsid w:val="00371012"/>
    <w:rsid w:val="00372AE6"/>
    <w:rsid w:val="0039230C"/>
    <w:rsid w:val="00396944"/>
    <w:rsid w:val="00397216"/>
    <w:rsid w:val="003A229C"/>
    <w:rsid w:val="003A2F70"/>
    <w:rsid w:val="003B118F"/>
    <w:rsid w:val="003B14A5"/>
    <w:rsid w:val="003B3180"/>
    <w:rsid w:val="003B3577"/>
    <w:rsid w:val="003B3F5C"/>
    <w:rsid w:val="003B71E6"/>
    <w:rsid w:val="003D2F45"/>
    <w:rsid w:val="003E095B"/>
    <w:rsid w:val="003E3D02"/>
    <w:rsid w:val="003E6274"/>
    <w:rsid w:val="003F0934"/>
    <w:rsid w:val="003F25BB"/>
    <w:rsid w:val="003F2FC2"/>
    <w:rsid w:val="00415771"/>
    <w:rsid w:val="00416682"/>
    <w:rsid w:val="00422243"/>
    <w:rsid w:val="00423DA8"/>
    <w:rsid w:val="00440381"/>
    <w:rsid w:val="00446EDE"/>
    <w:rsid w:val="00452511"/>
    <w:rsid w:val="0045583E"/>
    <w:rsid w:val="004563C6"/>
    <w:rsid w:val="00462BF6"/>
    <w:rsid w:val="00462C7B"/>
    <w:rsid w:val="004802B9"/>
    <w:rsid w:val="00486FBC"/>
    <w:rsid w:val="00494920"/>
    <w:rsid w:val="004A7491"/>
    <w:rsid w:val="004B57ED"/>
    <w:rsid w:val="004E14E0"/>
    <w:rsid w:val="004E5735"/>
    <w:rsid w:val="004F2413"/>
    <w:rsid w:val="00512D9B"/>
    <w:rsid w:val="0051362E"/>
    <w:rsid w:val="00517562"/>
    <w:rsid w:val="005327EC"/>
    <w:rsid w:val="0053421A"/>
    <w:rsid w:val="00534BDE"/>
    <w:rsid w:val="00536F90"/>
    <w:rsid w:val="00541CD7"/>
    <w:rsid w:val="005471D0"/>
    <w:rsid w:val="00550444"/>
    <w:rsid w:val="005605A1"/>
    <w:rsid w:val="00572C10"/>
    <w:rsid w:val="00584CC9"/>
    <w:rsid w:val="005957C0"/>
    <w:rsid w:val="005961F7"/>
    <w:rsid w:val="005A61B3"/>
    <w:rsid w:val="005B5FCC"/>
    <w:rsid w:val="005C3008"/>
    <w:rsid w:val="005C75BF"/>
    <w:rsid w:val="005D01E1"/>
    <w:rsid w:val="005D42D3"/>
    <w:rsid w:val="005D482F"/>
    <w:rsid w:val="005D6D09"/>
    <w:rsid w:val="005E519D"/>
    <w:rsid w:val="005E5431"/>
    <w:rsid w:val="005E5E40"/>
    <w:rsid w:val="005F3857"/>
    <w:rsid w:val="006053A2"/>
    <w:rsid w:val="00622460"/>
    <w:rsid w:val="006310E7"/>
    <w:rsid w:val="00635705"/>
    <w:rsid w:val="00642131"/>
    <w:rsid w:val="00645908"/>
    <w:rsid w:val="0064727D"/>
    <w:rsid w:val="0067374E"/>
    <w:rsid w:val="00680343"/>
    <w:rsid w:val="0068070D"/>
    <w:rsid w:val="00681A55"/>
    <w:rsid w:val="00683ED9"/>
    <w:rsid w:val="00695353"/>
    <w:rsid w:val="006A6CD2"/>
    <w:rsid w:val="006D3744"/>
    <w:rsid w:val="006E54AE"/>
    <w:rsid w:val="006E561E"/>
    <w:rsid w:val="006E584A"/>
    <w:rsid w:val="006E7A45"/>
    <w:rsid w:val="006F1FAC"/>
    <w:rsid w:val="006F448D"/>
    <w:rsid w:val="0070389D"/>
    <w:rsid w:val="00731C06"/>
    <w:rsid w:val="00736BC3"/>
    <w:rsid w:val="007431AB"/>
    <w:rsid w:val="00745C0C"/>
    <w:rsid w:val="00750569"/>
    <w:rsid w:val="00752CE6"/>
    <w:rsid w:val="0078091C"/>
    <w:rsid w:val="00780BC7"/>
    <w:rsid w:val="007A61A0"/>
    <w:rsid w:val="007B070F"/>
    <w:rsid w:val="007B60C7"/>
    <w:rsid w:val="007B6792"/>
    <w:rsid w:val="007C0485"/>
    <w:rsid w:val="007C7124"/>
    <w:rsid w:val="007D483F"/>
    <w:rsid w:val="007F4B4E"/>
    <w:rsid w:val="00807373"/>
    <w:rsid w:val="00812F8C"/>
    <w:rsid w:val="00813890"/>
    <w:rsid w:val="008250E9"/>
    <w:rsid w:val="00825D4D"/>
    <w:rsid w:val="00826962"/>
    <w:rsid w:val="00827E18"/>
    <w:rsid w:val="00836605"/>
    <w:rsid w:val="008414FB"/>
    <w:rsid w:val="00854730"/>
    <w:rsid w:val="008715F0"/>
    <w:rsid w:val="008762CF"/>
    <w:rsid w:val="00884884"/>
    <w:rsid w:val="008934AA"/>
    <w:rsid w:val="0089641B"/>
    <w:rsid w:val="00897D27"/>
    <w:rsid w:val="008A2FBB"/>
    <w:rsid w:val="008A7792"/>
    <w:rsid w:val="008B734D"/>
    <w:rsid w:val="008D07E1"/>
    <w:rsid w:val="008D300D"/>
    <w:rsid w:val="008D6C96"/>
    <w:rsid w:val="008E1790"/>
    <w:rsid w:val="008F49BD"/>
    <w:rsid w:val="00900F14"/>
    <w:rsid w:val="00901A8D"/>
    <w:rsid w:val="00902727"/>
    <w:rsid w:val="00904DF0"/>
    <w:rsid w:val="0091339C"/>
    <w:rsid w:val="009148BF"/>
    <w:rsid w:val="00922396"/>
    <w:rsid w:val="009259ED"/>
    <w:rsid w:val="0094789F"/>
    <w:rsid w:val="0095188A"/>
    <w:rsid w:val="00963761"/>
    <w:rsid w:val="0097113A"/>
    <w:rsid w:val="00971B51"/>
    <w:rsid w:val="009763EF"/>
    <w:rsid w:val="00982834"/>
    <w:rsid w:val="00982E71"/>
    <w:rsid w:val="00984524"/>
    <w:rsid w:val="009A4898"/>
    <w:rsid w:val="009B324A"/>
    <w:rsid w:val="009B75DF"/>
    <w:rsid w:val="009C673E"/>
    <w:rsid w:val="009D32EE"/>
    <w:rsid w:val="009D5F94"/>
    <w:rsid w:val="009F16C4"/>
    <w:rsid w:val="009F1700"/>
    <w:rsid w:val="009F361E"/>
    <w:rsid w:val="009F5E34"/>
    <w:rsid w:val="00A031CF"/>
    <w:rsid w:val="00A03870"/>
    <w:rsid w:val="00A10B66"/>
    <w:rsid w:val="00A17403"/>
    <w:rsid w:val="00A200AC"/>
    <w:rsid w:val="00A219E7"/>
    <w:rsid w:val="00A336EE"/>
    <w:rsid w:val="00A3668B"/>
    <w:rsid w:val="00A40EBB"/>
    <w:rsid w:val="00A429D8"/>
    <w:rsid w:val="00A501B6"/>
    <w:rsid w:val="00A50DB5"/>
    <w:rsid w:val="00A51279"/>
    <w:rsid w:val="00A60132"/>
    <w:rsid w:val="00A61B6D"/>
    <w:rsid w:val="00A66DFB"/>
    <w:rsid w:val="00A737F6"/>
    <w:rsid w:val="00A763E5"/>
    <w:rsid w:val="00A82CA5"/>
    <w:rsid w:val="00A85E50"/>
    <w:rsid w:val="00A85FA7"/>
    <w:rsid w:val="00A87CD2"/>
    <w:rsid w:val="00AB20A5"/>
    <w:rsid w:val="00AC1AAA"/>
    <w:rsid w:val="00AC5711"/>
    <w:rsid w:val="00AD65D9"/>
    <w:rsid w:val="00AE0970"/>
    <w:rsid w:val="00AE2D3C"/>
    <w:rsid w:val="00AF1E5E"/>
    <w:rsid w:val="00AF2E5C"/>
    <w:rsid w:val="00B22BBA"/>
    <w:rsid w:val="00B25DD9"/>
    <w:rsid w:val="00B27C60"/>
    <w:rsid w:val="00B35302"/>
    <w:rsid w:val="00B3603D"/>
    <w:rsid w:val="00B447C1"/>
    <w:rsid w:val="00B45377"/>
    <w:rsid w:val="00B46B1F"/>
    <w:rsid w:val="00B619D1"/>
    <w:rsid w:val="00B62711"/>
    <w:rsid w:val="00B844EF"/>
    <w:rsid w:val="00B943B2"/>
    <w:rsid w:val="00BA0684"/>
    <w:rsid w:val="00BA29E7"/>
    <w:rsid w:val="00BA658F"/>
    <w:rsid w:val="00BA7D9C"/>
    <w:rsid w:val="00BC203A"/>
    <w:rsid w:val="00BE26E1"/>
    <w:rsid w:val="00BF0699"/>
    <w:rsid w:val="00BF507B"/>
    <w:rsid w:val="00C119DA"/>
    <w:rsid w:val="00C16E15"/>
    <w:rsid w:val="00C214A9"/>
    <w:rsid w:val="00C273A9"/>
    <w:rsid w:val="00C30F06"/>
    <w:rsid w:val="00C43100"/>
    <w:rsid w:val="00C551CD"/>
    <w:rsid w:val="00C5543A"/>
    <w:rsid w:val="00C569BF"/>
    <w:rsid w:val="00C61435"/>
    <w:rsid w:val="00C621A9"/>
    <w:rsid w:val="00C764DB"/>
    <w:rsid w:val="00C8779F"/>
    <w:rsid w:val="00C90127"/>
    <w:rsid w:val="00C924EC"/>
    <w:rsid w:val="00CA6D2E"/>
    <w:rsid w:val="00CA6E2E"/>
    <w:rsid w:val="00CB02CF"/>
    <w:rsid w:val="00CC0D5C"/>
    <w:rsid w:val="00CC18CA"/>
    <w:rsid w:val="00CD230C"/>
    <w:rsid w:val="00CD4202"/>
    <w:rsid w:val="00CE15F4"/>
    <w:rsid w:val="00CE6989"/>
    <w:rsid w:val="00CF4916"/>
    <w:rsid w:val="00CF50B0"/>
    <w:rsid w:val="00D00BB3"/>
    <w:rsid w:val="00D047D7"/>
    <w:rsid w:val="00D05609"/>
    <w:rsid w:val="00D12E0C"/>
    <w:rsid w:val="00D305EE"/>
    <w:rsid w:val="00D42844"/>
    <w:rsid w:val="00D51FE6"/>
    <w:rsid w:val="00D55B9A"/>
    <w:rsid w:val="00D720A2"/>
    <w:rsid w:val="00D77B6C"/>
    <w:rsid w:val="00D85F36"/>
    <w:rsid w:val="00D920B2"/>
    <w:rsid w:val="00D93447"/>
    <w:rsid w:val="00D94905"/>
    <w:rsid w:val="00DA062B"/>
    <w:rsid w:val="00DA0D5C"/>
    <w:rsid w:val="00DA20FB"/>
    <w:rsid w:val="00DA3CE4"/>
    <w:rsid w:val="00DA49E3"/>
    <w:rsid w:val="00DC100D"/>
    <w:rsid w:val="00DC2CD4"/>
    <w:rsid w:val="00DC3722"/>
    <w:rsid w:val="00DC395F"/>
    <w:rsid w:val="00DC5AF1"/>
    <w:rsid w:val="00DC7F1F"/>
    <w:rsid w:val="00DD11B4"/>
    <w:rsid w:val="00DF6115"/>
    <w:rsid w:val="00E00806"/>
    <w:rsid w:val="00E07FAC"/>
    <w:rsid w:val="00E1185A"/>
    <w:rsid w:val="00E1374D"/>
    <w:rsid w:val="00E320B9"/>
    <w:rsid w:val="00E414C9"/>
    <w:rsid w:val="00E43C51"/>
    <w:rsid w:val="00E43D66"/>
    <w:rsid w:val="00E62695"/>
    <w:rsid w:val="00E725C7"/>
    <w:rsid w:val="00E72B81"/>
    <w:rsid w:val="00E73091"/>
    <w:rsid w:val="00E73EE7"/>
    <w:rsid w:val="00E85DAF"/>
    <w:rsid w:val="00E94AEA"/>
    <w:rsid w:val="00EA363A"/>
    <w:rsid w:val="00EC21B7"/>
    <w:rsid w:val="00EC4F48"/>
    <w:rsid w:val="00EC7781"/>
    <w:rsid w:val="00ED314A"/>
    <w:rsid w:val="00ED4C36"/>
    <w:rsid w:val="00ED75CE"/>
    <w:rsid w:val="00EE159A"/>
    <w:rsid w:val="00EE6712"/>
    <w:rsid w:val="00EF0F1E"/>
    <w:rsid w:val="00EF4CDB"/>
    <w:rsid w:val="00EF659B"/>
    <w:rsid w:val="00F0544B"/>
    <w:rsid w:val="00F1109A"/>
    <w:rsid w:val="00F11167"/>
    <w:rsid w:val="00F16FFC"/>
    <w:rsid w:val="00F6391E"/>
    <w:rsid w:val="00F9133E"/>
    <w:rsid w:val="00F91A51"/>
    <w:rsid w:val="00F96F0C"/>
    <w:rsid w:val="00FA369C"/>
    <w:rsid w:val="00FB10B5"/>
    <w:rsid w:val="00FB40E2"/>
    <w:rsid w:val="00FB514D"/>
    <w:rsid w:val="00FC1659"/>
    <w:rsid w:val="00FC359C"/>
    <w:rsid w:val="00FD1FB9"/>
    <w:rsid w:val="00FD74DA"/>
    <w:rsid w:val="00FE019A"/>
    <w:rsid w:val="00FE1315"/>
    <w:rsid w:val="00FE1AC6"/>
    <w:rsid w:val="00FE443C"/>
    <w:rsid w:val="00FF30BE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FF057"/>
  <w15:docId w15:val="{2D671505-A9F1-4049-B09F-C59A19D2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3A"/>
    <w:pPr>
      <w:spacing w:line="25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C56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C569BF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569BF"/>
    <w:rPr>
      <w:b/>
    </w:rPr>
  </w:style>
  <w:style w:type="paragraph" w:customStyle="1" w:styleId="VBAILTHeading1">
    <w:name w:val="VBAILT Heading 1"/>
    <w:basedOn w:val="VBAILTBody"/>
    <w:next w:val="VBAILTBody"/>
    <w:qFormat/>
    <w:rsid w:val="00C569BF"/>
    <w:pPr>
      <w:keepNext/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C569BF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C569BF"/>
    <w:pPr>
      <w:numPr>
        <w:numId w:val="35"/>
      </w:numPr>
      <w:spacing w:after="0"/>
    </w:pPr>
  </w:style>
  <w:style w:type="paragraph" w:customStyle="1" w:styleId="VBAILTBullet2">
    <w:name w:val="VBAILT Bullet 2"/>
    <w:basedOn w:val="VBAILTBody"/>
    <w:qFormat/>
    <w:rsid w:val="00C569BF"/>
    <w:pPr>
      <w:numPr>
        <w:ilvl w:val="1"/>
        <w:numId w:val="35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C569BF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C569BF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C569BF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C569BF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C569BF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569B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C569BF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C569BF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C569BF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569BF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C569BF"/>
    <w:pPr>
      <w:numPr>
        <w:numId w:val="9"/>
      </w:numPr>
    </w:pPr>
  </w:style>
  <w:style w:type="paragraph" w:styleId="TOC1">
    <w:name w:val="toc 1"/>
    <w:basedOn w:val="VBAILTBody"/>
    <w:next w:val="VBAILTBody"/>
    <w:autoRedefine/>
    <w:uiPriority w:val="39"/>
    <w:unhideWhenUsed/>
    <w:qFormat/>
    <w:rsid w:val="00C569BF"/>
    <w:pPr>
      <w:spacing w:before="60" w:after="60"/>
    </w:pPr>
    <w:rPr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2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0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5E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ferencecode1">
    <w:name w:val="referencecode1"/>
    <w:rsid w:val="00D51FE6"/>
    <w:rPr>
      <w:b w:val="0"/>
      <w:bCs w:val="0"/>
      <w:sz w:val="24"/>
      <w:szCs w:val="24"/>
    </w:rPr>
  </w:style>
  <w:style w:type="character" w:styleId="Hyperlink">
    <w:name w:val="Hyperlink"/>
    <w:semiHidden/>
    <w:rsid w:val="00D51FE6"/>
    <w:rPr>
      <w:strike w:val="0"/>
      <w:dstrike w:val="0"/>
      <w:color w:val="000080"/>
      <w:u w:val="none"/>
      <w:effect w:val="none"/>
    </w:rPr>
  </w:style>
  <w:style w:type="paragraph" w:styleId="Revision">
    <w:name w:val="Revision"/>
    <w:hidden/>
    <w:uiPriority w:val="99"/>
    <w:semiHidden/>
    <w:rsid w:val="00EA363A"/>
    <w:pPr>
      <w:spacing w:after="0" w:line="240" w:lineRule="auto"/>
    </w:pPr>
    <w:rPr>
      <w:rFonts w:ascii="Calibri" w:eastAsia="Times New Roman" w:hAnsi="Calibri" w:cs="Times New Roman"/>
    </w:rPr>
  </w:style>
  <w:style w:type="paragraph" w:styleId="TOC2">
    <w:name w:val="toc 2"/>
    <w:basedOn w:val="VBAILTBody"/>
    <w:next w:val="VBAILTBody"/>
    <w:autoRedefine/>
    <w:uiPriority w:val="39"/>
    <w:unhideWhenUsed/>
    <w:qFormat/>
    <w:rsid w:val="00C569BF"/>
    <w:pPr>
      <w:spacing w:before="60" w:after="60"/>
      <w:ind w:left="216"/>
    </w:pPr>
    <w:rPr>
      <w:sz w:val="20"/>
      <w:szCs w:val="20"/>
    </w:rPr>
  </w:style>
  <w:style w:type="paragraph" w:styleId="TOC3">
    <w:name w:val="toc 3"/>
    <w:basedOn w:val="VBAILTBody"/>
    <w:next w:val="VBAILTBody"/>
    <w:autoRedefine/>
    <w:uiPriority w:val="39"/>
    <w:unhideWhenUsed/>
    <w:qFormat/>
    <w:rsid w:val="00C569BF"/>
    <w:pPr>
      <w:spacing w:before="60" w:after="60"/>
      <w:ind w:left="446"/>
    </w:pPr>
    <w:rPr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6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VBAILTHeading1"/>
    <w:next w:val="Normal"/>
    <w:uiPriority w:val="39"/>
    <w:unhideWhenUsed/>
    <w:qFormat/>
    <w:rsid w:val="00C569BF"/>
    <w:pPr>
      <w:pageBreakBefore/>
      <w:outlineLvl w:val="9"/>
    </w:pPr>
  </w:style>
  <w:style w:type="paragraph" w:customStyle="1" w:styleId="VBAILTHeading3">
    <w:name w:val="VBAILT Heading 3"/>
    <w:basedOn w:val="VBAILTHeading2"/>
    <w:next w:val="VBAILTBody"/>
    <w:autoRedefine/>
    <w:qFormat/>
    <w:rsid w:val="00C569BF"/>
    <w:pPr>
      <w:pBdr>
        <w:top w:val="none" w:sz="0" w:space="0" w:color="auto"/>
        <w:bottom w:val="none" w:sz="0" w:space="0" w:color="auto"/>
      </w:pBdr>
      <w:shd w:val="clear" w:color="auto" w:fill="DEEAF6" w:themeFill="accent1" w:themeFillTint="33"/>
      <w:spacing w:before="40" w:after="40"/>
      <w:outlineLvl w:val="2"/>
    </w:pPr>
    <w:rPr>
      <w:sz w:val="22"/>
    </w:rPr>
  </w:style>
  <w:style w:type="paragraph" w:customStyle="1" w:styleId="VBAILTTablestep">
    <w:name w:val="VBAILT Table step"/>
    <w:basedOn w:val="VBAILTbullet1"/>
    <w:next w:val="VBAILTBody"/>
    <w:qFormat/>
    <w:rsid w:val="00C569BF"/>
    <w:pPr>
      <w:numPr>
        <w:numId w:val="37"/>
      </w:numPr>
    </w:pPr>
  </w:style>
  <w:style w:type="paragraph" w:customStyle="1" w:styleId="VBAILTTablesubstep">
    <w:name w:val="VBAILT Table sub step"/>
    <w:basedOn w:val="VBAILTBullet2"/>
    <w:next w:val="VBAILTBody"/>
    <w:autoRedefine/>
    <w:qFormat/>
    <w:rsid w:val="00C569BF"/>
    <w:pPr>
      <w:numPr>
        <w:numId w:val="38"/>
      </w:num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2022-03-30T13:57:18+00:00</_dlc_ExpireDate>
  </documentManagement>
</p:properties>
</file>

<file path=customXml/itemProps1.xml><?xml version="1.0" encoding="utf-8"?>
<ds:datastoreItem xmlns:ds="http://schemas.openxmlformats.org/officeDocument/2006/customXml" ds:itemID="{69AA13A1-30F2-405A-8B00-F3AA22636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887CB-9F95-469D-AA0A-BF153111A59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501CDBA-7A4D-42D2-B487-CDD4A3C0C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</TotalTime>
  <Pages>9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Burial Claims Checklist Job Aid</vt:lpstr>
    </vt:vector>
  </TitlesOfParts>
  <Company>Veterans Benefits Administration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Burial Claims Checklist Job Aid</dc:title>
  <dc:subject/>
  <dc:creator>Department of Veterans Affairs, Veterans Benefits Administration, Pension and Fiduciary Service, STAFF</dc:creator>
  <cp:keywords>burial claim checklist</cp:keywords>
  <dc:description/>
  <cp:lastModifiedBy>Kathy Poole</cp:lastModifiedBy>
  <cp:revision>3</cp:revision>
  <dcterms:created xsi:type="dcterms:W3CDTF">2022-03-16T14:57:00Z</dcterms:created>
  <dcterms:modified xsi:type="dcterms:W3CDTF">2022-03-23T17:16:00Z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Order">
    <vt:r8>93000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policyId">
    <vt:lpwstr>0x010100BFA0006F7AD5D746B298D891BD9B5B40|-1554823660</vt:lpwstr>
  </property>
  <property fmtid="{D5CDD505-2E9C-101B-9397-08002B2CF9AE}" pid="11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12" name="Language">
    <vt:lpwstr>en</vt:lpwstr>
  </property>
  <property fmtid="{D5CDD505-2E9C-101B-9397-08002B2CF9AE}" pid="13" name="Type">
    <vt:lpwstr>Reference</vt:lpwstr>
  </property>
</Properties>
</file>