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B921" w14:textId="77777777" w:rsidR="00C8779F" w:rsidRDefault="007B11CA" w:rsidP="006C56E6">
      <w:pPr>
        <w:pStyle w:val="VBAILTCoverService"/>
      </w:pPr>
      <w:r>
        <w:t xml:space="preserve"> </w:t>
      </w:r>
      <w:r w:rsidR="004B566A">
        <w:t xml:space="preserve">PENSION AND FIDUCIARY </w:t>
      </w:r>
      <w:r w:rsidR="00C8779F">
        <w:t>Service</w:t>
      </w:r>
    </w:p>
    <w:p w14:paraId="5BB4B922" w14:textId="77777777" w:rsidR="0019335B" w:rsidRPr="006A3767" w:rsidRDefault="0019335B" w:rsidP="005C56D6">
      <w:pPr>
        <w:pStyle w:val="VBAILTCoverdoctypecourse"/>
        <w:spacing w:after="0" w:line="240" w:lineRule="auto"/>
      </w:pPr>
      <w:r>
        <w:t xml:space="preserve">PMC VSR </w:t>
      </w:r>
      <w:r w:rsidR="003A70B6">
        <w:t xml:space="preserve">Advanced </w:t>
      </w:r>
      <w:r>
        <w:t>Core Course</w:t>
      </w:r>
      <w:r w:rsidRPr="006A3767">
        <w:rPr>
          <w:rFonts w:ascii="Times New Roman" w:eastAsia="Times New Roman" w:hAnsi="Times New Roman" w:cs="Times New Roman"/>
          <w:sz w:val="24"/>
          <w:szCs w:val="24"/>
        </w:rPr>
        <w:t xml:space="preserve"> </w:t>
      </w:r>
    </w:p>
    <w:p w14:paraId="5BB4B923" w14:textId="77777777" w:rsidR="0019335B" w:rsidRPr="006A3767" w:rsidRDefault="0019335B" w:rsidP="0019335B">
      <w:pPr>
        <w:pStyle w:val="VBAILTBody"/>
        <w:spacing w:line="600" w:lineRule="auto"/>
      </w:pPr>
    </w:p>
    <w:p w14:paraId="5BB4B924" w14:textId="31D7D0D6" w:rsidR="003213CA" w:rsidRDefault="00A377AA" w:rsidP="00A377AA">
      <w:pPr>
        <w:pStyle w:val="VBAILTCoverdoctypecourse"/>
        <w:spacing w:after="120"/>
        <w:rPr>
          <w:b/>
          <w:sz w:val="56"/>
          <w:szCs w:val="56"/>
        </w:rPr>
      </w:pPr>
      <w:r>
        <w:rPr>
          <w:b/>
          <w:sz w:val="56"/>
          <w:szCs w:val="56"/>
        </w:rPr>
        <w:t>Burial Benefits Eligibility</w:t>
      </w:r>
    </w:p>
    <w:p w14:paraId="5BB4B925" w14:textId="06E6AC43" w:rsidR="00C30F06" w:rsidRPr="00C214A9" w:rsidRDefault="00A377AA" w:rsidP="0019335B">
      <w:pPr>
        <w:pStyle w:val="VBAILTCoverdoctypecourse"/>
      </w:pPr>
      <w:r>
        <w:t>Job Aid</w:t>
      </w:r>
      <w:r w:rsidR="00C30F06">
        <w:t xml:space="preserve"> </w:t>
      </w:r>
    </w:p>
    <w:p w14:paraId="5BB4B926" w14:textId="0ECAFACD" w:rsidR="001D2E6A" w:rsidRDefault="00A27435" w:rsidP="00C8779F">
      <w:pPr>
        <w:pStyle w:val="VBAILTCoverMisc"/>
      </w:pPr>
      <w:r>
        <w:t>March</w:t>
      </w:r>
      <w:r w:rsidR="00546CA4">
        <w:t xml:space="preserve"> 2022</w:t>
      </w:r>
    </w:p>
    <w:p w14:paraId="3291AFA7" w14:textId="713C65FF" w:rsidR="00AC2BBE" w:rsidRPr="00AC2BBE" w:rsidRDefault="00AC2BBE" w:rsidP="00AC2BBE">
      <w:pPr>
        <w:pStyle w:val="VBAILTCoverMisc"/>
        <w:sectPr w:rsidR="00AC2BBE" w:rsidRPr="00AC2BBE" w:rsidSect="006C56E6">
          <w:headerReference w:type="default" r:id="rId12"/>
          <w:footerReference w:type="default" r:id="rId13"/>
          <w:headerReference w:type="first" r:id="rId14"/>
          <w:pgSz w:w="12240" w:h="15840"/>
          <w:pgMar w:top="1440" w:right="1440" w:bottom="1440" w:left="1440" w:header="720" w:footer="720" w:gutter="0"/>
          <w:cols w:space="720"/>
          <w:titlePg/>
          <w:docGrid w:linePitch="360"/>
        </w:sectPr>
      </w:pPr>
    </w:p>
    <w:tbl>
      <w:tblPr>
        <w:tblStyle w:val="TableGrid"/>
        <w:tblW w:w="0" w:type="auto"/>
        <w:tblInd w:w="-5" w:type="dxa"/>
        <w:tblLook w:val="04A0" w:firstRow="1" w:lastRow="0" w:firstColumn="1" w:lastColumn="0" w:noHBand="0" w:noVBand="1"/>
      </w:tblPr>
      <w:tblGrid>
        <w:gridCol w:w="3150"/>
        <w:gridCol w:w="6205"/>
      </w:tblGrid>
      <w:tr w:rsidR="00AC2BBE" w:rsidRPr="00546CA4" w14:paraId="3DC2FBE8" w14:textId="20555105" w:rsidTr="00AC2BBE">
        <w:tc>
          <w:tcPr>
            <w:tcW w:w="3150" w:type="dxa"/>
            <w:shd w:val="clear" w:color="auto" w:fill="DEEAF6" w:themeFill="accent1" w:themeFillTint="33"/>
          </w:tcPr>
          <w:p w14:paraId="109BA2D8" w14:textId="7D192E9B" w:rsidR="00AC2BBE" w:rsidRPr="00546CA4" w:rsidRDefault="00AC2BBE" w:rsidP="00AC2BBE">
            <w:pPr>
              <w:pStyle w:val="VBAILTbullet1"/>
              <w:numPr>
                <w:ilvl w:val="0"/>
                <w:numId w:val="0"/>
              </w:numPr>
              <w:spacing w:after="120"/>
              <w:rPr>
                <w:rFonts w:asciiTheme="minorHAnsi" w:hAnsiTheme="minorHAnsi" w:cstheme="minorHAnsi"/>
                <w:b/>
              </w:rPr>
            </w:pPr>
            <w:r w:rsidRPr="00546CA4">
              <w:rPr>
                <w:rFonts w:asciiTheme="minorHAnsi" w:hAnsiTheme="minorHAnsi" w:cstheme="minorHAnsi"/>
                <w:b/>
              </w:rPr>
              <w:lastRenderedPageBreak/>
              <w:t>Burial Benefit Terms</w:t>
            </w:r>
          </w:p>
        </w:tc>
        <w:tc>
          <w:tcPr>
            <w:tcW w:w="6205" w:type="dxa"/>
            <w:shd w:val="clear" w:color="auto" w:fill="DEEAF6" w:themeFill="accent1" w:themeFillTint="33"/>
          </w:tcPr>
          <w:p w14:paraId="0411FA5F" w14:textId="1C4B136D" w:rsidR="00AC2BBE" w:rsidRPr="00546CA4" w:rsidRDefault="00AC2BBE" w:rsidP="00AC2BBE">
            <w:pPr>
              <w:pStyle w:val="VBAILTbullet1"/>
              <w:numPr>
                <w:ilvl w:val="0"/>
                <w:numId w:val="0"/>
              </w:numPr>
              <w:spacing w:after="120"/>
              <w:rPr>
                <w:rFonts w:asciiTheme="minorHAnsi" w:hAnsiTheme="minorHAnsi" w:cstheme="minorHAnsi"/>
                <w:b/>
              </w:rPr>
            </w:pPr>
            <w:r w:rsidRPr="00546CA4">
              <w:rPr>
                <w:rFonts w:asciiTheme="minorHAnsi" w:hAnsiTheme="minorHAnsi" w:cstheme="minorHAnsi"/>
                <w:b/>
              </w:rPr>
              <w:t>Definition</w:t>
            </w:r>
            <w:r w:rsidR="00A05E72" w:rsidRPr="00546CA4">
              <w:rPr>
                <w:rFonts w:asciiTheme="minorHAnsi" w:hAnsiTheme="minorHAnsi" w:cstheme="minorHAnsi"/>
                <w:b/>
              </w:rPr>
              <w:t>s</w:t>
            </w:r>
          </w:p>
        </w:tc>
      </w:tr>
      <w:tr w:rsidR="00AC2BBE" w:rsidRPr="00546CA4" w14:paraId="27CC6D76" w14:textId="77777777" w:rsidTr="00AC2BBE">
        <w:tc>
          <w:tcPr>
            <w:tcW w:w="3150" w:type="dxa"/>
          </w:tcPr>
          <w:p w14:paraId="537E4224" w14:textId="22CA239F" w:rsidR="00AC2BBE" w:rsidRPr="00546CA4" w:rsidRDefault="00AC2BBE" w:rsidP="00AC2BBE">
            <w:pPr>
              <w:pStyle w:val="VBAILTbullet1"/>
              <w:numPr>
                <w:ilvl w:val="0"/>
                <w:numId w:val="0"/>
              </w:numPr>
              <w:rPr>
                <w:rFonts w:asciiTheme="minorHAnsi" w:hAnsiTheme="minorHAnsi" w:cstheme="minorHAnsi"/>
              </w:rPr>
            </w:pPr>
            <w:r w:rsidRPr="00546CA4">
              <w:rPr>
                <w:rFonts w:asciiTheme="minorHAnsi" w:hAnsiTheme="minorHAnsi" w:cstheme="minorHAnsi"/>
              </w:rPr>
              <w:t>Alkaline hydrolysis</w:t>
            </w:r>
          </w:p>
        </w:tc>
        <w:tc>
          <w:tcPr>
            <w:tcW w:w="6205" w:type="dxa"/>
          </w:tcPr>
          <w:p w14:paraId="2DBC31BA" w14:textId="4A6214D0" w:rsidR="004322FD" w:rsidRPr="00546CA4" w:rsidRDefault="00546CA4" w:rsidP="00546CA4">
            <w:pPr>
              <w:shd w:val="clear" w:color="auto" w:fill="FFFFFF"/>
              <w:rPr>
                <w:rFonts w:eastAsia="Times New Roman" w:cstheme="minorHAnsi"/>
                <w:color w:val="000000"/>
              </w:rPr>
            </w:pPr>
            <w:r w:rsidRPr="00546CA4">
              <w:rPr>
                <w:rFonts w:eastAsia="Times New Roman" w:cstheme="minorHAnsi"/>
                <w:b/>
                <w:bCs/>
                <w:i/>
                <w:iCs/>
                <w:color w:val="000000"/>
              </w:rPr>
              <w:t>Alkaline hydrolysis</w:t>
            </w:r>
            <w:r w:rsidRPr="00546CA4">
              <w:rPr>
                <w:rFonts w:eastAsia="Times New Roman" w:cstheme="minorHAnsi"/>
                <w:color w:val="000000"/>
              </w:rPr>
              <w:t>, also known as “green cremation,” is a water-based dissolution process for human remains that uses alkaline chemicals to accelerate natural decomposition.</w:t>
            </w:r>
          </w:p>
        </w:tc>
      </w:tr>
      <w:tr w:rsidR="00AC2BBE" w:rsidRPr="00546CA4" w14:paraId="30DC362A" w14:textId="40BEC1EA" w:rsidTr="00AC2BBE">
        <w:tc>
          <w:tcPr>
            <w:tcW w:w="3150" w:type="dxa"/>
          </w:tcPr>
          <w:p w14:paraId="05588B14" w14:textId="77777777" w:rsidR="00AC2BBE" w:rsidRPr="00546CA4" w:rsidRDefault="00AC2BBE" w:rsidP="00AC2BBE">
            <w:pPr>
              <w:pStyle w:val="VBAILTbullet1"/>
              <w:numPr>
                <w:ilvl w:val="0"/>
                <w:numId w:val="0"/>
              </w:numPr>
              <w:rPr>
                <w:rFonts w:asciiTheme="minorHAnsi" w:hAnsiTheme="minorHAnsi" w:cstheme="minorHAnsi"/>
              </w:rPr>
            </w:pPr>
            <w:r w:rsidRPr="00546CA4">
              <w:rPr>
                <w:rFonts w:asciiTheme="minorHAnsi" w:hAnsiTheme="minorHAnsi" w:cstheme="minorHAnsi"/>
              </w:rPr>
              <w:t>Burial</w:t>
            </w:r>
          </w:p>
        </w:tc>
        <w:tc>
          <w:tcPr>
            <w:tcW w:w="6205" w:type="dxa"/>
          </w:tcPr>
          <w:p w14:paraId="4A1DE1F9" w14:textId="2402194E" w:rsidR="00AC2BBE" w:rsidRPr="00546CA4" w:rsidRDefault="00AC2BBE" w:rsidP="00A05E72">
            <w:pPr>
              <w:pStyle w:val="VBAILTbullet1"/>
              <w:numPr>
                <w:ilvl w:val="0"/>
                <w:numId w:val="0"/>
              </w:numPr>
              <w:spacing w:after="120" w:line="240" w:lineRule="auto"/>
              <w:rPr>
                <w:rFonts w:asciiTheme="minorHAnsi" w:hAnsiTheme="minorHAnsi" w:cstheme="minorHAnsi"/>
              </w:rPr>
            </w:pPr>
            <w:r w:rsidRPr="00546CA4">
              <w:rPr>
                <w:rFonts w:asciiTheme="minorHAnsi" w:hAnsiTheme="minorHAnsi" w:cstheme="minorHAnsi"/>
              </w:rPr>
              <w:t>Includes all the various recognized methods of disposing of the remains of deceased persons</w:t>
            </w:r>
            <w:r w:rsidR="004322FD" w:rsidRPr="00546CA4">
              <w:rPr>
                <w:rFonts w:asciiTheme="minorHAnsi" w:hAnsiTheme="minorHAnsi" w:cstheme="minorHAnsi"/>
              </w:rPr>
              <w:t>; e</w:t>
            </w:r>
            <w:r w:rsidRPr="00546CA4">
              <w:rPr>
                <w:rFonts w:asciiTheme="minorHAnsi" w:hAnsiTheme="minorHAnsi" w:cstheme="minorHAnsi"/>
              </w:rPr>
              <w:t xml:space="preserve">xamples include: </w:t>
            </w:r>
          </w:p>
          <w:p w14:paraId="45D37944" w14:textId="77777777" w:rsidR="00AC2BBE" w:rsidRPr="00546CA4" w:rsidRDefault="00AC2BBE" w:rsidP="00AC2BBE">
            <w:pPr>
              <w:pStyle w:val="ListParagraph"/>
              <w:numPr>
                <w:ilvl w:val="0"/>
                <w:numId w:val="15"/>
              </w:numPr>
              <w:spacing w:before="120"/>
              <w:rPr>
                <w:rFonts w:cstheme="minorHAnsi"/>
              </w:rPr>
            </w:pPr>
            <w:r w:rsidRPr="00546CA4">
              <w:rPr>
                <w:rFonts w:cstheme="minorHAnsi"/>
              </w:rPr>
              <w:t>Cremation</w:t>
            </w:r>
          </w:p>
          <w:p w14:paraId="16EB59B9" w14:textId="77777777" w:rsidR="00AC2BBE" w:rsidRPr="00546CA4" w:rsidRDefault="00AC2BBE" w:rsidP="00AC2BBE">
            <w:pPr>
              <w:pStyle w:val="ListParagraph"/>
              <w:numPr>
                <w:ilvl w:val="0"/>
                <w:numId w:val="15"/>
              </w:numPr>
              <w:spacing w:before="120"/>
              <w:rPr>
                <w:rFonts w:cstheme="minorHAnsi"/>
              </w:rPr>
            </w:pPr>
            <w:r w:rsidRPr="00546CA4">
              <w:rPr>
                <w:rFonts w:cstheme="minorHAnsi"/>
              </w:rPr>
              <w:t>Burial at sea</w:t>
            </w:r>
          </w:p>
          <w:p w14:paraId="3A2AD90D" w14:textId="77777777" w:rsidR="00AC2BBE" w:rsidRPr="00546CA4" w:rsidRDefault="00AC2BBE" w:rsidP="00AC2BBE">
            <w:pPr>
              <w:pStyle w:val="ListParagraph"/>
              <w:numPr>
                <w:ilvl w:val="0"/>
                <w:numId w:val="15"/>
              </w:numPr>
              <w:spacing w:before="120"/>
              <w:rPr>
                <w:rFonts w:cstheme="minorHAnsi"/>
              </w:rPr>
            </w:pPr>
            <w:r w:rsidRPr="00546CA4">
              <w:rPr>
                <w:rFonts w:cstheme="minorHAnsi"/>
              </w:rPr>
              <w:t>Medical school donation</w:t>
            </w:r>
          </w:p>
          <w:p w14:paraId="7121F8B5" w14:textId="6581B5DE" w:rsidR="00AC2BBE" w:rsidRPr="00546CA4" w:rsidRDefault="00AC2BBE" w:rsidP="00AC2BBE">
            <w:pPr>
              <w:pStyle w:val="ListParagraph"/>
              <w:numPr>
                <w:ilvl w:val="0"/>
                <w:numId w:val="15"/>
              </w:numPr>
              <w:spacing w:before="120" w:after="120"/>
              <w:rPr>
                <w:rFonts w:cstheme="minorHAnsi"/>
              </w:rPr>
            </w:pPr>
            <w:r w:rsidRPr="00546CA4">
              <w:rPr>
                <w:rFonts w:cstheme="minorHAnsi"/>
              </w:rPr>
              <w:t>Alkaline hydrolysis</w:t>
            </w:r>
          </w:p>
        </w:tc>
      </w:tr>
      <w:tr w:rsidR="00AC2BBE" w:rsidRPr="00546CA4" w14:paraId="268A968B" w14:textId="77777777" w:rsidTr="00AC2BBE">
        <w:tc>
          <w:tcPr>
            <w:tcW w:w="3150" w:type="dxa"/>
          </w:tcPr>
          <w:p w14:paraId="2099FBD5" w14:textId="01BADCB7" w:rsidR="00AC2BBE" w:rsidRPr="00546CA4" w:rsidRDefault="00AC2BBE" w:rsidP="00AC2BBE">
            <w:pPr>
              <w:pStyle w:val="VBAILTbullet1"/>
              <w:numPr>
                <w:ilvl w:val="0"/>
                <w:numId w:val="0"/>
              </w:numPr>
              <w:rPr>
                <w:rFonts w:asciiTheme="minorHAnsi" w:hAnsiTheme="minorHAnsi" w:cstheme="minorHAnsi"/>
              </w:rPr>
            </w:pPr>
            <w:r w:rsidRPr="00546CA4">
              <w:rPr>
                <w:rFonts w:asciiTheme="minorHAnsi" w:hAnsiTheme="minorHAnsi" w:cstheme="minorHAnsi"/>
              </w:rPr>
              <w:t>Burial at sea</w:t>
            </w:r>
          </w:p>
        </w:tc>
        <w:tc>
          <w:tcPr>
            <w:tcW w:w="6205" w:type="dxa"/>
          </w:tcPr>
          <w:p w14:paraId="46B71779" w14:textId="77777777" w:rsidR="00AC2BBE" w:rsidRPr="00546CA4" w:rsidRDefault="004322FD" w:rsidP="004322FD">
            <w:pPr>
              <w:pStyle w:val="ListParagraph"/>
              <w:numPr>
                <w:ilvl w:val="0"/>
                <w:numId w:val="15"/>
              </w:numPr>
              <w:spacing w:before="120" w:after="120"/>
              <w:rPr>
                <w:rFonts w:cstheme="minorHAnsi"/>
              </w:rPr>
            </w:pPr>
            <w:r w:rsidRPr="00546CA4">
              <w:rPr>
                <w:rFonts w:cstheme="minorHAnsi"/>
              </w:rPr>
              <w:t>Occurs when the deceased Veteran’s body is committed to the sea</w:t>
            </w:r>
          </w:p>
          <w:p w14:paraId="4E5ED127" w14:textId="78C549F0" w:rsidR="004322FD" w:rsidRPr="00546CA4" w:rsidRDefault="004322FD" w:rsidP="004322FD">
            <w:pPr>
              <w:pStyle w:val="ListParagraph"/>
              <w:numPr>
                <w:ilvl w:val="0"/>
                <w:numId w:val="15"/>
              </w:numPr>
              <w:spacing w:before="120" w:after="120"/>
              <w:rPr>
                <w:rFonts w:cstheme="minorHAnsi"/>
              </w:rPr>
            </w:pPr>
            <w:r w:rsidRPr="00546CA4">
              <w:rPr>
                <w:rFonts w:cstheme="minorHAnsi"/>
              </w:rPr>
              <w:t>Not considered a final resting place for VBA purposes and is not eligible for plot or interment allowance</w:t>
            </w:r>
          </w:p>
        </w:tc>
      </w:tr>
      <w:tr w:rsidR="00AC2BBE" w:rsidRPr="00546CA4" w14:paraId="006D489B" w14:textId="3F4F3BA1" w:rsidTr="00AC2BBE">
        <w:tc>
          <w:tcPr>
            <w:tcW w:w="3150" w:type="dxa"/>
          </w:tcPr>
          <w:p w14:paraId="0B16B012" w14:textId="790C555F" w:rsidR="00AC2BBE" w:rsidRPr="00546CA4" w:rsidRDefault="00AC2BBE" w:rsidP="00AC2BBE">
            <w:pPr>
              <w:pStyle w:val="VBAILTbullet1"/>
              <w:numPr>
                <w:ilvl w:val="0"/>
                <w:numId w:val="0"/>
              </w:numPr>
              <w:rPr>
                <w:rFonts w:asciiTheme="minorHAnsi" w:hAnsiTheme="minorHAnsi" w:cstheme="minorHAnsi"/>
              </w:rPr>
            </w:pPr>
            <w:r w:rsidRPr="00546CA4">
              <w:rPr>
                <w:rFonts w:asciiTheme="minorHAnsi" w:hAnsiTheme="minorHAnsi" w:cstheme="minorHAnsi"/>
              </w:rPr>
              <w:t>Cremation</w:t>
            </w:r>
          </w:p>
        </w:tc>
        <w:tc>
          <w:tcPr>
            <w:tcW w:w="6205" w:type="dxa"/>
          </w:tcPr>
          <w:p w14:paraId="5DAF5D56" w14:textId="3C9C1F90" w:rsidR="00AC2BBE" w:rsidRPr="00546CA4" w:rsidRDefault="00546CA4" w:rsidP="00546CA4">
            <w:pPr>
              <w:rPr>
                <w:rFonts w:cstheme="minorHAnsi"/>
                <w:color w:val="000000"/>
              </w:rPr>
            </w:pPr>
            <w:r w:rsidRPr="00546CA4">
              <w:rPr>
                <w:rFonts w:cstheme="minorHAnsi"/>
                <w:color w:val="000000"/>
              </w:rPr>
              <w:t>A </w:t>
            </w:r>
            <w:r w:rsidRPr="00546CA4">
              <w:rPr>
                <w:rStyle w:val="Emphasis"/>
                <w:rFonts w:cstheme="minorHAnsi"/>
                <w:b/>
                <w:bCs/>
                <w:color w:val="000000"/>
              </w:rPr>
              <w:t>cremation</w:t>
            </w:r>
            <w:r w:rsidRPr="00546CA4">
              <w:rPr>
                <w:rFonts w:cstheme="minorHAnsi"/>
                <w:color w:val="000000"/>
              </w:rPr>
              <w:t> is a burial, regardless of what is done with the ashes.</w:t>
            </w:r>
          </w:p>
        </w:tc>
      </w:tr>
      <w:tr w:rsidR="00AC2BBE" w:rsidRPr="00546CA4" w14:paraId="09EDFF97" w14:textId="2B9CA1E2" w:rsidTr="00AC2BBE">
        <w:tc>
          <w:tcPr>
            <w:tcW w:w="3150" w:type="dxa"/>
          </w:tcPr>
          <w:p w14:paraId="7B872045" w14:textId="70265531" w:rsidR="00AC2BBE" w:rsidRPr="00546CA4" w:rsidRDefault="00AC2BBE" w:rsidP="00AC2BBE">
            <w:pPr>
              <w:pStyle w:val="VBAILTbullet1"/>
              <w:numPr>
                <w:ilvl w:val="0"/>
                <w:numId w:val="0"/>
              </w:numPr>
              <w:rPr>
                <w:rFonts w:asciiTheme="minorHAnsi" w:hAnsiTheme="minorHAnsi" w:cstheme="minorHAnsi"/>
              </w:rPr>
            </w:pPr>
            <w:r w:rsidRPr="00546CA4">
              <w:rPr>
                <w:rFonts w:asciiTheme="minorHAnsi" w:hAnsiTheme="minorHAnsi" w:cstheme="minorHAnsi"/>
              </w:rPr>
              <w:t>Interment</w:t>
            </w:r>
          </w:p>
        </w:tc>
        <w:tc>
          <w:tcPr>
            <w:tcW w:w="6205" w:type="dxa"/>
          </w:tcPr>
          <w:p w14:paraId="7F9179B5" w14:textId="77777777" w:rsidR="00AC2BBE" w:rsidRPr="00546CA4" w:rsidRDefault="004322FD" w:rsidP="00A05E72">
            <w:pPr>
              <w:pStyle w:val="VBAILTbullet1"/>
              <w:numPr>
                <w:ilvl w:val="0"/>
                <w:numId w:val="0"/>
              </w:numPr>
              <w:spacing w:after="120" w:line="240" w:lineRule="auto"/>
              <w:rPr>
                <w:rFonts w:asciiTheme="minorHAnsi" w:hAnsiTheme="minorHAnsi" w:cstheme="minorHAnsi"/>
              </w:rPr>
            </w:pPr>
            <w:r w:rsidRPr="00546CA4">
              <w:rPr>
                <w:rFonts w:asciiTheme="minorHAnsi" w:hAnsiTheme="minorHAnsi" w:cstheme="minorHAnsi"/>
              </w:rPr>
              <w:t>The act of placing the remains of a deceased person in a final resting place; examples include:</w:t>
            </w:r>
          </w:p>
          <w:p w14:paraId="70F9311E" w14:textId="77777777" w:rsidR="004322FD" w:rsidRPr="00546CA4" w:rsidRDefault="004322FD" w:rsidP="004322FD">
            <w:pPr>
              <w:pStyle w:val="ListParagraph"/>
              <w:numPr>
                <w:ilvl w:val="0"/>
                <w:numId w:val="15"/>
              </w:numPr>
              <w:spacing w:before="120" w:after="120"/>
              <w:rPr>
                <w:rFonts w:cstheme="minorHAnsi"/>
              </w:rPr>
            </w:pPr>
            <w:r w:rsidRPr="00546CA4">
              <w:rPr>
                <w:rFonts w:cstheme="minorHAnsi"/>
              </w:rPr>
              <w:t>Placing the remains of a deceased person’s body into a grave</w:t>
            </w:r>
          </w:p>
          <w:p w14:paraId="32FB1552" w14:textId="248319AC" w:rsidR="004322FD" w:rsidRPr="00546CA4" w:rsidRDefault="004322FD" w:rsidP="004C1BE3">
            <w:pPr>
              <w:pStyle w:val="ListParagraph"/>
              <w:numPr>
                <w:ilvl w:val="0"/>
                <w:numId w:val="15"/>
              </w:numPr>
              <w:spacing w:before="120" w:after="120"/>
              <w:rPr>
                <w:rFonts w:cstheme="minorHAnsi"/>
              </w:rPr>
            </w:pPr>
            <w:r w:rsidRPr="00546CA4">
              <w:rPr>
                <w:rFonts w:cstheme="minorHAnsi"/>
              </w:rPr>
              <w:t>Placing the cremated remains</w:t>
            </w:r>
            <w:r w:rsidR="004C1BE3" w:rsidRPr="00546CA4">
              <w:rPr>
                <w:rFonts w:cstheme="minorHAnsi"/>
              </w:rPr>
              <w:t xml:space="preserve"> of a deceased person into a columbarium niche</w:t>
            </w:r>
          </w:p>
        </w:tc>
      </w:tr>
      <w:tr w:rsidR="00AC2BBE" w:rsidRPr="00546CA4" w14:paraId="5B5CEC34" w14:textId="77777777" w:rsidTr="00AC2BBE">
        <w:tc>
          <w:tcPr>
            <w:tcW w:w="3150" w:type="dxa"/>
          </w:tcPr>
          <w:p w14:paraId="297956A6" w14:textId="22DE3F37" w:rsidR="00AC2BBE" w:rsidRPr="00546CA4" w:rsidRDefault="00AC2BBE" w:rsidP="00AC2BBE">
            <w:pPr>
              <w:pStyle w:val="VBAILTbullet1"/>
              <w:numPr>
                <w:ilvl w:val="0"/>
                <w:numId w:val="0"/>
              </w:numPr>
              <w:rPr>
                <w:rFonts w:asciiTheme="minorHAnsi" w:hAnsiTheme="minorHAnsi" w:cstheme="minorHAnsi"/>
              </w:rPr>
            </w:pPr>
            <w:r w:rsidRPr="00546CA4">
              <w:rPr>
                <w:rFonts w:asciiTheme="minorHAnsi" w:hAnsiTheme="minorHAnsi" w:cstheme="minorHAnsi"/>
              </w:rPr>
              <w:t>Last place of residence</w:t>
            </w:r>
          </w:p>
        </w:tc>
        <w:tc>
          <w:tcPr>
            <w:tcW w:w="6205" w:type="dxa"/>
          </w:tcPr>
          <w:p w14:paraId="5A8C33F6" w14:textId="77777777" w:rsidR="00546CA4" w:rsidRPr="00546CA4" w:rsidRDefault="00546CA4" w:rsidP="00546CA4">
            <w:pPr>
              <w:shd w:val="clear" w:color="auto" w:fill="FFFFFF"/>
              <w:rPr>
                <w:rFonts w:eastAsia="Times New Roman" w:cstheme="minorHAnsi"/>
                <w:color w:val="000000"/>
              </w:rPr>
            </w:pPr>
            <w:r w:rsidRPr="00546CA4">
              <w:rPr>
                <w:rFonts w:eastAsia="Times New Roman" w:cstheme="minorHAnsi"/>
                <w:color w:val="000000"/>
              </w:rPr>
              <w:t>The </w:t>
            </w:r>
            <w:r w:rsidRPr="00546CA4">
              <w:rPr>
                <w:rFonts w:eastAsia="Times New Roman" w:cstheme="minorHAnsi"/>
                <w:b/>
                <w:bCs/>
                <w:i/>
                <w:iCs/>
                <w:color w:val="000000"/>
              </w:rPr>
              <w:t>last place of residence</w:t>
            </w:r>
            <w:r w:rsidRPr="00546CA4">
              <w:rPr>
                <w:rFonts w:eastAsia="Times New Roman" w:cstheme="minorHAnsi"/>
                <w:color w:val="000000"/>
              </w:rPr>
              <w:t> is the place where the Veteran lived at the time of death.  It is normally the legal domicile but includes a temporary residence if it is more advantageous to the claimant.</w:t>
            </w:r>
          </w:p>
          <w:p w14:paraId="4FB2579C" w14:textId="77777777" w:rsidR="00546CA4" w:rsidRPr="00546CA4" w:rsidRDefault="00546CA4" w:rsidP="00546CA4">
            <w:pPr>
              <w:shd w:val="clear" w:color="auto" w:fill="FFFFFF"/>
              <w:rPr>
                <w:rFonts w:eastAsia="Times New Roman" w:cstheme="minorHAnsi"/>
                <w:color w:val="000000"/>
              </w:rPr>
            </w:pPr>
            <w:r w:rsidRPr="00546CA4">
              <w:rPr>
                <w:rFonts w:eastAsia="Times New Roman" w:cstheme="minorHAnsi"/>
                <w:color w:val="000000"/>
              </w:rPr>
              <w:t> </w:t>
            </w:r>
          </w:p>
          <w:p w14:paraId="07D7C88D" w14:textId="77777777" w:rsidR="00546CA4" w:rsidRPr="00546CA4" w:rsidRDefault="00546CA4" w:rsidP="00546CA4">
            <w:pPr>
              <w:shd w:val="clear" w:color="auto" w:fill="FFFFFF"/>
              <w:rPr>
                <w:rFonts w:eastAsia="Times New Roman" w:cstheme="minorHAnsi"/>
                <w:color w:val="000000"/>
              </w:rPr>
            </w:pPr>
            <w:r w:rsidRPr="00546CA4">
              <w:rPr>
                <w:rFonts w:eastAsia="Times New Roman" w:cstheme="minorHAnsi"/>
                <w:color w:val="000000"/>
              </w:rPr>
              <w:t>Generally, it is not necessary to develop to ascertain or verify the place of last residence.  Unless the claimant affirmatively shows it to be elsewhere, accept the place of last residence as the</w:t>
            </w:r>
          </w:p>
          <w:p w14:paraId="7C358AA2" w14:textId="77777777" w:rsidR="00546CA4" w:rsidRPr="00546CA4" w:rsidRDefault="00546CA4" w:rsidP="00546CA4">
            <w:pPr>
              <w:numPr>
                <w:ilvl w:val="0"/>
                <w:numId w:val="20"/>
              </w:numPr>
              <w:shd w:val="clear" w:color="auto" w:fill="FFFFFF"/>
              <w:spacing w:before="100" w:beforeAutospacing="1" w:after="100" w:afterAutospacing="1"/>
              <w:ind w:right="240"/>
              <w:rPr>
                <w:rFonts w:eastAsia="Times New Roman" w:cstheme="minorHAnsi"/>
                <w:color w:val="000000"/>
              </w:rPr>
            </w:pPr>
            <w:r w:rsidRPr="00546CA4">
              <w:rPr>
                <w:rFonts w:eastAsia="Times New Roman" w:cstheme="minorHAnsi"/>
                <w:color w:val="000000"/>
              </w:rPr>
              <w:t>home address to which checks were being mailed, if the Veteran was in receipt of VA benefits at the time of death (a home address is </w:t>
            </w:r>
            <w:r w:rsidRPr="00546CA4">
              <w:rPr>
                <w:rFonts w:eastAsia="Times New Roman" w:cstheme="minorHAnsi"/>
                <w:i/>
                <w:iCs/>
                <w:color w:val="000000"/>
              </w:rPr>
              <w:t>not</w:t>
            </w:r>
            <w:r w:rsidRPr="00546CA4">
              <w:rPr>
                <w:rFonts w:eastAsia="Times New Roman" w:cstheme="minorHAnsi"/>
                <w:color w:val="000000"/>
              </w:rPr>
              <w:t> a bank address, post office box, or the address of a fiduciary), or</w:t>
            </w:r>
          </w:p>
          <w:p w14:paraId="2D1458A5" w14:textId="230BDD0A" w:rsidR="00546CA4" w:rsidRDefault="00546CA4" w:rsidP="00546CA4">
            <w:pPr>
              <w:numPr>
                <w:ilvl w:val="0"/>
                <w:numId w:val="20"/>
              </w:numPr>
              <w:shd w:val="clear" w:color="auto" w:fill="FFFFFF"/>
              <w:spacing w:before="100" w:beforeAutospacing="1" w:after="100" w:afterAutospacing="1"/>
              <w:ind w:right="240"/>
              <w:rPr>
                <w:rFonts w:eastAsia="Times New Roman" w:cstheme="minorHAnsi"/>
                <w:color w:val="000000"/>
              </w:rPr>
            </w:pPr>
            <w:r w:rsidRPr="00546CA4">
              <w:rPr>
                <w:rFonts w:eastAsia="Times New Roman" w:cstheme="minorHAnsi"/>
                <w:color w:val="000000"/>
              </w:rPr>
              <w:t>address shown as the residence of the deceased on the death certificate. </w:t>
            </w:r>
          </w:p>
          <w:p w14:paraId="014320B0" w14:textId="77777777" w:rsidR="006C23EC" w:rsidRPr="006C23EC" w:rsidRDefault="009A5B57" w:rsidP="006C23EC">
            <w:pPr>
              <w:rPr>
                <w:rFonts w:cstheme="minorHAnsi"/>
                <w:b/>
                <w:bCs/>
              </w:rPr>
            </w:pPr>
            <w:r w:rsidRPr="006C23EC">
              <w:rPr>
                <w:rFonts w:cstheme="minorHAnsi"/>
                <w:b/>
                <w:bCs/>
              </w:rPr>
              <w:t xml:space="preserve">The VA does not pay plot allowance whenever the plot location is a private residence. </w:t>
            </w:r>
          </w:p>
          <w:p w14:paraId="319FE4BD" w14:textId="77777777" w:rsidR="006C23EC" w:rsidRDefault="006C23EC" w:rsidP="006C23EC">
            <w:pPr>
              <w:rPr>
                <w:rFonts w:cstheme="minorHAnsi"/>
              </w:rPr>
            </w:pPr>
          </w:p>
          <w:p w14:paraId="2EFDD83A" w14:textId="0749B48B" w:rsidR="00AC2BBE" w:rsidRPr="00546CA4" w:rsidRDefault="00546CA4" w:rsidP="006C23EC">
            <w:pPr>
              <w:rPr>
                <w:rFonts w:cstheme="minorHAnsi"/>
              </w:rPr>
            </w:pPr>
            <w:r w:rsidRPr="00546CA4">
              <w:rPr>
                <w:rFonts w:cstheme="minorHAnsi"/>
              </w:rPr>
              <w:t>Se</w:t>
            </w:r>
            <w:r w:rsidR="004C1BE3" w:rsidRPr="00546CA4">
              <w:rPr>
                <w:rFonts w:cstheme="minorHAnsi"/>
              </w:rPr>
              <w:t xml:space="preserve">e M21-1 </w:t>
            </w:r>
            <w:r w:rsidRPr="00546CA4">
              <w:rPr>
                <w:rFonts w:cstheme="minorHAnsi"/>
              </w:rPr>
              <w:t>XI.iii</w:t>
            </w:r>
            <w:r w:rsidR="004C1BE3" w:rsidRPr="00546CA4">
              <w:rPr>
                <w:rFonts w:cstheme="minorHAnsi"/>
              </w:rPr>
              <w:t xml:space="preserve">.1.A.1.j for further information </w:t>
            </w:r>
          </w:p>
        </w:tc>
      </w:tr>
      <w:tr w:rsidR="00AC2BBE" w:rsidRPr="00546CA4" w14:paraId="78F738FE" w14:textId="656DC9CC" w:rsidTr="00AC2BBE">
        <w:tc>
          <w:tcPr>
            <w:tcW w:w="3150" w:type="dxa"/>
          </w:tcPr>
          <w:p w14:paraId="0A7300ED" w14:textId="77777777" w:rsidR="00AC2BBE" w:rsidRPr="00546CA4" w:rsidRDefault="00AC2BBE" w:rsidP="00AC2BBE">
            <w:pPr>
              <w:pStyle w:val="VBAILTbullet1"/>
              <w:numPr>
                <w:ilvl w:val="0"/>
                <w:numId w:val="0"/>
              </w:numPr>
              <w:rPr>
                <w:rFonts w:asciiTheme="minorHAnsi" w:hAnsiTheme="minorHAnsi" w:cstheme="minorHAnsi"/>
              </w:rPr>
            </w:pPr>
            <w:r w:rsidRPr="00546CA4">
              <w:rPr>
                <w:rFonts w:asciiTheme="minorHAnsi" w:hAnsiTheme="minorHAnsi" w:cstheme="minorHAnsi"/>
              </w:rPr>
              <w:lastRenderedPageBreak/>
              <w:t>Medical school donation</w:t>
            </w:r>
          </w:p>
        </w:tc>
        <w:tc>
          <w:tcPr>
            <w:tcW w:w="6205" w:type="dxa"/>
          </w:tcPr>
          <w:p w14:paraId="3FE37D3D" w14:textId="7908FD35" w:rsidR="00AC2BBE" w:rsidRPr="00546CA4" w:rsidRDefault="004322FD" w:rsidP="00A05E72">
            <w:pPr>
              <w:pStyle w:val="VBAILTbullet1"/>
              <w:numPr>
                <w:ilvl w:val="0"/>
                <w:numId w:val="0"/>
              </w:numPr>
              <w:spacing w:after="120" w:line="240" w:lineRule="auto"/>
              <w:rPr>
                <w:rFonts w:asciiTheme="minorHAnsi" w:hAnsiTheme="minorHAnsi" w:cstheme="minorHAnsi"/>
              </w:rPr>
            </w:pPr>
            <w:r w:rsidRPr="00546CA4">
              <w:rPr>
                <w:rFonts w:asciiTheme="minorHAnsi" w:hAnsiTheme="minorHAnsi" w:cstheme="minorHAnsi"/>
              </w:rPr>
              <w:t>Considered a recognized method of disposing of remains if the deceased Veteran’s body is turned over to a medical school for scientific purposes</w:t>
            </w:r>
          </w:p>
        </w:tc>
      </w:tr>
      <w:tr w:rsidR="00AC2BBE" w:rsidRPr="00546CA4" w14:paraId="58DD924A" w14:textId="154856BE" w:rsidTr="00AC2BBE">
        <w:tc>
          <w:tcPr>
            <w:tcW w:w="3150" w:type="dxa"/>
          </w:tcPr>
          <w:p w14:paraId="3F52719E" w14:textId="48AC0B96" w:rsidR="00AC2BBE" w:rsidRPr="00546CA4" w:rsidRDefault="00AC2BBE" w:rsidP="00AC2BBE">
            <w:pPr>
              <w:pStyle w:val="VBAILTbullet1"/>
              <w:numPr>
                <w:ilvl w:val="0"/>
                <w:numId w:val="0"/>
              </w:numPr>
              <w:rPr>
                <w:rFonts w:asciiTheme="minorHAnsi" w:hAnsiTheme="minorHAnsi" w:cstheme="minorHAnsi"/>
              </w:rPr>
            </w:pPr>
            <w:r w:rsidRPr="00546CA4">
              <w:rPr>
                <w:rFonts w:asciiTheme="minorHAnsi" w:hAnsiTheme="minorHAnsi" w:cstheme="minorHAnsi"/>
              </w:rPr>
              <w:t>Nearest national cemetery</w:t>
            </w:r>
          </w:p>
        </w:tc>
        <w:tc>
          <w:tcPr>
            <w:tcW w:w="6205" w:type="dxa"/>
          </w:tcPr>
          <w:p w14:paraId="45558FD4" w14:textId="77777777" w:rsidR="00AC2BBE" w:rsidRPr="00546CA4" w:rsidRDefault="004C1BE3" w:rsidP="00AC2BBE">
            <w:pPr>
              <w:pStyle w:val="VBAILTbullet1"/>
              <w:numPr>
                <w:ilvl w:val="0"/>
                <w:numId w:val="0"/>
              </w:numPr>
              <w:rPr>
                <w:rFonts w:asciiTheme="minorHAnsi" w:hAnsiTheme="minorHAnsi" w:cstheme="minorHAnsi"/>
              </w:rPr>
            </w:pPr>
            <w:r w:rsidRPr="00546CA4">
              <w:rPr>
                <w:rFonts w:asciiTheme="minorHAnsi" w:hAnsiTheme="minorHAnsi" w:cstheme="minorHAnsi"/>
              </w:rPr>
              <w:t>A cemetery:</w:t>
            </w:r>
          </w:p>
          <w:p w14:paraId="232DAB34" w14:textId="5917BB48" w:rsidR="004C1BE3" w:rsidRPr="00546CA4" w:rsidRDefault="004C1BE3" w:rsidP="004C1BE3">
            <w:pPr>
              <w:pStyle w:val="ListParagraph"/>
              <w:numPr>
                <w:ilvl w:val="0"/>
                <w:numId w:val="15"/>
              </w:numPr>
              <w:spacing w:before="120"/>
              <w:rPr>
                <w:rFonts w:cstheme="minorHAnsi"/>
              </w:rPr>
            </w:pPr>
            <w:r w:rsidRPr="00546CA4">
              <w:rPr>
                <w:rFonts w:cstheme="minorHAnsi"/>
              </w:rPr>
              <w:t>Under the jurisdiction of VA National Cemetery Administration (NCA) or Arlington National Cemetery</w:t>
            </w:r>
          </w:p>
          <w:p w14:paraId="4484D297" w14:textId="77777777" w:rsidR="004C1BE3" w:rsidRPr="00546CA4" w:rsidRDefault="004C1BE3" w:rsidP="004C1BE3">
            <w:pPr>
              <w:pStyle w:val="ListParagraph"/>
              <w:numPr>
                <w:ilvl w:val="0"/>
                <w:numId w:val="15"/>
              </w:numPr>
              <w:spacing w:before="120"/>
              <w:rPr>
                <w:rFonts w:cstheme="minorHAnsi"/>
              </w:rPr>
            </w:pPr>
            <w:r w:rsidRPr="00546CA4">
              <w:rPr>
                <w:rFonts w:cstheme="minorHAnsi"/>
              </w:rPr>
              <w:t>That is the closest, geographically, to the Veteran’s last place of residence</w:t>
            </w:r>
          </w:p>
          <w:p w14:paraId="5E4E4903" w14:textId="77777777" w:rsidR="004C1BE3" w:rsidRPr="00546CA4" w:rsidRDefault="004C1BE3" w:rsidP="004C1BE3">
            <w:pPr>
              <w:pStyle w:val="ListParagraph"/>
              <w:numPr>
                <w:ilvl w:val="0"/>
                <w:numId w:val="15"/>
              </w:numPr>
              <w:spacing w:before="120"/>
              <w:rPr>
                <w:rFonts w:cstheme="minorHAnsi"/>
              </w:rPr>
            </w:pPr>
            <w:r w:rsidRPr="00546CA4">
              <w:rPr>
                <w:rFonts w:cstheme="minorHAnsi"/>
              </w:rPr>
              <w:t>Where space is available</w:t>
            </w:r>
          </w:p>
          <w:p w14:paraId="23DB9918" w14:textId="77777777" w:rsidR="004C1BE3" w:rsidRPr="00546CA4" w:rsidRDefault="004C1BE3" w:rsidP="004C1BE3">
            <w:pPr>
              <w:pStyle w:val="ListParagraph"/>
              <w:numPr>
                <w:ilvl w:val="0"/>
                <w:numId w:val="15"/>
              </w:numPr>
              <w:spacing w:before="120"/>
              <w:rPr>
                <w:rFonts w:cstheme="minorHAnsi"/>
              </w:rPr>
            </w:pPr>
            <w:r w:rsidRPr="00546CA4">
              <w:rPr>
                <w:rFonts w:cstheme="minorHAnsi"/>
              </w:rPr>
              <w:t>Where the Veteran is eligible for burial</w:t>
            </w:r>
          </w:p>
          <w:p w14:paraId="133478BD" w14:textId="7E78A9B2" w:rsidR="004C1BE3" w:rsidRPr="00546CA4" w:rsidRDefault="004C1BE3" w:rsidP="00A05E72">
            <w:pPr>
              <w:spacing w:before="120" w:after="120"/>
              <w:rPr>
                <w:rFonts w:cstheme="minorHAnsi"/>
              </w:rPr>
            </w:pPr>
            <w:proofErr w:type="gramStart"/>
            <w:r w:rsidRPr="00546CA4">
              <w:rPr>
                <w:rFonts w:cstheme="minorHAnsi"/>
              </w:rPr>
              <w:t>Also</w:t>
            </w:r>
            <w:proofErr w:type="gramEnd"/>
            <w:r w:rsidRPr="00546CA4">
              <w:rPr>
                <w:rFonts w:cstheme="minorHAnsi"/>
              </w:rPr>
              <w:t xml:space="preserve"> may be a national cemetery where burial space was reserved for the Veteran, usually when there has been interment in that space of a dependent who died before the Veteran died</w:t>
            </w:r>
          </w:p>
        </w:tc>
      </w:tr>
      <w:tr w:rsidR="00AC2BBE" w:rsidRPr="00546CA4" w14:paraId="2B84D7F7" w14:textId="77777777" w:rsidTr="00AC2BBE">
        <w:tc>
          <w:tcPr>
            <w:tcW w:w="3150" w:type="dxa"/>
          </w:tcPr>
          <w:p w14:paraId="760E11B4" w14:textId="3A8CF4E7" w:rsidR="00AC2BBE" w:rsidRPr="00546CA4" w:rsidRDefault="00AC2BBE" w:rsidP="00AC2BBE">
            <w:pPr>
              <w:pStyle w:val="VBAILTbullet1"/>
              <w:numPr>
                <w:ilvl w:val="0"/>
                <w:numId w:val="0"/>
              </w:numPr>
              <w:rPr>
                <w:rFonts w:asciiTheme="minorHAnsi" w:hAnsiTheme="minorHAnsi" w:cstheme="minorHAnsi"/>
              </w:rPr>
            </w:pPr>
            <w:r w:rsidRPr="00546CA4">
              <w:rPr>
                <w:rFonts w:asciiTheme="minorHAnsi" w:hAnsiTheme="minorHAnsi" w:cstheme="minorHAnsi"/>
              </w:rPr>
              <w:t>Place of death</w:t>
            </w:r>
          </w:p>
        </w:tc>
        <w:tc>
          <w:tcPr>
            <w:tcW w:w="6205" w:type="dxa"/>
          </w:tcPr>
          <w:p w14:paraId="14CA2F4A" w14:textId="2693AF7C" w:rsidR="00AC2BBE" w:rsidRPr="00546CA4" w:rsidRDefault="004C1BE3" w:rsidP="00A05E72">
            <w:pPr>
              <w:pStyle w:val="VBAILTbullet1"/>
              <w:numPr>
                <w:ilvl w:val="0"/>
                <w:numId w:val="0"/>
              </w:numPr>
              <w:spacing w:after="120"/>
              <w:rPr>
                <w:rFonts w:asciiTheme="minorHAnsi" w:hAnsiTheme="minorHAnsi" w:cstheme="minorHAnsi"/>
              </w:rPr>
            </w:pPr>
            <w:r w:rsidRPr="00546CA4">
              <w:rPr>
                <w:rFonts w:asciiTheme="minorHAnsi" w:hAnsiTheme="minorHAnsi" w:cstheme="minorHAnsi"/>
              </w:rPr>
              <w:t xml:space="preserve">The location </w:t>
            </w:r>
            <w:r w:rsidR="009427C9" w:rsidRPr="00546CA4">
              <w:rPr>
                <w:rFonts w:asciiTheme="minorHAnsi" w:hAnsiTheme="minorHAnsi" w:cstheme="minorHAnsi"/>
              </w:rPr>
              <w:t xml:space="preserve">of the Veteran at the time of death </w:t>
            </w:r>
            <w:r w:rsidRPr="00546CA4">
              <w:rPr>
                <w:rFonts w:asciiTheme="minorHAnsi" w:hAnsiTheme="minorHAnsi" w:cstheme="minorHAnsi"/>
              </w:rPr>
              <w:t>shown by the death certificate or other acceptable evidence of death</w:t>
            </w:r>
          </w:p>
        </w:tc>
      </w:tr>
      <w:tr w:rsidR="00AC2BBE" w:rsidRPr="00546CA4" w14:paraId="499B389C" w14:textId="5F08A999" w:rsidTr="00AC2BBE">
        <w:tc>
          <w:tcPr>
            <w:tcW w:w="3150" w:type="dxa"/>
          </w:tcPr>
          <w:p w14:paraId="4741FD32" w14:textId="77777777" w:rsidR="00AC2BBE" w:rsidRPr="00546CA4" w:rsidRDefault="00AC2BBE" w:rsidP="00AC2BBE">
            <w:pPr>
              <w:pStyle w:val="VBAILTbullet1"/>
              <w:numPr>
                <w:ilvl w:val="0"/>
                <w:numId w:val="0"/>
              </w:numPr>
              <w:rPr>
                <w:rFonts w:asciiTheme="minorHAnsi" w:hAnsiTheme="minorHAnsi" w:cstheme="minorHAnsi"/>
              </w:rPr>
            </w:pPr>
            <w:r w:rsidRPr="00546CA4">
              <w:rPr>
                <w:rFonts w:asciiTheme="minorHAnsi" w:hAnsiTheme="minorHAnsi" w:cstheme="minorHAnsi"/>
              </w:rPr>
              <w:t>Plot</w:t>
            </w:r>
          </w:p>
        </w:tc>
        <w:tc>
          <w:tcPr>
            <w:tcW w:w="6205" w:type="dxa"/>
          </w:tcPr>
          <w:p w14:paraId="3742C87D" w14:textId="77777777" w:rsidR="00AC2BBE" w:rsidRPr="00546CA4" w:rsidRDefault="004C1BE3" w:rsidP="00AC2BBE">
            <w:pPr>
              <w:pStyle w:val="VBAILTbullet1"/>
              <w:numPr>
                <w:ilvl w:val="0"/>
                <w:numId w:val="0"/>
              </w:numPr>
              <w:rPr>
                <w:rFonts w:asciiTheme="minorHAnsi" w:hAnsiTheme="minorHAnsi" w:cstheme="minorHAnsi"/>
              </w:rPr>
            </w:pPr>
            <w:r w:rsidRPr="00546CA4">
              <w:rPr>
                <w:rFonts w:asciiTheme="minorHAnsi" w:hAnsiTheme="minorHAnsi" w:cstheme="minorHAnsi"/>
              </w:rPr>
              <w:t>The final disposal site of the remains</w:t>
            </w:r>
          </w:p>
          <w:p w14:paraId="10562620" w14:textId="77777777" w:rsidR="004C1BE3" w:rsidRPr="00546CA4" w:rsidRDefault="004C1BE3" w:rsidP="004C1BE3">
            <w:pPr>
              <w:pStyle w:val="ListParagraph"/>
              <w:numPr>
                <w:ilvl w:val="0"/>
                <w:numId w:val="15"/>
              </w:numPr>
              <w:spacing w:before="120"/>
              <w:rPr>
                <w:rFonts w:cstheme="minorHAnsi"/>
              </w:rPr>
            </w:pPr>
            <w:r w:rsidRPr="00546CA4">
              <w:rPr>
                <w:rFonts w:cstheme="minorHAnsi"/>
              </w:rPr>
              <w:t>Synonyms: burial plot, interment site, or final resting place</w:t>
            </w:r>
          </w:p>
          <w:p w14:paraId="796B8592" w14:textId="77777777" w:rsidR="004C1BE3" w:rsidRPr="00546CA4" w:rsidRDefault="004C1BE3" w:rsidP="004C1BE3">
            <w:pPr>
              <w:pStyle w:val="ListParagraph"/>
              <w:numPr>
                <w:ilvl w:val="0"/>
                <w:numId w:val="15"/>
              </w:numPr>
              <w:spacing w:before="120"/>
              <w:rPr>
                <w:rFonts w:cstheme="minorHAnsi"/>
              </w:rPr>
            </w:pPr>
            <w:r w:rsidRPr="00546CA4">
              <w:rPr>
                <w:rFonts w:cstheme="minorHAnsi"/>
              </w:rPr>
              <w:t xml:space="preserve">Examples: grave, mausoleum, vault, columbarium niche, or </w:t>
            </w:r>
            <w:proofErr w:type="gramStart"/>
            <w:r w:rsidRPr="00546CA4">
              <w:rPr>
                <w:rFonts w:cstheme="minorHAnsi"/>
              </w:rPr>
              <w:t>other</w:t>
            </w:r>
            <w:proofErr w:type="gramEnd"/>
            <w:r w:rsidRPr="00546CA4">
              <w:rPr>
                <w:rFonts w:cstheme="minorHAnsi"/>
              </w:rPr>
              <w:t xml:space="preserve"> site</w:t>
            </w:r>
          </w:p>
          <w:p w14:paraId="60A73412" w14:textId="77777777" w:rsidR="004C1BE3" w:rsidRPr="00546CA4" w:rsidRDefault="004C1BE3" w:rsidP="004C1BE3">
            <w:pPr>
              <w:pStyle w:val="ListParagraph"/>
              <w:numPr>
                <w:ilvl w:val="0"/>
                <w:numId w:val="15"/>
              </w:numPr>
              <w:spacing w:before="120"/>
              <w:rPr>
                <w:rFonts w:cstheme="minorHAnsi"/>
              </w:rPr>
            </w:pPr>
            <w:r w:rsidRPr="00546CA4">
              <w:rPr>
                <w:rFonts w:cstheme="minorHAnsi"/>
              </w:rPr>
              <w:t>Consider the plot to be:</w:t>
            </w:r>
          </w:p>
          <w:p w14:paraId="7F935B90" w14:textId="77777777" w:rsidR="004C1BE3" w:rsidRPr="00546CA4" w:rsidRDefault="004C1BE3" w:rsidP="004C1BE3">
            <w:pPr>
              <w:pStyle w:val="ListParagraph"/>
              <w:numPr>
                <w:ilvl w:val="1"/>
                <w:numId w:val="15"/>
              </w:numPr>
              <w:ind w:left="792"/>
              <w:rPr>
                <w:rFonts w:cstheme="minorHAnsi"/>
              </w:rPr>
            </w:pPr>
            <w:r w:rsidRPr="00546CA4">
              <w:rPr>
                <w:rFonts w:cstheme="minorHAnsi"/>
              </w:rPr>
              <w:t>The grave where the casket is buried, not the casket itself</w:t>
            </w:r>
          </w:p>
          <w:p w14:paraId="6A5F4299" w14:textId="300339E7" w:rsidR="004C1BE3" w:rsidRPr="00546CA4" w:rsidRDefault="004C1BE3" w:rsidP="004C1BE3">
            <w:pPr>
              <w:pStyle w:val="ListParagraph"/>
              <w:numPr>
                <w:ilvl w:val="1"/>
                <w:numId w:val="15"/>
              </w:numPr>
              <w:spacing w:after="120"/>
              <w:ind w:left="792"/>
              <w:rPr>
                <w:rFonts w:cstheme="minorHAnsi"/>
              </w:rPr>
            </w:pPr>
            <w:r w:rsidRPr="00546CA4">
              <w:rPr>
                <w:rFonts w:cstheme="minorHAnsi"/>
              </w:rPr>
              <w:t>The columbarium niche containing the cremation urn, not the urn itself</w:t>
            </w:r>
          </w:p>
        </w:tc>
      </w:tr>
      <w:tr w:rsidR="00AC2BBE" w:rsidRPr="00546CA4" w14:paraId="05A8FFE9" w14:textId="638AD6A0" w:rsidTr="00AC2BBE">
        <w:tc>
          <w:tcPr>
            <w:tcW w:w="3150" w:type="dxa"/>
          </w:tcPr>
          <w:p w14:paraId="62D7A385" w14:textId="532CADEE" w:rsidR="00AC2BBE" w:rsidRPr="00546CA4" w:rsidRDefault="00AC2BBE" w:rsidP="00AC2BBE">
            <w:pPr>
              <w:pStyle w:val="VBAILTbullet1"/>
              <w:numPr>
                <w:ilvl w:val="0"/>
                <w:numId w:val="0"/>
              </w:numPr>
              <w:rPr>
                <w:rFonts w:asciiTheme="minorHAnsi" w:hAnsiTheme="minorHAnsi" w:cstheme="minorHAnsi"/>
              </w:rPr>
            </w:pPr>
            <w:r w:rsidRPr="00546CA4">
              <w:rPr>
                <w:rFonts w:asciiTheme="minorHAnsi" w:hAnsiTheme="minorHAnsi" w:cstheme="minorHAnsi"/>
              </w:rPr>
              <w:t>Unclaimed Veteran remains</w:t>
            </w:r>
          </w:p>
        </w:tc>
        <w:tc>
          <w:tcPr>
            <w:tcW w:w="6205" w:type="dxa"/>
          </w:tcPr>
          <w:p w14:paraId="5E8452AA" w14:textId="77777777" w:rsidR="00546CA4" w:rsidRPr="00546CA4" w:rsidRDefault="00546CA4" w:rsidP="00546CA4">
            <w:pPr>
              <w:shd w:val="clear" w:color="auto" w:fill="FFFFFF"/>
              <w:rPr>
                <w:rFonts w:eastAsia="Times New Roman" w:cstheme="minorHAnsi"/>
                <w:color w:val="000000"/>
              </w:rPr>
            </w:pPr>
            <w:r w:rsidRPr="00546CA4">
              <w:rPr>
                <w:rFonts w:eastAsia="Times New Roman" w:cstheme="minorHAnsi"/>
                <w:b/>
                <w:bCs/>
                <w:i/>
                <w:iCs/>
                <w:color w:val="000000"/>
              </w:rPr>
              <w:t>Unclaimed Veteran remains</w:t>
            </w:r>
            <w:r w:rsidRPr="00546CA4">
              <w:rPr>
                <w:rFonts w:eastAsia="Times New Roman" w:cstheme="minorHAnsi"/>
                <w:color w:val="000000"/>
              </w:rPr>
              <w:t> are the remains of an identified Veteran</w:t>
            </w:r>
          </w:p>
          <w:p w14:paraId="15642BD6" w14:textId="77777777" w:rsidR="00546CA4" w:rsidRPr="00546CA4" w:rsidRDefault="00546CA4" w:rsidP="00546CA4">
            <w:pPr>
              <w:numPr>
                <w:ilvl w:val="0"/>
                <w:numId w:val="21"/>
              </w:numPr>
              <w:shd w:val="clear" w:color="auto" w:fill="FFFFFF"/>
              <w:spacing w:before="100" w:beforeAutospacing="1" w:after="100" w:afterAutospacing="1"/>
              <w:ind w:right="240"/>
              <w:rPr>
                <w:rFonts w:eastAsia="Times New Roman" w:cstheme="minorHAnsi"/>
                <w:color w:val="000000"/>
              </w:rPr>
            </w:pPr>
            <w:r w:rsidRPr="00546CA4">
              <w:rPr>
                <w:rFonts w:eastAsia="Times New Roman" w:cstheme="minorHAnsi"/>
                <w:color w:val="000000"/>
              </w:rPr>
              <w:t xml:space="preserve">who has not been claimed by relatives or </w:t>
            </w:r>
            <w:proofErr w:type="gramStart"/>
            <w:r w:rsidRPr="00546CA4">
              <w:rPr>
                <w:rFonts w:eastAsia="Times New Roman" w:cstheme="minorHAnsi"/>
                <w:color w:val="000000"/>
              </w:rPr>
              <w:t>friends</w:t>
            </w:r>
            <w:proofErr w:type="gramEnd"/>
          </w:p>
          <w:p w14:paraId="3EF26FAF" w14:textId="77777777" w:rsidR="00546CA4" w:rsidRPr="00546CA4" w:rsidRDefault="00546CA4" w:rsidP="00546CA4">
            <w:pPr>
              <w:numPr>
                <w:ilvl w:val="0"/>
                <w:numId w:val="21"/>
              </w:numPr>
              <w:shd w:val="clear" w:color="auto" w:fill="FFFFFF"/>
              <w:spacing w:before="100" w:beforeAutospacing="1" w:after="100" w:afterAutospacing="1"/>
              <w:ind w:right="240"/>
              <w:rPr>
                <w:rFonts w:eastAsia="Times New Roman" w:cstheme="minorHAnsi"/>
                <w:color w:val="000000"/>
              </w:rPr>
            </w:pPr>
            <w:r w:rsidRPr="00546CA4">
              <w:rPr>
                <w:rFonts w:eastAsia="Times New Roman" w:cstheme="minorHAnsi"/>
                <w:color w:val="000000"/>
              </w:rPr>
              <w:t xml:space="preserve">who does not have sufficient resources available in the Veteran’s estate to cover the burial and funeral expenses, </w:t>
            </w:r>
            <w:proofErr w:type="gramStart"/>
            <w:r w:rsidRPr="00546CA4">
              <w:rPr>
                <w:rFonts w:eastAsia="Times New Roman" w:cstheme="minorHAnsi"/>
                <w:color w:val="000000"/>
              </w:rPr>
              <w:t>and</w:t>
            </w:r>
            <w:proofErr w:type="gramEnd"/>
          </w:p>
          <w:p w14:paraId="75B3563A" w14:textId="77777777" w:rsidR="00546CA4" w:rsidRPr="00546CA4" w:rsidRDefault="00546CA4" w:rsidP="00546CA4">
            <w:pPr>
              <w:numPr>
                <w:ilvl w:val="0"/>
                <w:numId w:val="21"/>
              </w:numPr>
              <w:shd w:val="clear" w:color="auto" w:fill="FFFFFF"/>
              <w:spacing w:before="100" w:beforeAutospacing="1" w:after="100" w:afterAutospacing="1"/>
              <w:ind w:right="240"/>
              <w:rPr>
                <w:rFonts w:eastAsia="Times New Roman" w:cstheme="minorHAnsi"/>
                <w:color w:val="000000"/>
              </w:rPr>
            </w:pPr>
            <w:r w:rsidRPr="00546CA4">
              <w:rPr>
                <w:rFonts w:eastAsia="Times New Roman" w:cstheme="minorHAnsi"/>
                <w:color w:val="000000"/>
              </w:rPr>
              <w:t>whose burial is not the responsibility of any other Federal, State, or local agency. </w:t>
            </w:r>
          </w:p>
          <w:p w14:paraId="7BFFDE1C" w14:textId="77777777" w:rsidR="00546CA4" w:rsidRPr="00546CA4" w:rsidRDefault="00546CA4" w:rsidP="00546CA4">
            <w:pPr>
              <w:shd w:val="clear" w:color="auto" w:fill="FFFFFF"/>
              <w:rPr>
                <w:rFonts w:eastAsia="Times New Roman" w:cstheme="minorHAnsi"/>
                <w:color w:val="000000"/>
              </w:rPr>
            </w:pPr>
            <w:r w:rsidRPr="00546CA4">
              <w:rPr>
                <w:rFonts w:eastAsia="Times New Roman" w:cstheme="minorHAnsi"/>
                <w:b/>
                <w:bCs/>
                <w:i/>
                <w:iCs/>
                <w:color w:val="000000"/>
              </w:rPr>
              <w:t>Note</w:t>
            </w:r>
            <w:r w:rsidRPr="00546CA4">
              <w:rPr>
                <w:rFonts w:eastAsia="Times New Roman" w:cstheme="minorHAnsi"/>
                <w:color w:val="000000"/>
              </w:rPr>
              <w:t>:  The Veterans Health Administration is responsible for burial payments and arrangements for the unclaimed remains of Veterans who die while hospitalized under VA medical care.</w:t>
            </w:r>
          </w:p>
          <w:p w14:paraId="6058994E" w14:textId="4C06A0FA" w:rsidR="00E24B08" w:rsidRPr="00546CA4" w:rsidRDefault="00546CA4" w:rsidP="00546CA4">
            <w:pPr>
              <w:spacing w:before="120" w:after="120"/>
              <w:rPr>
                <w:rFonts w:cstheme="minorHAnsi"/>
              </w:rPr>
            </w:pPr>
            <w:r w:rsidRPr="00546CA4">
              <w:rPr>
                <w:rFonts w:cstheme="minorHAnsi"/>
              </w:rPr>
              <w:t>See M21-1 XI.iii.1.A.1.h for further information</w:t>
            </w:r>
          </w:p>
        </w:tc>
      </w:tr>
    </w:tbl>
    <w:p w14:paraId="71AD3342" w14:textId="77777777" w:rsidR="007672B7" w:rsidRDefault="007672B7" w:rsidP="007672B7">
      <w:pPr>
        <w:pStyle w:val="VBAILTbullet1"/>
        <w:numPr>
          <w:ilvl w:val="0"/>
          <w:numId w:val="0"/>
        </w:numPr>
        <w:spacing w:before="0"/>
        <w:rPr>
          <w:rFonts w:asciiTheme="minorHAnsi" w:hAnsiTheme="minorHAnsi"/>
          <w:b/>
        </w:rPr>
      </w:pPr>
    </w:p>
    <w:p w14:paraId="26086E8B" w14:textId="248C0400" w:rsidR="00AC2BBE" w:rsidRDefault="007672B7" w:rsidP="007672B7">
      <w:pPr>
        <w:pStyle w:val="VBAILTbullet1"/>
        <w:numPr>
          <w:ilvl w:val="0"/>
          <w:numId w:val="0"/>
        </w:numPr>
        <w:spacing w:before="0"/>
        <w:rPr>
          <w:rFonts w:asciiTheme="minorHAnsi" w:hAnsiTheme="minorHAnsi"/>
        </w:rPr>
      </w:pPr>
      <w:r w:rsidRPr="00A05E72">
        <w:rPr>
          <w:rFonts w:asciiTheme="minorHAnsi" w:hAnsiTheme="minorHAnsi"/>
          <w:b/>
        </w:rPr>
        <w:t>Reference:</w:t>
      </w:r>
      <w:r w:rsidR="009427C9">
        <w:rPr>
          <w:rFonts w:asciiTheme="minorHAnsi" w:hAnsiTheme="minorHAnsi"/>
        </w:rPr>
        <w:t xml:space="preserve"> M21-1 </w:t>
      </w:r>
      <w:r w:rsidR="00546CA4">
        <w:rPr>
          <w:rFonts w:asciiTheme="minorHAnsi" w:hAnsiTheme="minorHAnsi"/>
        </w:rPr>
        <w:t>XI.iii</w:t>
      </w:r>
      <w:r w:rsidR="009427C9">
        <w:rPr>
          <w:rFonts w:asciiTheme="minorHAnsi" w:hAnsiTheme="minorHAnsi"/>
        </w:rPr>
        <w:t>.1.A.1</w:t>
      </w:r>
      <w:r>
        <w:rPr>
          <w:rFonts w:asciiTheme="minorHAnsi" w:hAnsiTheme="minorHAnsi"/>
        </w:rPr>
        <w:t xml:space="preserve"> (Definitions of Burial Benefit Terms)</w:t>
      </w:r>
    </w:p>
    <w:p w14:paraId="56FE17A3" w14:textId="10F19E7B" w:rsidR="001F25E7" w:rsidRDefault="001F25E7" w:rsidP="007672B7">
      <w:pPr>
        <w:pStyle w:val="VBAILTbullet1"/>
        <w:numPr>
          <w:ilvl w:val="0"/>
          <w:numId w:val="0"/>
        </w:numPr>
        <w:spacing w:before="0"/>
      </w:pPr>
    </w:p>
    <w:p w14:paraId="3001F058" w14:textId="4A8C6969" w:rsidR="006F1018" w:rsidRDefault="006F1018" w:rsidP="00A27435">
      <w:r>
        <w:br w:type="page"/>
      </w:r>
      <w:r w:rsidR="00CF3A95">
        <w:lastRenderedPageBreak/>
        <w:t xml:space="preserve">The following table presents basic edibility requirements for the Veteran and the claimant: </w:t>
      </w:r>
    </w:p>
    <w:tbl>
      <w:tblPr>
        <w:tblStyle w:val="TableGrid"/>
        <w:tblW w:w="0" w:type="auto"/>
        <w:tblLook w:val="04A0" w:firstRow="1" w:lastRow="0" w:firstColumn="1" w:lastColumn="0" w:noHBand="0" w:noVBand="1"/>
      </w:tblPr>
      <w:tblGrid>
        <w:gridCol w:w="4675"/>
        <w:gridCol w:w="4675"/>
      </w:tblGrid>
      <w:tr w:rsidR="00A377AA" w:rsidRPr="00AE33AA" w14:paraId="752A0368" w14:textId="77777777" w:rsidTr="00CF3A95">
        <w:tc>
          <w:tcPr>
            <w:tcW w:w="4675" w:type="dxa"/>
            <w:shd w:val="clear" w:color="auto" w:fill="DEEAF6" w:themeFill="accent1" w:themeFillTint="33"/>
          </w:tcPr>
          <w:p w14:paraId="3FDC8235" w14:textId="751556CF" w:rsidR="00A377AA" w:rsidRPr="00AE33AA" w:rsidRDefault="00F77E4E" w:rsidP="00CF3A95">
            <w:pPr>
              <w:spacing w:before="120" w:after="120"/>
              <w:rPr>
                <w:b/>
              </w:rPr>
            </w:pPr>
            <w:r>
              <w:rPr>
                <w:b/>
              </w:rPr>
              <w:t xml:space="preserve">Veteran or </w:t>
            </w:r>
            <w:r w:rsidR="00A377AA" w:rsidRPr="00AE33AA">
              <w:rPr>
                <w:b/>
              </w:rPr>
              <w:t>Claimant</w:t>
            </w:r>
          </w:p>
        </w:tc>
        <w:tc>
          <w:tcPr>
            <w:tcW w:w="4675" w:type="dxa"/>
            <w:shd w:val="clear" w:color="auto" w:fill="DEEAF6" w:themeFill="accent1" w:themeFillTint="33"/>
          </w:tcPr>
          <w:p w14:paraId="097C0073" w14:textId="77777777" w:rsidR="00A377AA" w:rsidRPr="00AE33AA" w:rsidRDefault="00A377AA" w:rsidP="00CF3A95">
            <w:pPr>
              <w:spacing w:before="120" w:after="120"/>
              <w:rPr>
                <w:b/>
              </w:rPr>
            </w:pPr>
            <w:r w:rsidRPr="00AE33AA">
              <w:rPr>
                <w:b/>
              </w:rPr>
              <w:t>Basic Eligibility Requirements</w:t>
            </w:r>
          </w:p>
        </w:tc>
      </w:tr>
      <w:tr w:rsidR="00942D53" w14:paraId="0B9AD4A0" w14:textId="77777777" w:rsidTr="00CF3A95">
        <w:tc>
          <w:tcPr>
            <w:tcW w:w="4675" w:type="dxa"/>
          </w:tcPr>
          <w:p w14:paraId="27B3E2CE" w14:textId="5708D834" w:rsidR="00942D53" w:rsidRPr="00AE33AA" w:rsidRDefault="00942D53" w:rsidP="00CF3A95">
            <w:pPr>
              <w:spacing w:before="120"/>
              <w:rPr>
                <w:b/>
              </w:rPr>
            </w:pPr>
            <w:r w:rsidRPr="00A07F83">
              <w:t xml:space="preserve">M21-1 </w:t>
            </w:r>
            <w:r w:rsidR="006E4126">
              <w:t>XI.iii</w:t>
            </w:r>
            <w:r w:rsidRPr="00A07F83">
              <w:t>.1.B.1</w:t>
            </w:r>
            <w:r>
              <w:t xml:space="preserve"> (General Veteran Eligibility C</w:t>
            </w:r>
            <w:r w:rsidRPr="00A07F83">
              <w:t>riteria</w:t>
            </w:r>
            <w:r>
              <w:t>)</w:t>
            </w:r>
          </w:p>
        </w:tc>
        <w:tc>
          <w:tcPr>
            <w:tcW w:w="4675" w:type="dxa"/>
          </w:tcPr>
          <w:p w14:paraId="1C6DADC1" w14:textId="60E5F068" w:rsidR="00942D53" w:rsidRDefault="00942D53" w:rsidP="00CF3A95">
            <w:pPr>
              <w:pStyle w:val="ListParagraph"/>
              <w:numPr>
                <w:ilvl w:val="0"/>
                <w:numId w:val="15"/>
              </w:numPr>
              <w:spacing w:before="120"/>
            </w:pPr>
            <w:r>
              <w:t>Served in active military, naval, or air service</w:t>
            </w:r>
            <w:r w:rsidR="006E4126">
              <w:t>, and</w:t>
            </w:r>
          </w:p>
          <w:p w14:paraId="3B10B920" w14:textId="36AF8E18" w:rsidR="00942D53" w:rsidRDefault="00942D53" w:rsidP="00CF3A95">
            <w:pPr>
              <w:pStyle w:val="ListParagraph"/>
              <w:numPr>
                <w:ilvl w:val="0"/>
                <w:numId w:val="15"/>
              </w:numPr>
              <w:spacing w:before="120"/>
            </w:pPr>
            <w:r>
              <w:t>Discharged or released under conditions other than dishonorable</w:t>
            </w:r>
          </w:p>
        </w:tc>
      </w:tr>
      <w:tr w:rsidR="00A377AA" w14:paraId="1F2D745E" w14:textId="77777777" w:rsidTr="00CF3A95">
        <w:tc>
          <w:tcPr>
            <w:tcW w:w="4675" w:type="dxa"/>
          </w:tcPr>
          <w:p w14:paraId="67D19F7F" w14:textId="3BEA8262" w:rsidR="00A377AA" w:rsidRDefault="00A377AA" w:rsidP="00CF3A95">
            <w:pPr>
              <w:spacing w:before="120"/>
            </w:pPr>
            <w:r w:rsidRPr="00AE33AA">
              <w:rPr>
                <w:b/>
              </w:rPr>
              <w:t>Veteran</w:t>
            </w:r>
            <w:r>
              <w:t xml:space="preserve"> </w:t>
            </w:r>
            <w:r w:rsidR="00942D53">
              <w:t xml:space="preserve">death </w:t>
            </w:r>
            <w:r>
              <w:t xml:space="preserve">must </w:t>
            </w:r>
            <w:r w:rsidR="00942D53">
              <w:t>fall into</w:t>
            </w:r>
            <w:r>
              <w:t xml:space="preserve"> at least one </w:t>
            </w:r>
            <w:r w:rsidR="00942D53">
              <w:t>category</w:t>
            </w:r>
            <w:r>
              <w:t>:</w:t>
            </w:r>
          </w:p>
          <w:p w14:paraId="6FE0A892" w14:textId="28D378BF" w:rsidR="00A377AA" w:rsidRDefault="00A377AA" w:rsidP="00CF3A95">
            <w:pPr>
              <w:spacing w:before="120"/>
            </w:pPr>
          </w:p>
        </w:tc>
        <w:tc>
          <w:tcPr>
            <w:tcW w:w="4675" w:type="dxa"/>
          </w:tcPr>
          <w:p w14:paraId="18AFD64A" w14:textId="77777777" w:rsidR="00A377AA" w:rsidRDefault="00A377AA" w:rsidP="00CF3A95">
            <w:pPr>
              <w:pStyle w:val="ListParagraph"/>
              <w:numPr>
                <w:ilvl w:val="0"/>
                <w:numId w:val="15"/>
              </w:numPr>
              <w:spacing w:before="120"/>
            </w:pPr>
            <w:r>
              <w:t xml:space="preserve">Service-connected death </w:t>
            </w:r>
            <w:r w:rsidRPr="00AE33AA">
              <w:rPr>
                <w:b/>
              </w:rPr>
              <w:t>OR</w:t>
            </w:r>
          </w:p>
          <w:p w14:paraId="2CBC8211" w14:textId="77777777" w:rsidR="00A377AA" w:rsidRDefault="00A377AA" w:rsidP="00CF3A95">
            <w:pPr>
              <w:pStyle w:val="ListParagraph"/>
              <w:numPr>
                <w:ilvl w:val="0"/>
                <w:numId w:val="15"/>
              </w:numPr>
            </w:pPr>
            <w:r>
              <w:t xml:space="preserve">Nonservice-connected death </w:t>
            </w:r>
            <w:r w:rsidRPr="00AE33AA">
              <w:rPr>
                <w:b/>
              </w:rPr>
              <w:t>OR</w:t>
            </w:r>
          </w:p>
          <w:p w14:paraId="56D68DF5" w14:textId="77777777" w:rsidR="00A377AA" w:rsidRDefault="00A377AA" w:rsidP="00CF3A95">
            <w:pPr>
              <w:pStyle w:val="ListParagraph"/>
              <w:numPr>
                <w:ilvl w:val="0"/>
                <w:numId w:val="15"/>
              </w:numPr>
            </w:pPr>
            <w:r>
              <w:t xml:space="preserve">VA hospitalization death </w:t>
            </w:r>
            <w:r w:rsidRPr="00AE33AA">
              <w:rPr>
                <w:b/>
              </w:rPr>
              <w:t>OR</w:t>
            </w:r>
          </w:p>
          <w:p w14:paraId="0010CA4C" w14:textId="722BCFF6" w:rsidR="00A377AA" w:rsidRDefault="00A377AA" w:rsidP="00CF3A95">
            <w:pPr>
              <w:pStyle w:val="ListParagraph"/>
              <w:numPr>
                <w:ilvl w:val="0"/>
                <w:numId w:val="15"/>
              </w:numPr>
              <w:spacing w:after="120"/>
            </w:pPr>
            <w:r>
              <w:t>Unclaimed</w:t>
            </w:r>
            <w:r w:rsidR="006B3822">
              <w:t>, identified</w:t>
            </w:r>
            <w:r>
              <w:t xml:space="preserve"> remains</w:t>
            </w:r>
          </w:p>
        </w:tc>
      </w:tr>
      <w:tr w:rsidR="00A377AA" w14:paraId="096BC42D" w14:textId="77777777" w:rsidTr="00CF3A95">
        <w:tc>
          <w:tcPr>
            <w:tcW w:w="4675" w:type="dxa"/>
          </w:tcPr>
          <w:p w14:paraId="2DD5FAD0" w14:textId="5BA30AE7" w:rsidR="00A377AA" w:rsidRDefault="00A27435" w:rsidP="00CF3A95">
            <w:pPr>
              <w:spacing w:before="120"/>
            </w:pPr>
            <w:r>
              <w:rPr>
                <w:b/>
              </w:rPr>
              <w:t xml:space="preserve">Priority </w:t>
            </w:r>
            <w:r w:rsidRPr="00A27435">
              <w:rPr>
                <w:bCs/>
              </w:rPr>
              <w:t>of</w:t>
            </w:r>
            <w:r>
              <w:rPr>
                <w:b/>
              </w:rPr>
              <w:t xml:space="preserve"> </w:t>
            </w:r>
            <w:r w:rsidRPr="00A27435">
              <w:rPr>
                <w:bCs/>
              </w:rPr>
              <w:t>payment</w:t>
            </w:r>
            <w:r>
              <w:rPr>
                <w:bCs/>
              </w:rPr>
              <w:t>s</w:t>
            </w:r>
            <w:r w:rsidR="00A377AA">
              <w:t>:</w:t>
            </w:r>
          </w:p>
        </w:tc>
        <w:tc>
          <w:tcPr>
            <w:tcW w:w="4675" w:type="dxa"/>
          </w:tcPr>
          <w:p w14:paraId="69037171" w14:textId="77777777" w:rsidR="006E4126" w:rsidRPr="006E4126" w:rsidRDefault="006E4126" w:rsidP="006E4126">
            <w:pPr>
              <w:shd w:val="clear" w:color="auto" w:fill="FFFFFF"/>
              <w:rPr>
                <w:rFonts w:eastAsia="Times New Roman" w:cstheme="minorHAnsi"/>
                <w:color w:val="000000"/>
              </w:rPr>
            </w:pPr>
            <w:r w:rsidRPr="006E4126">
              <w:rPr>
                <w:rFonts w:eastAsia="Times New Roman" w:cstheme="minorHAnsi"/>
                <w:color w:val="000000"/>
              </w:rPr>
              <w:t>For all burial benefits not paid automatically to the eligible surviving spouse at the notice of death, VBA may pay the applicable burial benefit to the first person to file a claim for burial benefits from the following list of eligible claimants:</w:t>
            </w:r>
          </w:p>
          <w:p w14:paraId="4423F0DD" w14:textId="77777777" w:rsidR="006E4126" w:rsidRPr="006E4126" w:rsidRDefault="006E4126" w:rsidP="006E4126">
            <w:pPr>
              <w:numPr>
                <w:ilvl w:val="0"/>
                <w:numId w:val="22"/>
              </w:numPr>
              <w:shd w:val="clear" w:color="auto" w:fill="FFFFFF"/>
              <w:spacing w:before="100" w:beforeAutospacing="1" w:after="100" w:afterAutospacing="1"/>
              <w:ind w:right="240"/>
              <w:rPr>
                <w:rFonts w:eastAsia="Times New Roman" w:cstheme="minorHAnsi"/>
                <w:color w:val="000000"/>
              </w:rPr>
            </w:pPr>
            <w:r w:rsidRPr="006E4126">
              <w:rPr>
                <w:rFonts w:eastAsia="Times New Roman" w:cstheme="minorHAnsi"/>
                <w:color w:val="000000"/>
              </w:rPr>
              <w:t>Veteran’s surviving spouse</w:t>
            </w:r>
          </w:p>
          <w:p w14:paraId="31DC2EF2" w14:textId="77777777" w:rsidR="006E4126" w:rsidRPr="006E4126" w:rsidRDefault="006E4126" w:rsidP="006E4126">
            <w:pPr>
              <w:numPr>
                <w:ilvl w:val="0"/>
                <w:numId w:val="22"/>
              </w:numPr>
              <w:shd w:val="clear" w:color="auto" w:fill="FFFFFF"/>
              <w:spacing w:before="100" w:beforeAutospacing="1" w:after="100" w:afterAutospacing="1"/>
              <w:ind w:right="240"/>
              <w:rPr>
                <w:rFonts w:eastAsia="Times New Roman" w:cstheme="minorHAnsi"/>
                <w:color w:val="000000"/>
              </w:rPr>
            </w:pPr>
            <w:r w:rsidRPr="006E4126">
              <w:rPr>
                <w:rFonts w:eastAsia="Times New Roman" w:cstheme="minorHAnsi"/>
                <w:color w:val="000000"/>
              </w:rPr>
              <w:t>survivor of a legal union between the deceased Veteran and the claimant that</w:t>
            </w:r>
          </w:p>
          <w:p w14:paraId="6701B987" w14:textId="77777777" w:rsidR="006E4126" w:rsidRPr="006E4126" w:rsidRDefault="006E4126" w:rsidP="006E4126">
            <w:pPr>
              <w:numPr>
                <w:ilvl w:val="1"/>
                <w:numId w:val="22"/>
              </w:numPr>
              <w:shd w:val="clear" w:color="auto" w:fill="FFFFFF"/>
              <w:spacing w:before="100" w:beforeAutospacing="1" w:after="100" w:afterAutospacing="1"/>
              <w:ind w:right="480"/>
              <w:rPr>
                <w:rFonts w:eastAsia="Times New Roman" w:cstheme="minorHAnsi"/>
                <w:color w:val="000000"/>
              </w:rPr>
            </w:pPr>
            <w:r w:rsidRPr="006E4126">
              <w:rPr>
                <w:rFonts w:eastAsia="Times New Roman" w:cstheme="minorHAnsi"/>
                <w:color w:val="000000"/>
              </w:rPr>
              <w:t>existed on the date of the Veteran’s death</w:t>
            </w:r>
          </w:p>
          <w:p w14:paraId="4837520D" w14:textId="77777777" w:rsidR="006E4126" w:rsidRPr="006E4126" w:rsidRDefault="006E4126" w:rsidP="006E4126">
            <w:pPr>
              <w:numPr>
                <w:ilvl w:val="1"/>
                <w:numId w:val="22"/>
              </w:numPr>
              <w:shd w:val="clear" w:color="auto" w:fill="FFFFFF"/>
              <w:spacing w:before="100" w:beforeAutospacing="1" w:after="100" w:afterAutospacing="1"/>
              <w:ind w:right="480"/>
              <w:rPr>
                <w:rFonts w:eastAsia="Times New Roman" w:cstheme="minorHAnsi"/>
                <w:color w:val="000000"/>
              </w:rPr>
            </w:pPr>
            <w:r w:rsidRPr="006E4126">
              <w:rPr>
                <w:rFonts w:eastAsia="Times New Roman" w:cstheme="minorHAnsi"/>
                <w:color w:val="000000"/>
              </w:rPr>
              <w:t>was recognized under the law of the State in which the couple formalized the relationship, and</w:t>
            </w:r>
          </w:p>
          <w:p w14:paraId="0D5386AE" w14:textId="77777777" w:rsidR="006E4126" w:rsidRPr="006E4126" w:rsidRDefault="006E4126" w:rsidP="006E4126">
            <w:pPr>
              <w:numPr>
                <w:ilvl w:val="1"/>
                <w:numId w:val="22"/>
              </w:numPr>
              <w:shd w:val="clear" w:color="auto" w:fill="FFFFFF"/>
              <w:spacing w:before="100" w:beforeAutospacing="1" w:after="100" w:afterAutospacing="1"/>
              <w:ind w:right="480"/>
              <w:rPr>
                <w:rFonts w:eastAsia="Times New Roman" w:cstheme="minorHAnsi"/>
                <w:color w:val="000000"/>
              </w:rPr>
            </w:pPr>
            <w:r w:rsidRPr="006E4126">
              <w:rPr>
                <w:rFonts w:eastAsia="Times New Roman" w:cstheme="minorHAnsi"/>
                <w:color w:val="000000"/>
              </w:rPr>
              <w:t>was evidenced by the State’s issuance of documentation memorializing the relationship</w:t>
            </w:r>
          </w:p>
          <w:p w14:paraId="58627F66" w14:textId="77777777" w:rsidR="006E4126" w:rsidRPr="006E4126" w:rsidRDefault="006E4126" w:rsidP="006E4126">
            <w:pPr>
              <w:numPr>
                <w:ilvl w:val="0"/>
                <w:numId w:val="22"/>
              </w:numPr>
              <w:shd w:val="clear" w:color="auto" w:fill="FFFFFF"/>
              <w:spacing w:before="100" w:beforeAutospacing="1" w:after="100" w:afterAutospacing="1"/>
              <w:ind w:right="240"/>
              <w:rPr>
                <w:rFonts w:eastAsia="Times New Roman" w:cstheme="minorHAnsi"/>
                <w:color w:val="000000"/>
              </w:rPr>
            </w:pPr>
            <w:r w:rsidRPr="006E4126">
              <w:rPr>
                <w:rFonts w:eastAsia="Times New Roman" w:cstheme="minorHAnsi"/>
                <w:color w:val="000000"/>
              </w:rPr>
              <w:t>Veteran’s child, regardless of age</w:t>
            </w:r>
          </w:p>
          <w:p w14:paraId="55BE631D" w14:textId="77777777" w:rsidR="006E4126" w:rsidRPr="006E4126" w:rsidRDefault="006E4126" w:rsidP="006E4126">
            <w:pPr>
              <w:numPr>
                <w:ilvl w:val="0"/>
                <w:numId w:val="22"/>
              </w:numPr>
              <w:shd w:val="clear" w:color="auto" w:fill="FFFFFF"/>
              <w:spacing w:before="100" w:beforeAutospacing="1" w:after="100" w:afterAutospacing="1"/>
              <w:ind w:right="240"/>
              <w:rPr>
                <w:rFonts w:eastAsia="Times New Roman" w:cstheme="minorHAnsi"/>
                <w:color w:val="000000"/>
              </w:rPr>
            </w:pPr>
            <w:r w:rsidRPr="006E4126">
              <w:rPr>
                <w:rFonts w:eastAsia="Times New Roman" w:cstheme="minorHAnsi"/>
                <w:color w:val="000000"/>
              </w:rPr>
              <w:t>Veteran’s parent, or</w:t>
            </w:r>
          </w:p>
          <w:p w14:paraId="03ED416E" w14:textId="77777777" w:rsidR="006E4126" w:rsidRPr="006E4126" w:rsidRDefault="006E4126" w:rsidP="006E4126">
            <w:pPr>
              <w:numPr>
                <w:ilvl w:val="0"/>
                <w:numId w:val="22"/>
              </w:numPr>
              <w:shd w:val="clear" w:color="auto" w:fill="FFFFFF"/>
              <w:spacing w:before="100" w:beforeAutospacing="1" w:after="100" w:afterAutospacing="1"/>
              <w:ind w:right="240"/>
              <w:rPr>
                <w:rFonts w:eastAsia="Times New Roman" w:cstheme="minorHAnsi"/>
                <w:color w:val="000000"/>
              </w:rPr>
            </w:pPr>
            <w:r w:rsidRPr="006E4126">
              <w:rPr>
                <w:rFonts w:eastAsia="Times New Roman" w:cstheme="minorHAnsi"/>
                <w:color w:val="000000"/>
              </w:rPr>
              <w:t>the executor or administrator of the Veteran’s estate or a person acting for the executor or administrator of the estate of the deceased Veteran. </w:t>
            </w:r>
          </w:p>
          <w:p w14:paraId="62664B83" w14:textId="629D2C80" w:rsidR="00A377AA" w:rsidRDefault="006E4126" w:rsidP="006E4126">
            <w:pPr>
              <w:spacing w:after="120"/>
            </w:pPr>
            <w:r w:rsidRPr="006E4126">
              <w:rPr>
                <w:rFonts w:cstheme="minorHAnsi"/>
              </w:rPr>
              <w:t>See M21-1 XI.iii.1.A.3.b for further information</w:t>
            </w:r>
          </w:p>
        </w:tc>
      </w:tr>
    </w:tbl>
    <w:p w14:paraId="53CAB4F6" w14:textId="4AA43786" w:rsidR="00CF3A95" w:rsidRDefault="006E4126" w:rsidP="006E4126">
      <w:pPr>
        <w:spacing w:after="0"/>
      </w:pPr>
      <w:r>
        <w:rPr>
          <w:b/>
        </w:rPr>
        <w:t xml:space="preserve"> </w:t>
      </w:r>
      <w:r w:rsidR="007672B7" w:rsidRPr="007672B7">
        <w:rPr>
          <w:b/>
        </w:rPr>
        <w:t xml:space="preserve">Note: </w:t>
      </w:r>
      <w:r w:rsidR="007672B7" w:rsidRPr="007672B7">
        <w:t xml:space="preserve">VA burial benefits are not payable for a service member who died while serving on active military duty. The military service department covers the cost of the burial or plot or interment allowance, not VA. (see M21-1 </w:t>
      </w:r>
      <w:r>
        <w:t>XI.iii</w:t>
      </w:r>
      <w:r w:rsidR="007672B7" w:rsidRPr="007672B7">
        <w:t>.1.B.1.c [Service Members Who Died During Military Service])</w:t>
      </w:r>
      <w:r w:rsidR="00C50625">
        <w:t>.</w:t>
      </w:r>
      <w:r w:rsidR="00CF3A95">
        <w:br w:type="page"/>
      </w:r>
    </w:p>
    <w:p w14:paraId="7B3F333F" w14:textId="538CE3F2" w:rsidR="00CF3A95" w:rsidRDefault="00CF3A95" w:rsidP="00CF3A95">
      <w:pPr>
        <w:pStyle w:val="VBAILTBody"/>
      </w:pPr>
      <w:r>
        <w:lastRenderedPageBreak/>
        <w:t xml:space="preserve">The following table presents eligibility requirements or restrictions on the various types of Veteran burial benefits: </w:t>
      </w:r>
    </w:p>
    <w:tbl>
      <w:tblPr>
        <w:tblStyle w:val="TableGrid"/>
        <w:tblW w:w="0" w:type="auto"/>
        <w:tblLook w:val="04A0" w:firstRow="1" w:lastRow="0" w:firstColumn="1" w:lastColumn="0" w:noHBand="0" w:noVBand="1"/>
      </w:tblPr>
      <w:tblGrid>
        <w:gridCol w:w="4675"/>
        <w:gridCol w:w="4675"/>
      </w:tblGrid>
      <w:tr w:rsidR="00A377AA" w:rsidRPr="00AE33AA" w14:paraId="33F82760" w14:textId="77777777" w:rsidTr="00A43626">
        <w:trPr>
          <w:tblHeader/>
        </w:trPr>
        <w:tc>
          <w:tcPr>
            <w:tcW w:w="4675" w:type="dxa"/>
            <w:shd w:val="clear" w:color="auto" w:fill="DEEAF6" w:themeFill="accent1" w:themeFillTint="33"/>
          </w:tcPr>
          <w:p w14:paraId="03EC117E" w14:textId="77777777" w:rsidR="00A377AA" w:rsidRPr="00AE33AA" w:rsidRDefault="00A377AA" w:rsidP="00CF3A95">
            <w:pPr>
              <w:spacing w:before="120" w:after="120"/>
              <w:rPr>
                <w:b/>
              </w:rPr>
            </w:pPr>
            <w:r w:rsidRPr="00AE33AA">
              <w:rPr>
                <w:b/>
              </w:rPr>
              <w:t>Veteran Burial Benefits</w:t>
            </w:r>
          </w:p>
        </w:tc>
        <w:tc>
          <w:tcPr>
            <w:tcW w:w="4675" w:type="dxa"/>
            <w:shd w:val="clear" w:color="auto" w:fill="DEEAF6" w:themeFill="accent1" w:themeFillTint="33"/>
          </w:tcPr>
          <w:p w14:paraId="1267D236" w14:textId="2EAC6A33" w:rsidR="00A377AA" w:rsidRPr="00AE33AA" w:rsidRDefault="00A377AA" w:rsidP="00CF3A95">
            <w:pPr>
              <w:spacing w:before="120" w:after="120"/>
              <w:rPr>
                <w:b/>
              </w:rPr>
            </w:pPr>
            <w:r w:rsidRPr="00AE33AA">
              <w:rPr>
                <w:b/>
              </w:rPr>
              <w:t>Eligibility Requirements</w:t>
            </w:r>
            <w:r>
              <w:rPr>
                <w:b/>
              </w:rPr>
              <w:t xml:space="preserve"> </w:t>
            </w:r>
            <w:r w:rsidR="00A43626">
              <w:rPr>
                <w:b/>
              </w:rPr>
              <w:t>or</w:t>
            </w:r>
            <w:r>
              <w:rPr>
                <w:b/>
              </w:rPr>
              <w:t xml:space="preserve"> Restrictions</w:t>
            </w:r>
          </w:p>
        </w:tc>
      </w:tr>
      <w:tr w:rsidR="00A377AA" w14:paraId="1ABD219D" w14:textId="77777777" w:rsidTr="00EE66A2">
        <w:tc>
          <w:tcPr>
            <w:tcW w:w="4675" w:type="dxa"/>
          </w:tcPr>
          <w:p w14:paraId="520B6BD6" w14:textId="77777777" w:rsidR="00A377AA" w:rsidRPr="007A20E0" w:rsidRDefault="00A377AA" w:rsidP="00EE66A2">
            <w:pPr>
              <w:spacing w:before="120"/>
              <w:rPr>
                <w:b/>
              </w:rPr>
            </w:pPr>
            <w:r w:rsidRPr="007A20E0">
              <w:rPr>
                <w:b/>
              </w:rPr>
              <w:t>Service-connected (SC) death</w:t>
            </w:r>
          </w:p>
          <w:p w14:paraId="1B34C20B" w14:textId="1CA2B549" w:rsidR="00A377AA" w:rsidRDefault="00A377AA" w:rsidP="00EE66A2">
            <w:pPr>
              <w:spacing w:before="120"/>
            </w:pPr>
            <w:r>
              <w:t xml:space="preserve">M21-1 </w:t>
            </w:r>
            <w:r w:rsidR="00CC30C0">
              <w:t>XI.iii</w:t>
            </w:r>
            <w:r>
              <w:t>.1.B.2</w:t>
            </w:r>
            <w:r w:rsidRPr="00A07F83">
              <w:t xml:space="preserve"> (SC Burial Allowance)</w:t>
            </w:r>
          </w:p>
          <w:p w14:paraId="5204D68B" w14:textId="77777777" w:rsidR="00A377AA" w:rsidRDefault="00A377AA" w:rsidP="00EE66A2">
            <w:pPr>
              <w:spacing w:before="120"/>
            </w:pPr>
          </w:p>
        </w:tc>
        <w:tc>
          <w:tcPr>
            <w:tcW w:w="4675" w:type="dxa"/>
          </w:tcPr>
          <w:p w14:paraId="28D3F4C9" w14:textId="77777777" w:rsidR="009B4908" w:rsidRPr="00225405" w:rsidRDefault="009B4908" w:rsidP="009B4908">
            <w:pPr>
              <w:rPr>
                <w:rFonts w:cstheme="minorHAnsi"/>
                <w:color w:val="000000"/>
              </w:rPr>
            </w:pPr>
            <w:r w:rsidRPr="00225405">
              <w:rPr>
                <w:rFonts w:cstheme="minorHAnsi"/>
                <w:color w:val="000000"/>
              </w:rPr>
              <w:br/>
              <w:t>A SC burial allowance is payable for Veterans</w:t>
            </w:r>
          </w:p>
          <w:p w14:paraId="66627E23" w14:textId="77777777" w:rsidR="009B4908" w:rsidRPr="00225405" w:rsidRDefault="009B4908" w:rsidP="009B4908">
            <w:pPr>
              <w:numPr>
                <w:ilvl w:val="0"/>
                <w:numId w:val="23"/>
              </w:numPr>
              <w:spacing w:before="100" w:beforeAutospacing="1" w:after="100" w:afterAutospacing="1"/>
              <w:ind w:right="240"/>
              <w:rPr>
                <w:rFonts w:cstheme="minorHAnsi"/>
                <w:color w:val="000000"/>
              </w:rPr>
            </w:pPr>
            <w:r w:rsidRPr="00225405">
              <w:rPr>
                <w:rFonts w:cstheme="minorHAnsi"/>
                <w:color w:val="000000"/>
              </w:rPr>
              <w:t xml:space="preserve">who died </w:t>
            </w:r>
            <w:proofErr w:type="gramStart"/>
            <w:r w:rsidRPr="00225405">
              <w:rPr>
                <w:rFonts w:cstheme="minorHAnsi"/>
                <w:color w:val="000000"/>
              </w:rPr>
              <w:t>as a result of</w:t>
            </w:r>
            <w:proofErr w:type="gramEnd"/>
            <w:r w:rsidRPr="00225405">
              <w:rPr>
                <w:rFonts w:cstheme="minorHAnsi"/>
                <w:color w:val="000000"/>
              </w:rPr>
              <w:t xml:space="preserve"> SC disability or disabilities (including </w:t>
            </w:r>
            <w:hyperlink r:id="rId15" w:tgtFrame="_blank" w:history="1">
              <w:r w:rsidRPr="00225405">
                <w:rPr>
                  <w:rStyle w:val="Hyperlink"/>
                  <w:rFonts w:cstheme="minorHAnsi"/>
                  <w:b/>
                  <w:bCs/>
                </w:rPr>
                <w:t>38 U.S.C. 1151</w:t>
              </w:r>
            </w:hyperlink>
            <w:r w:rsidRPr="00225405">
              <w:rPr>
                <w:rFonts w:cstheme="minorHAnsi"/>
                <w:color w:val="000000"/>
              </w:rPr>
              <w:t>)</w:t>
            </w:r>
          </w:p>
          <w:p w14:paraId="6B1EB9E4" w14:textId="77777777" w:rsidR="00225405" w:rsidRPr="00225405" w:rsidRDefault="009B4908" w:rsidP="00225405">
            <w:pPr>
              <w:numPr>
                <w:ilvl w:val="0"/>
                <w:numId w:val="23"/>
              </w:numPr>
              <w:spacing w:before="100" w:beforeAutospacing="1" w:after="100" w:afterAutospacing="1"/>
              <w:ind w:right="240"/>
              <w:rPr>
                <w:rFonts w:cstheme="minorHAnsi"/>
                <w:color w:val="000000"/>
              </w:rPr>
            </w:pPr>
            <w:r w:rsidRPr="00225405">
              <w:rPr>
                <w:rFonts w:cstheme="minorHAnsi"/>
                <w:color w:val="000000"/>
              </w:rPr>
              <w:t xml:space="preserve">who were rated totally disabled (100 percent) for an SC disability or disabilities at time of death (excluding IU), </w:t>
            </w:r>
            <w:proofErr w:type="gramStart"/>
            <w:r w:rsidRPr="00225405">
              <w:rPr>
                <w:rFonts w:cstheme="minorHAnsi"/>
                <w:color w:val="000000"/>
              </w:rPr>
              <w:t>or</w:t>
            </w:r>
            <w:proofErr w:type="gramEnd"/>
          </w:p>
          <w:p w14:paraId="00D5953F" w14:textId="14CE42E3" w:rsidR="001F25E7" w:rsidRPr="00225405" w:rsidRDefault="009B4908" w:rsidP="00225405">
            <w:pPr>
              <w:numPr>
                <w:ilvl w:val="0"/>
                <w:numId w:val="23"/>
              </w:numPr>
              <w:spacing w:before="100" w:beforeAutospacing="1" w:after="100" w:afterAutospacing="1"/>
              <w:ind w:right="240"/>
              <w:rPr>
                <w:rFonts w:cstheme="minorHAnsi"/>
                <w:color w:val="000000"/>
              </w:rPr>
            </w:pPr>
            <w:r w:rsidRPr="00225405">
              <w:rPr>
                <w:rFonts w:cstheme="minorHAnsi"/>
                <w:color w:val="000000"/>
              </w:rPr>
              <w:t>when Dependency and Indemnity Compensation (DIC) is granted (including DIC granted under </w:t>
            </w:r>
            <w:hyperlink r:id="rId16" w:tgtFrame="_blank" w:history="1">
              <w:r w:rsidRPr="00225405">
                <w:rPr>
                  <w:rStyle w:val="Hyperlink"/>
                  <w:rFonts w:cstheme="minorHAnsi"/>
                  <w:b/>
                  <w:bCs/>
                </w:rPr>
                <w:t>38 U.S.C. 1318</w:t>
              </w:r>
            </w:hyperlink>
            <w:r w:rsidRPr="00225405">
              <w:rPr>
                <w:rFonts w:cstheme="minorHAnsi"/>
                <w:color w:val="000000"/>
              </w:rPr>
              <w:t> or </w:t>
            </w:r>
            <w:hyperlink r:id="rId17" w:tgtFrame="_blank" w:history="1">
              <w:r w:rsidRPr="00225405">
                <w:rPr>
                  <w:rStyle w:val="Hyperlink"/>
                  <w:rFonts w:cstheme="minorHAnsi"/>
                  <w:b/>
                  <w:bCs/>
                </w:rPr>
                <w:t>38 U.S.C. 1151</w:t>
              </w:r>
            </w:hyperlink>
            <w:r w:rsidRPr="00225405">
              <w:rPr>
                <w:rFonts w:cstheme="minorHAnsi"/>
                <w:color w:val="000000"/>
              </w:rPr>
              <w:t>).</w:t>
            </w:r>
          </w:p>
          <w:p w14:paraId="356FBD47" w14:textId="1208F7C2" w:rsidR="00225405" w:rsidRPr="00225405" w:rsidRDefault="00225405" w:rsidP="00225405">
            <w:pPr>
              <w:shd w:val="clear" w:color="auto" w:fill="FFFFFF"/>
              <w:rPr>
                <w:rFonts w:eastAsia="Times New Roman" w:cstheme="minorHAnsi"/>
                <w:color w:val="000000"/>
              </w:rPr>
            </w:pPr>
            <w:r w:rsidRPr="00225405">
              <w:rPr>
                <w:rFonts w:eastAsia="Times New Roman" w:cstheme="minorHAnsi"/>
                <w:color w:val="000000"/>
              </w:rPr>
              <w:t>Unless VA has evidence on the date of receipt of the notice of the Veteran’s death that the burial expenses incurred were less, the VBA will pay the maximum SC burial allowance.</w:t>
            </w:r>
          </w:p>
        </w:tc>
      </w:tr>
      <w:tr w:rsidR="00A377AA" w14:paraId="08461500" w14:textId="77777777" w:rsidTr="00EE66A2">
        <w:tc>
          <w:tcPr>
            <w:tcW w:w="4675" w:type="dxa"/>
          </w:tcPr>
          <w:p w14:paraId="64BF4F30" w14:textId="46179BA5" w:rsidR="00A377AA" w:rsidRPr="007A20E0" w:rsidRDefault="00A377AA" w:rsidP="00EE66A2">
            <w:pPr>
              <w:spacing w:before="120"/>
              <w:rPr>
                <w:b/>
              </w:rPr>
            </w:pPr>
            <w:r w:rsidRPr="007A20E0">
              <w:rPr>
                <w:b/>
              </w:rPr>
              <w:t>Nonservice-connected (NSC) death</w:t>
            </w:r>
          </w:p>
          <w:p w14:paraId="1A4DC566" w14:textId="52AFAD02" w:rsidR="00A377AA" w:rsidRDefault="00A377AA" w:rsidP="0053452B">
            <w:pPr>
              <w:spacing w:before="120"/>
            </w:pPr>
            <w:r w:rsidRPr="00A07F83">
              <w:t xml:space="preserve">M21-1 </w:t>
            </w:r>
            <w:r w:rsidR="00DF75C2">
              <w:t>XI.iii</w:t>
            </w:r>
            <w:r w:rsidRPr="00A07F83">
              <w:t>.1.B.3</w:t>
            </w:r>
            <w:r>
              <w:t xml:space="preserve"> (NSC Burial Allowance</w:t>
            </w:r>
            <w:r w:rsidR="00051F24">
              <w:t>)</w:t>
            </w:r>
          </w:p>
        </w:tc>
        <w:tc>
          <w:tcPr>
            <w:tcW w:w="4675" w:type="dxa"/>
          </w:tcPr>
          <w:p w14:paraId="07B2039C" w14:textId="77777777" w:rsidR="00F15AA2" w:rsidRPr="00F15AA2" w:rsidRDefault="00F15AA2" w:rsidP="00F15AA2">
            <w:pPr>
              <w:shd w:val="clear" w:color="auto" w:fill="FFFFFF"/>
              <w:rPr>
                <w:rFonts w:eastAsia="Times New Roman" w:cstheme="minorHAnsi"/>
                <w:color w:val="000000"/>
              </w:rPr>
            </w:pPr>
            <w:r w:rsidRPr="00F15AA2">
              <w:rPr>
                <w:rFonts w:eastAsia="Times New Roman" w:cstheme="minorHAnsi"/>
                <w:color w:val="000000"/>
              </w:rPr>
              <w:t>Eligibility for the NSC burial allowance exists if the Veteran</w:t>
            </w:r>
          </w:p>
          <w:p w14:paraId="53412F0B" w14:textId="77777777" w:rsidR="00F15AA2" w:rsidRPr="00F15AA2" w:rsidRDefault="00F15AA2" w:rsidP="00F15AA2">
            <w:pPr>
              <w:numPr>
                <w:ilvl w:val="0"/>
                <w:numId w:val="24"/>
              </w:numPr>
              <w:shd w:val="clear" w:color="auto" w:fill="FFFFFF"/>
              <w:spacing w:before="100" w:beforeAutospacing="1" w:after="100" w:afterAutospacing="1"/>
              <w:ind w:right="240"/>
              <w:rPr>
                <w:rFonts w:eastAsia="Times New Roman" w:cstheme="minorHAnsi"/>
                <w:color w:val="000000"/>
              </w:rPr>
            </w:pPr>
            <w:r w:rsidRPr="00F15AA2">
              <w:rPr>
                <w:rFonts w:eastAsia="Times New Roman" w:cstheme="minorHAnsi"/>
                <w:color w:val="000000"/>
              </w:rPr>
              <w:t>was receiving pension or compensation at the time of death</w:t>
            </w:r>
          </w:p>
          <w:p w14:paraId="06B69BC1" w14:textId="77777777" w:rsidR="00F15AA2" w:rsidRPr="00F15AA2" w:rsidRDefault="00F15AA2" w:rsidP="00F15AA2">
            <w:pPr>
              <w:numPr>
                <w:ilvl w:val="0"/>
                <w:numId w:val="24"/>
              </w:numPr>
              <w:shd w:val="clear" w:color="auto" w:fill="FFFFFF"/>
              <w:spacing w:before="100" w:beforeAutospacing="1" w:after="100" w:afterAutospacing="1"/>
              <w:ind w:right="240"/>
              <w:rPr>
                <w:rFonts w:eastAsia="Times New Roman" w:cstheme="minorHAnsi"/>
                <w:color w:val="000000"/>
              </w:rPr>
            </w:pPr>
            <w:r w:rsidRPr="00F15AA2">
              <w:rPr>
                <w:rFonts w:eastAsia="Times New Roman" w:cstheme="minorHAnsi"/>
                <w:color w:val="000000"/>
              </w:rPr>
              <w:t>was receiving military retired pay in lieu of compensation at the time of death</w:t>
            </w:r>
          </w:p>
          <w:p w14:paraId="2681FE07" w14:textId="77777777" w:rsidR="00F15AA2" w:rsidRPr="00F15AA2" w:rsidRDefault="00F15AA2" w:rsidP="00F15AA2">
            <w:pPr>
              <w:numPr>
                <w:ilvl w:val="0"/>
                <w:numId w:val="24"/>
              </w:numPr>
              <w:shd w:val="clear" w:color="auto" w:fill="FFFFFF"/>
              <w:spacing w:before="100" w:beforeAutospacing="1" w:after="100" w:afterAutospacing="1"/>
              <w:ind w:right="240"/>
              <w:rPr>
                <w:rFonts w:eastAsia="Times New Roman" w:cstheme="minorHAnsi"/>
                <w:color w:val="000000"/>
              </w:rPr>
            </w:pPr>
            <w:r w:rsidRPr="00F15AA2">
              <w:rPr>
                <w:rFonts w:eastAsia="Times New Roman" w:cstheme="minorHAnsi"/>
                <w:color w:val="000000"/>
              </w:rPr>
              <w:t>had a claim pending at the time of death and has been found entitled to compensation or pension from a date prior to the date of death, or</w:t>
            </w:r>
          </w:p>
          <w:p w14:paraId="6B6B23B7" w14:textId="463EEEED" w:rsidR="00E2268A" w:rsidRPr="00F15AA2" w:rsidRDefault="00F15AA2" w:rsidP="00F15AA2">
            <w:pPr>
              <w:numPr>
                <w:ilvl w:val="0"/>
                <w:numId w:val="24"/>
              </w:numPr>
              <w:shd w:val="clear" w:color="auto" w:fill="FFFFFF"/>
              <w:spacing w:before="100" w:beforeAutospacing="1" w:after="100" w:afterAutospacing="1"/>
              <w:ind w:right="240"/>
              <w:rPr>
                <w:rFonts w:eastAsia="Times New Roman" w:cstheme="minorHAnsi"/>
                <w:color w:val="000000"/>
              </w:rPr>
            </w:pPr>
            <w:r w:rsidRPr="00F15AA2">
              <w:rPr>
                <w:rFonts w:eastAsia="Times New Roman" w:cstheme="minorHAnsi"/>
                <w:color w:val="000000"/>
              </w:rPr>
              <w:t>has no family or friends who claim the Veteran’s body and there are insufficient resources to cover burial and funeral expenses.</w:t>
            </w:r>
          </w:p>
        </w:tc>
      </w:tr>
      <w:tr w:rsidR="00A377AA" w14:paraId="0E4876FE" w14:textId="77777777" w:rsidTr="00EE66A2">
        <w:tc>
          <w:tcPr>
            <w:tcW w:w="4675" w:type="dxa"/>
          </w:tcPr>
          <w:p w14:paraId="03A05BAC" w14:textId="77777777" w:rsidR="00A377AA" w:rsidRPr="007A20E0" w:rsidRDefault="00A377AA" w:rsidP="00EE66A2">
            <w:pPr>
              <w:spacing w:before="120"/>
              <w:rPr>
                <w:b/>
              </w:rPr>
            </w:pPr>
            <w:r w:rsidRPr="007A20E0">
              <w:rPr>
                <w:b/>
              </w:rPr>
              <w:t>VA hospitalization death</w:t>
            </w:r>
          </w:p>
          <w:p w14:paraId="39E99194" w14:textId="5B1BB5FA" w:rsidR="00A377AA" w:rsidRDefault="00A377AA" w:rsidP="00EE66A2">
            <w:pPr>
              <w:spacing w:before="120"/>
            </w:pPr>
            <w:r w:rsidRPr="00A07F83">
              <w:t xml:space="preserve">M21-1 </w:t>
            </w:r>
            <w:r w:rsidR="00CC22DA">
              <w:t>XI.iii</w:t>
            </w:r>
            <w:r w:rsidRPr="00A07F83">
              <w:t>.1.B.4</w:t>
            </w:r>
            <w:r>
              <w:t xml:space="preserve"> (</w:t>
            </w:r>
            <w:r w:rsidRPr="00A07F83">
              <w:t xml:space="preserve">Veterans Affairs </w:t>
            </w:r>
            <w:r>
              <w:t>[</w:t>
            </w:r>
            <w:r w:rsidRPr="00A07F83">
              <w:t>VA</w:t>
            </w:r>
            <w:r>
              <w:t>]</w:t>
            </w:r>
            <w:r w:rsidRPr="00A07F83">
              <w:t xml:space="preserve"> Hospitalization Death Burial Allowance</w:t>
            </w:r>
            <w:r>
              <w:t>)</w:t>
            </w:r>
          </w:p>
        </w:tc>
        <w:tc>
          <w:tcPr>
            <w:tcW w:w="4675" w:type="dxa"/>
          </w:tcPr>
          <w:p w14:paraId="6FF2A7AD" w14:textId="77777777" w:rsidR="00CC22DA" w:rsidRPr="00CC22DA" w:rsidRDefault="00CC22DA" w:rsidP="00CC22DA">
            <w:pPr>
              <w:shd w:val="clear" w:color="auto" w:fill="FFFFFF"/>
              <w:rPr>
                <w:rFonts w:eastAsia="Times New Roman" w:cstheme="minorHAnsi"/>
                <w:color w:val="000000"/>
              </w:rPr>
            </w:pPr>
            <w:r w:rsidRPr="00CC22DA">
              <w:rPr>
                <w:rFonts w:eastAsia="Times New Roman" w:cstheme="minorHAnsi"/>
                <w:color w:val="000000"/>
              </w:rPr>
              <w:t>Eligibility for the VA hospitalization death burial allowance exists if the Veteran</w:t>
            </w:r>
          </w:p>
          <w:p w14:paraId="4B1779C7" w14:textId="77777777" w:rsidR="00CC22DA" w:rsidRPr="00CC22DA" w:rsidRDefault="00CC22DA" w:rsidP="00CC22DA">
            <w:pPr>
              <w:numPr>
                <w:ilvl w:val="0"/>
                <w:numId w:val="25"/>
              </w:numPr>
              <w:shd w:val="clear" w:color="auto" w:fill="FFFFFF"/>
              <w:spacing w:before="100" w:beforeAutospacing="1" w:after="100" w:afterAutospacing="1"/>
              <w:ind w:right="240"/>
              <w:rPr>
                <w:rFonts w:eastAsia="Times New Roman" w:cstheme="minorHAnsi"/>
                <w:color w:val="000000"/>
              </w:rPr>
            </w:pPr>
            <w:r w:rsidRPr="00CC22DA">
              <w:rPr>
                <w:rFonts w:eastAsia="Times New Roman" w:cstheme="minorHAnsi"/>
                <w:color w:val="000000"/>
              </w:rPr>
              <w:t>was hospitalized by VA at the time of death, or</w:t>
            </w:r>
          </w:p>
          <w:p w14:paraId="5EA7B0B7" w14:textId="77777777" w:rsidR="00CC22DA" w:rsidRPr="00CC22DA" w:rsidRDefault="00CC22DA" w:rsidP="00CC22DA">
            <w:pPr>
              <w:numPr>
                <w:ilvl w:val="0"/>
                <w:numId w:val="25"/>
              </w:numPr>
              <w:shd w:val="clear" w:color="auto" w:fill="FFFFFF"/>
              <w:spacing w:before="100" w:beforeAutospacing="1" w:after="100" w:afterAutospacing="1"/>
              <w:ind w:right="240"/>
              <w:rPr>
                <w:rFonts w:eastAsia="Times New Roman" w:cstheme="minorHAnsi"/>
                <w:color w:val="000000"/>
              </w:rPr>
            </w:pPr>
            <w:r w:rsidRPr="00CC22DA">
              <w:rPr>
                <w:rFonts w:eastAsia="Times New Roman" w:cstheme="minorHAnsi"/>
                <w:color w:val="000000"/>
              </w:rPr>
              <w:t>died while</w:t>
            </w:r>
          </w:p>
          <w:p w14:paraId="62334C1F" w14:textId="77777777" w:rsidR="00CC22DA" w:rsidRPr="00CC22DA" w:rsidRDefault="00CC22DA" w:rsidP="00CC22DA">
            <w:pPr>
              <w:numPr>
                <w:ilvl w:val="1"/>
                <w:numId w:val="25"/>
              </w:numPr>
              <w:shd w:val="clear" w:color="auto" w:fill="FFFFFF"/>
              <w:spacing w:before="100" w:beforeAutospacing="1" w:after="100" w:afterAutospacing="1"/>
              <w:ind w:right="480"/>
              <w:rPr>
                <w:rFonts w:eastAsia="Times New Roman" w:cstheme="minorHAnsi"/>
                <w:color w:val="000000"/>
              </w:rPr>
            </w:pPr>
            <w:r w:rsidRPr="00CC22DA">
              <w:rPr>
                <w:rFonts w:eastAsia="Times New Roman" w:cstheme="minorHAnsi"/>
                <w:color w:val="000000"/>
              </w:rPr>
              <w:t>hospitalized under VA contract at a non-VA facility</w:t>
            </w:r>
          </w:p>
          <w:p w14:paraId="64FC33D3" w14:textId="77777777" w:rsidR="00CC22DA" w:rsidRPr="00CC22DA" w:rsidRDefault="00CC22DA" w:rsidP="00CC22DA">
            <w:pPr>
              <w:numPr>
                <w:ilvl w:val="1"/>
                <w:numId w:val="25"/>
              </w:numPr>
              <w:shd w:val="clear" w:color="auto" w:fill="FFFFFF"/>
              <w:spacing w:before="100" w:beforeAutospacing="1" w:after="100" w:afterAutospacing="1"/>
              <w:ind w:right="480"/>
              <w:rPr>
                <w:rFonts w:eastAsia="Times New Roman" w:cstheme="minorHAnsi"/>
                <w:color w:val="000000"/>
              </w:rPr>
            </w:pPr>
            <w:r w:rsidRPr="00CC22DA">
              <w:rPr>
                <w:rFonts w:eastAsia="Times New Roman" w:cstheme="minorHAnsi"/>
                <w:color w:val="000000"/>
              </w:rPr>
              <w:lastRenderedPageBreak/>
              <w:t>traveling, under proper authorization and at VA expense, to or from a specified place for the purpose of examination, treatment, or care, or</w:t>
            </w:r>
          </w:p>
          <w:p w14:paraId="3A5D1B71" w14:textId="77777777" w:rsidR="00CC22DA" w:rsidRPr="00CC22DA" w:rsidRDefault="00CC22DA" w:rsidP="00CC22DA">
            <w:pPr>
              <w:numPr>
                <w:ilvl w:val="1"/>
                <w:numId w:val="25"/>
              </w:numPr>
              <w:shd w:val="clear" w:color="auto" w:fill="FFFFFF"/>
              <w:spacing w:before="100" w:beforeAutospacing="1" w:after="100" w:afterAutospacing="1"/>
              <w:ind w:right="480"/>
              <w:rPr>
                <w:rFonts w:eastAsia="Times New Roman" w:cstheme="minorHAnsi"/>
                <w:color w:val="000000"/>
              </w:rPr>
            </w:pPr>
            <w:r w:rsidRPr="00CC22DA">
              <w:rPr>
                <w:rFonts w:eastAsia="Times New Roman" w:cstheme="minorHAnsi"/>
                <w:color w:val="000000"/>
              </w:rPr>
              <w:t>a patient at an approved State Veterans’ home. </w:t>
            </w:r>
          </w:p>
          <w:p w14:paraId="20F28635" w14:textId="77777777" w:rsidR="00CC22DA" w:rsidRPr="00CC22DA" w:rsidRDefault="00CC22DA" w:rsidP="00CC22DA">
            <w:pPr>
              <w:shd w:val="clear" w:color="auto" w:fill="FFFFFF"/>
              <w:rPr>
                <w:rFonts w:eastAsia="Times New Roman" w:cstheme="minorHAnsi"/>
                <w:color w:val="000000"/>
              </w:rPr>
            </w:pPr>
            <w:r w:rsidRPr="00CC22DA">
              <w:rPr>
                <w:rFonts w:eastAsia="Times New Roman" w:cstheme="minorHAnsi"/>
                <w:color w:val="000000"/>
              </w:rPr>
              <w:t>VBA </w:t>
            </w:r>
            <w:r w:rsidRPr="00CC22DA">
              <w:rPr>
                <w:rFonts w:eastAsia="Times New Roman" w:cstheme="minorHAnsi"/>
                <w:b/>
                <w:bCs/>
                <w:i/>
                <w:iCs/>
                <w:color w:val="000000"/>
              </w:rPr>
              <w:t>may </w:t>
            </w:r>
            <w:r w:rsidRPr="00CC22DA">
              <w:rPr>
                <w:rFonts w:eastAsia="Times New Roman" w:cstheme="minorHAnsi"/>
                <w:color w:val="000000"/>
              </w:rPr>
              <w:t>pay the following allowances in addition to the VA hospitalization death burial allowance:</w:t>
            </w:r>
          </w:p>
          <w:p w14:paraId="13137606" w14:textId="77777777" w:rsidR="00CC22DA" w:rsidRPr="00CC22DA" w:rsidRDefault="00CC22DA" w:rsidP="00CC22DA">
            <w:pPr>
              <w:numPr>
                <w:ilvl w:val="0"/>
                <w:numId w:val="26"/>
              </w:numPr>
              <w:shd w:val="clear" w:color="auto" w:fill="FFFFFF"/>
              <w:spacing w:before="100" w:beforeAutospacing="1" w:after="100" w:afterAutospacing="1"/>
              <w:ind w:right="240"/>
              <w:rPr>
                <w:rFonts w:eastAsia="Times New Roman" w:cstheme="minorHAnsi"/>
                <w:color w:val="000000"/>
              </w:rPr>
            </w:pPr>
            <w:r w:rsidRPr="00CC22DA">
              <w:rPr>
                <w:rFonts w:eastAsia="Times New Roman" w:cstheme="minorHAnsi"/>
                <w:color w:val="000000"/>
              </w:rPr>
              <w:t>plot or interment allowance, and/or</w:t>
            </w:r>
          </w:p>
          <w:p w14:paraId="0218D8F9" w14:textId="0C684BFF" w:rsidR="00A377AA" w:rsidRPr="00DA3CF8" w:rsidRDefault="00CC22DA" w:rsidP="00DA3CF8">
            <w:pPr>
              <w:numPr>
                <w:ilvl w:val="0"/>
                <w:numId w:val="26"/>
              </w:numPr>
              <w:shd w:val="clear" w:color="auto" w:fill="FFFFFF"/>
              <w:spacing w:before="100" w:beforeAutospacing="1" w:after="100" w:afterAutospacing="1"/>
              <w:ind w:right="240"/>
              <w:rPr>
                <w:rFonts w:eastAsia="Times New Roman" w:cstheme="minorHAnsi"/>
                <w:color w:val="000000"/>
              </w:rPr>
            </w:pPr>
            <w:r w:rsidRPr="00CC22DA">
              <w:rPr>
                <w:rFonts w:eastAsia="Times New Roman" w:cstheme="minorHAnsi"/>
                <w:color w:val="000000"/>
              </w:rPr>
              <w:t>reimbursement for transportation expenses or costs incurred. </w:t>
            </w:r>
          </w:p>
        </w:tc>
      </w:tr>
      <w:tr w:rsidR="00A377AA" w14:paraId="1B38C05E" w14:textId="77777777" w:rsidTr="00EE66A2">
        <w:trPr>
          <w:cantSplit/>
        </w:trPr>
        <w:tc>
          <w:tcPr>
            <w:tcW w:w="4675" w:type="dxa"/>
          </w:tcPr>
          <w:p w14:paraId="0D099A0A" w14:textId="77777777" w:rsidR="00A377AA" w:rsidRPr="007A20E0" w:rsidRDefault="00A377AA" w:rsidP="00EE66A2">
            <w:pPr>
              <w:spacing w:before="120"/>
              <w:rPr>
                <w:b/>
              </w:rPr>
            </w:pPr>
            <w:r w:rsidRPr="007A20E0">
              <w:rPr>
                <w:b/>
              </w:rPr>
              <w:lastRenderedPageBreak/>
              <w:t>Plot or interment allowance</w:t>
            </w:r>
          </w:p>
          <w:p w14:paraId="446718BF" w14:textId="1EA85BC8" w:rsidR="00A377AA" w:rsidRPr="00AE33AA" w:rsidRDefault="00A377AA" w:rsidP="00EE66A2">
            <w:pPr>
              <w:spacing w:before="120"/>
            </w:pPr>
            <w:r w:rsidRPr="00A07F83">
              <w:t xml:space="preserve">M21-1 </w:t>
            </w:r>
            <w:r w:rsidR="0017504D">
              <w:t>XI.iii</w:t>
            </w:r>
            <w:r w:rsidRPr="00A07F83">
              <w:t>.1.B.5 (Plot or Interment Allowance)</w:t>
            </w:r>
          </w:p>
        </w:tc>
        <w:tc>
          <w:tcPr>
            <w:tcW w:w="4675" w:type="dxa"/>
          </w:tcPr>
          <w:p w14:paraId="4CB98355" w14:textId="77777777" w:rsidR="00820EBA" w:rsidRPr="00820EBA" w:rsidRDefault="00820EBA" w:rsidP="00820EBA">
            <w:pPr>
              <w:numPr>
                <w:ilvl w:val="0"/>
                <w:numId w:val="27"/>
              </w:numPr>
              <w:shd w:val="clear" w:color="auto" w:fill="FFFFFF"/>
              <w:spacing w:before="100" w:beforeAutospacing="1" w:after="100" w:afterAutospacing="1"/>
              <w:ind w:right="240"/>
              <w:rPr>
                <w:rFonts w:cstheme="minorHAnsi"/>
                <w:color w:val="000000"/>
              </w:rPr>
            </w:pPr>
            <w:r w:rsidRPr="00820EBA">
              <w:rPr>
                <w:rFonts w:cstheme="minorHAnsi"/>
              </w:rPr>
              <w:t xml:space="preserve">VBA will </w:t>
            </w:r>
            <w:r w:rsidRPr="00820EBA">
              <w:rPr>
                <w:rFonts w:cstheme="minorHAnsi"/>
                <w:color w:val="000000"/>
              </w:rPr>
              <w:t>pay the maximum allowance payable to a State, government agency, or political subdivision when the burial is provided without charge in a State Veterans cemetery or other cemetery listed in </w:t>
            </w:r>
            <w:hyperlink r:id="rId18" w:tgtFrame="_blank" w:history="1">
              <w:r w:rsidRPr="00820EBA">
                <w:rPr>
                  <w:rStyle w:val="Hyperlink"/>
                  <w:rFonts w:cstheme="minorHAnsi"/>
                  <w:b/>
                  <w:bCs/>
                </w:rPr>
                <w:t>38 CFR 3.1707</w:t>
              </w:r>
            </w:hyperlink>
            <w:r w:rsidRPr="00820EBA">
              <w:rPr>
                <w:rFonts w:cstheme="minorHAnsi"/>
                <w:color w:val="000000"/>
              </w:rPr>
              <w:t>.</w:t>
            </w:r>
          </w:p>
          <w:p w14:paraId="044D0EAD" w14:textId="45C37E5C" w:rsidR="00A377AA" w:rsidRDefault="00820EBA" w:rsidP="00820EBA">
            <w:pPr>
              <w:numPr>
                <w:ilvl w:val="0"/>
                <w:numId w:val="27"/>
              </w:numPr>
              <w:shd w:val="clear" w:color="auto" w:fill="FFFFFF"/>
              <w:spacing w:before="100" w:beforeAutospacing="1" w:after="100" w:afterAutospacing="1"/>
              <w:ind w:right="240"/>
            </w:pPr>
            <w:r w:rsidRPr="00820EBA">
              <w:rPr>
                <w:rFonts w:cstheme="minorHAnsi"/>
                <w:color w:val="000000"/>
              </w:rPr>
              <w:t>The section entitled </w:t>
            </w:r>
            <w:r w:rsidRPr="00820EBA">
              <w:rPr>
                <w:rStyle w:val="Emphasis"/>
                <w:rFonts w:cstheme="minorHAnsi"/>
                <w:color w:val="000000"/>
              </w:rPr>
              <w:t>Claim for Plot or Interment Allowance </w:t>
            </w:r>
            <w:r w:rsidRPr="00820EBA">
              <w:rPr>
                <w:rFonts w:cstheme="minorHAnsi"/>
                <w:color w:val="000000"/>
              </w:rPr>
              <w:t>on </w:t>
            </w:r>
            <w:hyperlink r:id="rId19" w:tgtFrame="_blank" w:history="1">
              <w:r w:rsidRPr="00820EBA">
                <w:rPr>
                  <w:rStyle w:val="Hyperlink"/>
                  <w:rFonts w:cstheme="minorHAnsi"/>
                  <w:b/>
                  <w:bCs/>
                  <w:i/>
                  <w:iCs/>
                </w:rPr>
                <w:t>VA Form 21P-530</w:t>
              </w:r>
            </w:hyperlink>
            <w:r w:rsidRPr="00820EBA">
              <w:rPr>
                <w:rFonts w:cstheme="minorHAnsi"/>
                <w:color w:val="000000"/>
              </w:rPr>
              <w:t> or </w:t>
            </w:r>
            <w:hyperlink r:id="rId20" w:tgtFrame="_blank" w:history="1">
              <w:r w:rsidRPr="00820EBA">
                <w:rPr>
                  <w:rStyle w:val="Hyperlink"/>
                  <w:rFonts w:cstheme="minorHAnsi"/>
                  <w:b/>
                  <w:bCs/>
                  <w:i/>
                  <w:iCs/>
                </w:rPr>
                <w:t>VA Form 21P-530EZ</w:t>
              </w:r>
            </w:hyperlink>
            <w:r w:rsidRPr="00820EBA">
              <w:rPr>
                <w:rFonts w:cstheme="minorHAnsi"/>
                <w:color w:val="000000"/>
              </w:rPr>
              <w:t xml:space="preserve">, must be completed in order to pay plot or interment </w:t>
            </w:r>
            <w:r>
              <w:rPr>
                <w:rFonts w:cstheme="minorHAnsi"/>
                <w:color w:val="000000"/>
              </w:rPr>
              <w:t>allowance</w:t>
            </w:r>
            <w:r>
              <w:rPr>
                <w:rFonts w:ascii="Arial" w:hAnsi="Arial" w:cs="Arial"/>
                <w:color w:val="000000"/>
                <w:sz w:val="21"/>
                <w:szCs w:val="21"/>
              </w:rPr>
              <w:t>.</w:t>
            </w:r>
          </w:p>
        </w:tc>
      </w:tr>
      <w:tr w:rsidR="00A377AA" w14:paraId="3C69ADF8" w14:textId="77777777" w:rsidTr="00E24B08">
        <w:trPr>
          <w:cantSplit/>
        </w:trPr>
        <w:tc>
          <w:tcPr>
            <w:tcW w:w="4675" w:type="dxa"/>
          </w:tcPr>
          <w:p w14:paraId="6B388E7E" w14:textId="77777777" w:rsidR="00A377AA" w:rsidRPr="007A20E0" w:rsidRDefault="00A377AA" w:rsidP="00EE66A2">
            <w:pPr>
              <w:spacing w:before="120"/>
              <w:rPr>
                <w:b/>
              </w:rPr>
            </w:pPr>
            <w:r w:rsidRPr="007A20E0">
              <w:rPr>
                <w:b/>
              </w:rPr>
              <w:lastRenderedPageBreak/>
              <w:t>Transportation reimbursement</w:t>
            </w:r>
          </w:p>
          <w:p w14:paraId="73BF6863" w14:textId="21AF9C9E" w:rsidR="00A377AA" w:rsidRDefault="00A377AA" w:rsidP="00EE66A2">
            <w:pPr>
              <w:spacing w:before="120"/>
            </w:pPr>
            <w:r w:rsidRPr="00A07F83">
              <w:t xml:space="preserve">M21-1 </w:t>
            </w:r>
            <w:r w:rsidR="002637E5">
              <w:t>XI.iii</w:t>
            </w:r>
            <w:r w:rsidRPr="00A07F83">
              <w:t>.1.B.6 (Transportation Reimbursement)</w:t>
            </w:r>
          </w:p>
        </w:tc>
        <w:tc>
          <w:tcPr>
            <w:tcW w:w="4675" w:type="dxa"/>
          </w:tcPr>
          <w:p w14:paraId="24290227" w14:textId="77777777" w:rsidR="00CD48DA" w:rsidRPr="00CD48DA" w:rsidRDefault="00CD48DA" w:rsidP="00CD48DA">
            <w:pPr>
              <w:shd w:val="clear" w:color="auto" w:fill="FFFFFF"/>
              <w:rPr>
                <w:rFonts w:eastAsia="Times New Roman" w:cstheme="minorHAnsi"/>
                <w:color w:val="000000"/>
              </w:rPr>
            </w:pPr>
            <w:r w:rsidRPr="00CD48DA">
              <w:rPr>
                <w:rFonts w:eastAsia="Times New Roman" w:cstheme="minorHAnsi"/>
                <w:color w:val="000000"/>
              </w:rPr>
              <w:t>VBA will reimburse the costs incurred to transport a Veteran's remains for burial in a national cemetery if the Veteran</w:t>
            </w:r>
          </w:p>
          <w:p w14:paraId="5444693C" w14:textId="77777777" w:rsidR="00CD48DA" w:rsidRPr="00CD48DA" w:rsidRDefault="00CD48DA" w:rsidP="00CD48DA">
            <w:pPr>
              <w:numPr>
                <w:ilvl w:val="0"/>
                <w:numId w:val="28"/>
              </w:numPr>
              <w:shd w:val="clear" w:color="auto" w:fill="FFFFFF"/>
              <w:spacing w:before="100" w:beforeAutospacing="1" w:after="100" w:afterAutospacing="1"/>
              <w:ind w:right="240"/>
              <w:rPr>
                <w:rFonts w:eastAsia="Times New Roman" w:cstheme="minorHAnsi"/>
                <w:color w:val="000000"/>
              </w:rPr>
            </w:pPr>
            <w:r w:rsidRPr="00CD48DA">
              <w:rPr>
                <w:rFonts w:eastAsia="Times New Roman" w:cstheme="minorHAnsi"/>
                <w:color w:val="000000"/>
              </w:rPr>
              <w:t>died as the result of an SC disability</w:t>
            </w:r>
          </w:p>
          <w:p w14:paraId="5F85FF2F" w14:textId="77777777" w:rsidR="00CD48DA" w:rsidRPr="00CD48DA" w:rsidRDefault="00CD48DA" w:rsidP="00CD48DA">
            <w:pPr>
              <w:numPr>
                <w:ilvl w:val="0"/>
                <w:numId w:val="28"/>
              </w:numPr>
              <w:shd w:val="clear" w:color="auto" w:fill="FFFFFF"/>
              <w:spacing w:before="100" w:beforeAutospacing="1" w:after="100" w:afterAutospacing="1"/>
              <w:ind w:right="240"/>
              <w:rPr>
                <w:rFonts w:eastAsia="Times New Roman" w:cstheme="minorHAnsi"/>
                <w:color w:val="000000"/>
              </w:rPr>
            </w:pPr>
            <w:r w:rsidRPr="00CD48DA">
              <w:rPr>
                <w:rFonts w:eastAsia="Times New Roman" w:cstheme="minorHAnsi"/>
                <w:color w:val="000000"/>
              </w:rPr>
              <w:t>was receiving SC disability compensation on the date of death</w:t>
            </w:r>
          </w:p>
          <w:p w14:paraId="329B867E" w14:textId="77777777" w:rsidR="00CD48DA" w:rsidRPr="00CD48DA" w:rsidRDefault="00CD48DA" w:rsidP="00CD48DA">
            <w:pPr>
              <w:numPr>
                <w:ilvl w:val="0"/>
                <w:numId w:val="28"/>
              </w:numPr>
              <w:shd w:val="clear" w:color="auto" w:fill="FFFFFF"/>
              <w:spacing w:before="100" w:beforeAutospacing="1" w:after="100" w:afterAutospacing="1"/>
              <w:ind w:right="240"/>
              <w:rPr>
                <w:rFonts w:eastAsia="Times New Roman" w:cstheme="minorHAnsi"/>
                <w:color w:val="000000"/>
              </w:rPr>
            </w:pPr>
            <w:r w:rsidRPr="00CD48DA">
              <w:rPr>
                <w:rFonts w:eastAsia="Times New Roman" w:cstheme="minorHAnsi"/>
                <w:color w:val="000000"/>
              </w:rPr>
              <w:t>would have been receiving SC disability compensation on the date of death but for the receipt of military retired pay or VA pension</w:t>
            </w:r>
          </w:p>
          <w:p w14:paraId="13835024" w14:textId="77777777" w:rsidR="00CD48DA" w:rsidRPr="00CD48DA" w:rsidRDefault="00CD48DA" w:rsidP="00CD48DA">
            <w:pPr>
              <w:numPr>
                <w:ilvl w:val="0"/>
                <w:numId w:val="28"/>
              </w:numPr>
              <w:shd w:val="clear" w:color="auto" w:fill="FFFFFF"/>
              <w:spacing w:before="100" w:beforeAutospacing="1" w:after="100" w:afterAutospacing="1"/>
              <w:ind w:right="240"/>
              <w:rPr>
                <w:rFonts w:eastAsia="Times New Roman" w:cstheme="minorHAnsi"/>
                <w:color w:val="000000"/>
              </w:rPr>
            </w:pPr>
            <w:r w:rsidRPr="00CD48DA">
              <w:rPr>
                <w:rFonts w:eastAsia="Times New Roman" w:cstheme="minorHAnsi"/>
                <w:color w:val="000000"/>
              </w:rPr>
              <w:t>is later determined by VA to have been entitled to SC disability compensation  from a date before the Veteran’s death, or</w:t>
            </w:r>
          </w:p>
          <w:p w14:paraId="660DD9CE" w14:textId="49EFBE6D" w:rsidR="00D54002" w:rsidRPr="00CD48DA" w:rsidRDefault="00CD48DA" w:rsidP="00CD48DA">
            <w:pPr>
              <w:numPr>
                <w:ilvl w:val="0"/>
                <w:numId w:val="28"/>
              </w:numPr>
              <w:shd w:val="clear" w:color="auto" w:fill="FFFFFF"/>
              <w:spacing w:before="100" w:beforeAutospacing="1" w:after="100" w:afterAutospacing="1"/>
              <w:ind w:right="240"/>
              <w:rPr>
                <w:rFonts w:ascii="Arial" w:eastAsia="Times New Roman" w:hAnsi="Arial" w:cs="Arial"/>
                <w:color w:val="000000"/>
                <w:sz w:val="24"/>
                <w:szCs w:val="24"/>
              </w:rPr>
            </w:pPr>
            <w:r w:rsidRPr="00CD48DA">
              <w:rPr>
                <w:rFonts w:eastAsia="Times New Roman" w:cstheme="minorHAnsi"/>
                <w:color w:val="000000"/>
              </w:rPr>
              <w:t>remains are unclaimed.</w:t>
            </w:r>
            <w:r w:rsidRPr="00CD48DA">
              <w:rPr>
                <w:rFonts w:ascii="Arial" w:eastAsia="Times New Roman" w:hAnsi="Arial" w:cs="Arial"/>
                <w:color w:val="000000"/>
                <w:sz w:val="21"/>
                <w:szCs w:val="21"/>
              </w:rPr>
              <w:t> </w:t>
            </w:r>
          </w:p>
        </w:tc>
      </w:tr>
      <w:tr w:rsidR="00A377AA" w14:paraId="15B3D098" w14:textId="77777777" w:rsidTr="00EE66A2">
        <w:tc>
          <w:tcPr>
            <w:tcW w:w="4675" w:type="dxa"/>
          </w:tcPr>
          <w:p w14:paraId="3D43DFC8" w14:textId="759F2554" w:rsidR="00A377AA" w:rsidRPr="007A20E0" w:rsidRDefault="00A377AA" w:rsidP="00EE66A2">
            <w:pPr>
              <w:spacing w:before="120"/>
              <w:rPr>
                <w:b/>
              </w:rPr>
            </w:pPr>
            <w:r w:rsidRPr="007A20E0">
              <w:rPr>
                <w:b/>
              </w:rPr>
              <w:t>Burial of Veterans unclaimed remains</w:t>
            </w:r>
          </w:p>
          <w:p w14:paraId="6FECC994" w14:textId="38F8D31E" w:rsidR="00A377AA" w:rsidRDefault="00A377AA" w:rsidP="00EE66A2">
            <w:pPr>
              <w:spacing w:before="120"/>
            </w:pPr>
            <w:r w:rsidRPr="007A20E0">
              <w:t xml:space="preserve">M21-1 </w:t>
            </w:r>
            <w:r w:rsidR="0099319B">
              <w:t>XI.iii</w:t>
            </w:r>
            <w:r w:rsidRPr="007A20E0">
              <w:t>.1.B.7 (Burial of Veterans Unclaimed Remains)</w:t>
            </w:r>
          </w:p>
        </w:tc>
        <w:tc>
          <w:tcPr>
            <w:tcW w:w="4675" w:type="dxa"/>
          </w:tcPr>
          <w:p w14:paraId="6F690B53" w14:textId="77777777" w:rsidR="00F64BE8" w:rsidRPr="00F64BE8" w:rsidRDefault="00F64BE8" w:rsidP="00F64BE8">
            <w:pPr>
              <w:shd w:val="clear" w:color="auto" w:fill="FFFFFF"/>
              <w:rPr>
                <w:rFonts w:eastAsia="Times New Roman" w:cstheme="minorHAnsi"/>
                <w:color w:val="000000"/>
              </w:rPr>
            </w:pPr>
            <w:r w:rsidRPr="00F64BE8">
              <w:rPr>
                <w:rFonts w:eastAsia="Times New Roman" w:cstheme="minorHAnsi"/>
                <w:color w:val="000000"/>
              </w:rPr>
              <w:t>NSC burial allowance is payable for a Veteran if</w:t>
            </w:r>
          </w:p>
          <w:p w14:paraId="2BE4738E" w14:textId="77777777" w:rsidR="00F64BE8" w:rsidRPr="00F64BE8" w:rsidRDefault="00F64BE8" w:rsidP="00F64BE8">
            <w:pPr>
              <w:numPr>
                <w:ilvl w:val="0"/>
                <w:numId w:val="29"/>
              </w:numPr>
              <w:shd w:val="clear" w:color="auto" w:fill="FFFFFF"/>
              <w:spacing w:before="100" w:beforeAutospacing="1" w:after="100" w:afterAutospacing="1"/>
              <w:ind w:right="240"/>
              <w:rPr>
                <w:rFonts w:eastAsia="Times New Roman" w:cstheme="minorHAnsi"/>
                <w:color w:val="000000"/>
              </w:rPr>
            </w:pPr>
            <w:r w:rsidRPr="00F64BE8">
              <w:rPr>
                <w:rFonts w:eastAsia="Times New Roman" w:cstheme="minorHAnsi"/>
                <w:color w:val="000000"/>
              </w:rPr>
              <w:t>the remains of the deceased Veteran are unclaimed, and</w:t>
            </w:r>
          </w:p>
          <w:p w14:paraId="7631D77D" w14:textId="77777777" w:rsidR="00F64BE8" w:rsidRPr="00F64BE8" w:rsidRDefault="00F64BE8" w:rsidP="00F64BE8">
            <w:pPr>
              <w:numPr>
                <w:ilvl w:val="0"/>
                <w:numId w:val="29"/>
              </w:numPr>
              <w:shd w:val="clear" w:color="auto" w:fill="FFFFFF"/>
              <w:spacing w:before="100" w:beforeAutospacing="1" w:after="100" w:afterAutospacing="1"/>
              <w:ind w:right="240"/>
              <w:rPr>
                <w:rFonts w:eastAsia="Times New Roman" w:cstheme="minorHAnsi"/>
                <w:color w:val="000000"/>
              </w:rPr>
            </w:pPr>
            <w:r w:rsidRPr="00F64BE8">
              <w:rPr>
                <w:rFonts w:eastAsia="Times New Roman" w:cstheme="minorHAnsi"/>
                <w:color w:val="000000"/>
              </w:rPr>
              <w:t>there are insufficient resources available in the Veteran’s estate to cover the burial and funeral expenses.  </w:t>
            </w:r>
          </w:p>
          <w:p w14:paraId="7124CC7F" w14:textId="77777777" w:rsidR="00F64BE8" w:rsidRPr="00F64BE8" w:rsidRDefault="00F64BE8" w:rsidP="00F64BE8">
            <w:pPr>
              <w:shd w:val="clear" w:color="auto" w:fill="FFFFFF"/>
              <w:rPr>
                <w:rFonts w:eastAsia="Times New Roman" w:cstheme="minorHAnsi"/>
                <w:color w:val="000000"/>
              </w:rPr>
            </w:pPr>
            <w:r w:rsidRPr="00F64BE8">
              <w:rPr>
                <w:rFonts w:eastAsia="Times New Roman" w:cstheme="minorHAnsi"/>
                <w:color w:val="000000"/>
              </w:rPr>
              <w:t>Effective July 7, 2014, for unclaimed remains, VBA no longer requires</w:t>
            </w:r>
          </w:p>
          <w:p w14:paraId="0DE60612" w14:textId="77777777" w:rsidR="00A27435" w:rsidRPr="00A27435" w:rsidRDefault="00A27435" w:rsidP="00A27435">
            <w:pPr>
              <w:numPr>
                <w:ilvl w:val="0"/>
                <w:numId w:val="31"/>
              </w:numPr>
              <w:shd w:val="clear" w:color="auto" w:fill="FFFFFF"/>
              <w:spacing w:before="100" w:beforeAutospacing="1" w:after="100" w:afterAutospacing="1"/>
              <w:ind w:right="240"/>
              <w:rPr>
                <w:rFonts w:eastAsia="Times New Roman" w:cstheme="minorHAnsi"/>
                <w:color w:val="000000"/>
                <w:sz w:val="28"/>
                <w:szCs w:val="28"/>
              </w:rPr>
            </w:pPr>
            <w:r w:rsidRPr="00A27435">
              <w:rPr>
                <w:rFonts w:eastAsia="Times New Roman" w:cstheme="minorHAnsi"/>
                <w:color w:val="000000"/>
              </w:rPr>
              <w:t>wartime service or discharge due to disability requirements</w:t>
            </w:r>
          </w:p>
          <w:p w14:paraId="4C838973" w14:textId="77777777" w:rsidR="00A27435" w:rsidRPr="00A27435" w:rsidRDefault="00A27435" w:rsidP="00A27435">
            <w:pPr>
              <w:numPr>
                <w:ilvl w:val="0"/>
                <w:numId w:val="31"/>
              </w:numPr>
              <w:shd w:val="clear" w:color="auto" w:fill="FFFFFF"/>
              <w:spacing w:before="100" w:beforeAutospacing="1" w:after="100" w:afterAutospacing="1"/>
              <w:ind w:right="240"/>
              <w:rPr>
                <w:rFonts w:eastAsia="Times New Roman" w:cstheme="minorHAnsi"/>
                <w:color w:val="000000"/>
                <w:sz w:val="28"/>
                <w:szCs w:val="28"/>
              </w:rPr>
            </w:pPr>
            <w:r w:rsidRPr="00A27435">
              <w:rPr>
                <w:rFonts w:eastAsia="Times New Roman" w:cstheme="minorHAnsi"/>
                <w:color w:val="000000"/>
              </w:rPr>
              <w:t>receipt of compensation or pension at the time of death, or</w:t>
            </w:r>
          </w:p>
          <w:p w14:paraId="6D3CE15C" w14:textId="77777777" w:rsidR="00A27435" w:rsidRPr="00A27435" w:rsidRDefault="00A27435" w:rsidP="00A27435">
            <w:pPr>
              <w:numPr>
                <w:ilvl w:val="0"/>
                <w:numId w:val="31"/>
              </w:numPr>
              <w:shd w:val="clear" w:color="auto" w:fill="FFFFFF"/>
              <w:spacing w:before="100" w:beforeAutospacing="1" w:after="100" w:afterAutospacing="1"/>
              <w:ind w:right="240"/>
              <w:rPr>
                <w:rFonts w:eastAsia="Times New Roman" w:cstheme="minorHAnsi"/>
                <w:color w:val="000000"/>
                <w:sz w:val="28"/>
                <w:szCs w:val="28"/>
              </w:rPr>
            </w:pPr>
            <w:r w:rsidRPr="00A27435">
              <w:rPr>
                <w:rFonts w:eastAsia="Times New Roman" w:cstheme="minorHAnsi"/>
                <w:color w:val="000000"/>
              </w:rPr>
              <w:t>authorization of the deceased Veteran’s funeral service by the State or political subdivision of the State</w:t>
            </w:r>
          </w:p>
          <w:p w14:paraId="0B3BF1B1" w14:textId="19A40AB6" w:rsidR="00EB3D66" w:rsidRPr="00EB3D66" w:rsidRDefault="00EB3D66" w:rsidP="00EB3D66">
            <w:pPr>
              <w:shd w:val="clear" w:color="auto" w:fill="FFFFFF"/>
              <w:rPr>
                <w:rFonts w:eastAsia="Times New Roman" w:cstheme="minorHAnsi"/>
                <w:color w:val="000000"/>
              </w:rPr>
            </w:pPr>
            <w:r w:rsidRPr="00EB3D66">
              <w:rPr>
                <w:rFonts w:eastAsia="Times New Roman" w:cstheme="minorHAnsi"/>
                <w:color w:val="000000"/>
              </w:rPr>
              <w:t>If a Veteran dies in a VA hospital or while under VA care and the remains are unclaimed, the Veterans Health Administration (VHA) is responsible for the burial.  VBA does not pay burial benefits in this situation. </w:t>
            </w:r>
          </w:p>
        </w:tc>
      </w:tr>
    </w:tbl>
    <w:p w14:paraId="5BB4B928" w14:textId="66FDCB05" w:rsidR="00A377AA" w:rsidRDefault="00A377AA" w:rsidP="00493597">
      <w:pPr>
        <w:pStyle w:val="VBAILTBody"/>
      </w:pPr>
    </w:p>
    <w:sectPr w:rsidR="00A377AA" w:rsidSect="0052707E">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6143B" w14:textId="77777777" w:rsidR="00F77843" w:rsidRDefault="00F77843" w:rsidP="00C214A9">
      <w:pPr>
        <w:spacing w:after="0" w:line="240" w:lineRule="auto"/>
      </w:pPr>
      <w:r>
        <w:separator/>
      </w:r>
    </w:p>
  </w:endnote>
  <w:endnote w:type="continuationSeparator" w:id="0">
    <w:p w14:paraId="08D50296" w14:textId="77777777" w:rsidR="00F77843" w:rsidRDefault="00F77843"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BD04" w14:textId="0B54AD63" w:rsidR="00D568CD" w:rsidRPr="00D44C02" w:rsidRDefault="00A27435" w:rsidP="00E06932">
    <w:pPr>
      <w:pStyle w:val="VBAILTFooter"/>
    </w:pPr>
    <w:r>
      <w:t>March</w:t>
    </w:r>
    <w:r w:rsidR="00546CA4">
      <w:t xml:space="preserve"> 2022</w:t>
    </w:r>
    <w:r w:rsidR="00D568CD">
      <w:tab/>
    </w:r>
    <w:r w:rsidR="00D568CD" w:rsidRPr="00C214A9">
      <w:fldChar w:fldCharType="begin"/>
    </w:r>
    <w:r w:rsidR="00D568CD" w:rsidRPr="00C214A9">
      <w:instrText xml:space="preserve"> PAGE   \* MERGEFORMAT </w:instrText>
    </w:r>
    <w:r w:rsidR="00D568CD" w:rsidRPr="00C214A9">
      <w:fldChar w:fldCharType="separate"/>
    </w:r>
    <w:r w:rsidR="00B57914" w:rsidRPr="00B57914">
      <w:rPr>
        <w:b/>
        <w:bCs/>
        <w:noProof/>
      </w:rPr>
      <w:t>2</w:t>
    </w:r>
    <w:r w:rsidR="00D568CD" w:rsidRPr="00C214A9">
      <w:rPr>
        <w:b/>
        <w:bCs/>
        <w:noProof/>
      </w:rPr>
      <w:fldChar w:fldCharType="end"/>
    </w:r>
    <w:r w:rsidR="00D568CD" w:rsidRPr="00C214A9">
      <w:rPr>
        <w:b/>
        <w:bCs/>
      </w:rPr>
      <w:t xml:space="preserve"> </w:t>
    </w:r>
    <w:r w:rsidR="00D568CD" w:rsidRPr="00C214A9">
      <w:t>|</w:t>
    </w:r>
    <w:r w:rsidR="00D568CD" w:rsidRPr="00C214A9">
      <w:rPr>
        <w:b/>
        <w:bCs/>
      </w:rPr>
      <w:t xml:space="preserve"> </w:t>
    </w:r>
    <w:r w:rsidR="00D568CD" w:rsidRPr="00C214A9">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BD07" w14:textId="77777777" w:rsidR="00D568CD" w:rsidRPr="00C214A9" w:rsidRDefault="00D568CD" w:rsidP="00D44C02">
    <w:pPr>
      <w:pStyle w:val="VBAILTFooter"/>
    </w:pPr>
    <w:r>
      <w:t>02/22/17</w:t>
    </w:r>
    <w:r w:rsidRPr="00C214A9">
      <w:t xml:space="preserve"> </w:t>
    </w:r>
    <w:r>
      <w:t>V</w:t>
    </w:r>
    <w:r w:rsidRPr="00C214A9">
      <w:t>ersion</w:t>
    </w:r>
    <w:r>
      <w:t xml:space="preserve"> 1.0</w:t>
    </w:r>
    <w:r>
      <w:tab/>
    </w:r>
    <w:r w:rsidRPr="00C214A9">
      <w:fldChar w:fldCharType="begin"/>
    </w:r>
    <w:r w:rsidRPr="00C214A9">
      <w:instrText xml:space="preserve"> PAGE   \* MERGEFORMAT </w:instrText>
    </w:r>
    <w:r w:rsidRPr="00C214A9">
      <w:fldChar w:fldCharType="separate"/>
    </w:r>
    <w:r w:rsidRPr="0052707E">
      <w:rPr>
        <w:b/>
        <w:bCs/>
        <w:noProof/>
      </w:rPr>
      <w:t>2</w:t>
    </w:r>
    <w:r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p w14:paraId="5BB4BD08" w14:textId="77777777" w:rsidR="00D568CD" w:rsidRDefault="00D56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6D03" w14:textId="77777777" w:rsidR="00F77843" w:rsidRDefault="00F77843" w:rsidP="00C214A9">
      <w:pPr>
        <w:spacing w:after="0" w:line="240" w:lineRule="auto"/>
      </w:pPr>
      <w:r>
        <w:separator/>
      </w:r>
    </w:p>
  </w:footnote>
  <w:footnote w:type="continuationSeparator" w:id="0">
    <w:p w14:paraId="2D5911B8" w14:textId="77777777" w:rsidR="00F77843" w:rsidRDefault="00F77843"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BD02" w14:textId="7AF01F00" w:rsidR="00D568CD" w:rsidRPr="002D1DCE" w:rsidRDefault="00F77843" w:rsidP="005C56D6">
    <w:pPr>
      <w:pStyle w:val="VBAILTHeader"/>
      <w:pBdr>
        <w:bottom w:val="single" w:sz="4" w:space="1" w:color="auto"/>
      </w:pBdr>
    </w:pPr>
    <w:sdt>
      <w:sdtPr>
        <w:id w:val="270053730"/>
        <w:docPartObj>
          <w:docPartGallery w:val="Watermarks"/>
          <w:docPartUnique/>
        </w:docPartObj>
      </w:sdtPr>
      <w:sdtEndPr/>
      <w:sdtContent>
        <w:r>
          <w:rPr>
            <w:noProof/>
          </w:rPr>
          <w:pict w14:anchorId="5BB4B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377AA">
      <w:t>Burial Benefits Eligibility Job Aid</w:t>
    </w:r>
  </w:p>
  <w:p w14:paraId="5BB4BD03" w14:textId="77777777" w:rsidR="00D568CD" w:rsidRPr="005C56D6" w:rsidRDefault="00D568CD" w:rsidP="005C5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BD05" w14:textId="77777777" w:rsidR="00D568CD" w:rsidRDefault="00D568CD">
    <w:pPr>
      <w:pStyle w:val="Header"/>
    </w:pPr>
    <w:r>
      <w:rPr>
        <w:noProof/>
      </w:rPr>
      <w:drawing>
        <wp:anchor distT="0" distB="0" distL="114300" distR="114300" simplePos="0" relativeHeight="251657216" behindDoc="1" locked="0" layoutInCell="1" allowOverlap="1" wp14:anchorId="5BB4BD0A" wp14:editId="5BB4BD0B">
          <wp:simplePos x="0" y="0"/>
          <wp:positionH relativeFrom="column">
            <wp:posOffset>-904875</wp:posOffset>
          </wp:positionH>
          <wp:positionV relativeFrom="paragraph">
            <wp:posOffset>-447675</wp:posOffset>
          </wp:positionV>
          <wp:extent cx="7780020" cy="5836920"/>
          <wp:effectExtent l="0" t="0" r="0" b="0"/>
          <wp:wrapNone/>
          <wp:docPr id="1" name="Picture 1"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BD06" w14:textId="77777777" w:rsidR="00D568CD" w:rsidRDefault="00D56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A99"/>
    <w:multiLevelType w:val="multilevel"/>
    <w:tmpl w:val="11C06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C1BA0"/>
    <w:multiLevelType w:val="hybridMultilevel"/>
    <w:tmpl w:val="0664A4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C6C00"/>
    <w:multiLevelType w:val="multilevel"/>
    <w:tmpl w:val="297C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C750C"/>
    <w:multiLevelType w:val="multilevel"/>
    <w:tmpl w:val="8D52F0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4" w15:restartNumberingAfterBreak="0">
    <w:nsid w:val="0A7E2BA3"/>
    <w:multiLevelType w:val="hybridMultilevel"/>
    <w:tmpl w:val="A614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755D5"/>
    <w:multiLevelType w:val="multilevel"/>
    <w:tmpl w:val="0808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5E6E20"/>
    <w:multiLevelType w:val="hybridMultilevel"/>
    <w:tmpl w:val="D5F0127E"/>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F022FC"/>
    <w:multiLevelType w:val="multilevel"/>
    <w:tmpl w:val="B4C4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A7FBF"/>
    <w:multiLevelType w:val="multilevel"/>
    <w:tmpl w:val="2128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890C4E"/>
    <w:multiLevelType w:val="hybridMultilevel"/>
    <w:tmpl w:val="57527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102CC"/>
    <w:multiLevelType w:val="hybridMultilevel"/>
    <w:tmpl w:val="FE8C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2132E"/>
    <w:multiLevelType w:val="multilevel"/>
    <w:tmpl w:val="21F2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0039DA"/>
    <w:multiLevelType w:val="multilevel"/>
    <w:tmpl w:val="2EF2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2E3F90"/>
    <w:multiLevelType w:val="multilevel"/>
    <w:tmpl w:val="974C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D0608"/>
    <w:multiLevelType w:val="multilevel"/>
    <w:tmpl w:val="184C9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7E4FDC"/>
    <w:multiLevelType w:val="multilevel"/>
    <w:tmpl w:val="0EEA86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7" w15:restartNumberingAfterBreak="0">
    <w:nsid w:val="51590644"/>
    <w:multiLevelType w:val="hybridMultilevel"/>
    <w:tmpl w:val="0D9A2874"/>
    <w:lvl w:ilvl="0" w:tplc="E848BFE2">
      <w:start w:val="1"/>
      <w:numFmt w:val="bullet"/>
      <w:lvlText w:val="•"/>
      <w:lvlJc w:val="left"/>
      <w:pPr>
        <w:tabs>
          <w:tab w:val="num" w:pos="720"/>
        </w:tabs>
        <w:ind w:left="720" w:hanging="360"/>
      </w:pPr>
      <w:rPr>
        <w:rFonts w:ascii="Arial" w:hAnsi="Arial" w:hint="default"/>
      </w:rPr>
    </w:lvl>
    <w:lvl w:ilvl="1" w:tplc="F892999C" w:tentative="1">
      <w:start w:val="1"/>
      <w:numFmt w:val="bullet"/>
      <w:lvlText w:val="•"/>
      <w:lvlJc w:val="left"/>
      <w:pPr>
        <w:tabs>
          <w:tab w:val="num" w:pos="1440"/>
        </w:tabs>
        <w:ind w:left="1440" w:hanging="360"/>
      </w:pPr>
      <w:rPr>
        <w:rFonts w:ascii="Arial" w:hAnsi="Arial" w:hint="default"/>
      </w:rPr>
    </w:lvl>
    <w:lvl w:ilvl="2" w:tplc="9BE057DE" w:tentative="1">
      <w:start w:val="1"/>
      <w:numFmt w:val="bullet"/>
      <w:lvlText w:val="•"/>
      <w:lvlJc w:val="left"/>
      <w:pPr>
        <w:tabs>
          <w:tab w:val="num" w:pos="2160"/>
        </w:tabs>
        <w:ind w:left="2160" w:hanging="360"/>
      </w:pPr>
      <w:rPr>
        <w:rFonts w:ascii="Arial" w:hAnsi="Arial" w:hint="default"/>
      </w:rPr>
    </w:lvl>
    <w:lvl w:ilvl="3" w:tplc="7C2ACECE" w:tentative="1">
      <w:start w:val="1"/>
      <w:numFmt w:val="bullet"/>
      <w:lvlText w:val="•"/>
      <w:lvlJc w:val="left"/>
      <w:pPr>
        <w:tabs>
          <w:tab w:val="num" w:pos="2880"/>
        </w:tabs>
        <w:ind w:left="2880" w:hanging="360"/>
      </w:pPr>
      <w:rPr>
        <w:rFonts w:ascii="Arial" w:hAnsi="Arial" w:hint="default"/>
      </w:rPr>
    </w:lvl>
    <w:lvl w:ilvl="4" w:tplc="500C3CB2" w:tentative="1">
      <w:start w:val="1"/>
      <w:numFmt w:val="bullet"/>
      <w:lvlText w:val="•"/>
      <w:lvlJc w:val="left"/>
      <w:pPr>
        <w:tabs>
          <w:tab w:val="num" w:pos="3600"/>
        </w:tabs>
        <w:ind w:left="3600" w:hanging="360"/>
      </w:pPr>
      <w:rPr>
        <w:rFonts w:ascii="Arial" w:hAnsi="Arial" w:hint="default"/>
      </w:rPr>
    </w:lvl>
    <w:lvl w:ilvl="5" w:tplc="EE8AAC82" w:tentative="1">
      <w:start w:val="1"/>
      <w:numFmt w:val="bullet"/>
      <w:lvlText w:val="•"/>
      <w:lvlJc w:val="left"/>
      <w:pPr>
        <w:tabs>
          <w:tab w:val="num" w:pos="4320"/>
        </w:tabs>
        <w:ind w:left="4320" w:hanging="360"/>
      </w:pPr>
      <w:rPr>
        <w:rFonts w:ascii="Arial" w:hAnsi="Arial" w:hint="default"/>
      </w:rPr>
    </w:lvl>
    <w:lvl w:ilvl="6" w:tplc="8A52104E" w:tentative="1">
      <w:start w:val="1"/>
      <w:numFmt w:val="bullet"/>
      <w:lvlText w:val="•"/>
      <w:lvlJc w:val="left"/>
      <w:pPr>
        <w:tabs>
          <w:tab w:val="num" w:pos="5040"/>
        </w:tabs>
        <w:ind w:left="5040" w:hanging="360"/>
      </w:pPr>
      <w:rPr>
        <w:rFonts w:ascii="Arial" w:hAnsi="Arial" w:hint="default"/>
      </w:rPr>
    </w:lvl>
    <w:lvl w:ilvl="7" w:tplc="BEA087AE" w:tentative="1">
      <w:start w:val="1"/>
      <w:numFmt w:val="bullet"/>
      <w:lvlText w:val="•"/>
      <w:lvlJc w:val="left"/>
      <w:pPr>
        <w:tabs>
          <w:tab w:val="num" w:pos="5760"/>
        </w:tabs>
        <w:ind w:left="5760" w:hanging="360"/>
      </w:pPr>
      <w:rPr>
        <w:rFonts w:ascii="Arial" w:hAnsi="Arial" w:hint="default"/>
      </w:rPr>
    </w:lvl>
    <w:lvl w:ilvl="8" w:tplc="AF666F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4963A0"/>
    <w:multiLevelType w:val="multilevel"/>
    <w:tmpl w:val="713C9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B1A4240"/>
    <w:multiLevelType w:val="multilevel"/>
    <w:tmpl w:val="09B840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D8C0832"/>
    <w:multiLevelType w:val="multilevel"/>
    <w:tmpl w:val="1E5AC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6D238F"/>
    <w:multiLevelType w:val="multilevel"/>
    <w:tmpl w:val="5A3AB502"/>
    <w:numStyleLink w:val="VBAILTNumbering"/>
  </w:abstractNum>
  <w:abstractNum w:abstractNumId="22" w15:restartNumberingAfterBreak="0">
    <w:nsid w:val="5FB870DA"/>
    <w:multiLevelType w:val="multilevel"/>
    <w:tmpl w:val="68A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632EC8"/>
    <w:multiLevelType w:val="multilevel"/>
    <w:tmpl w:val="C5C0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607F13"/>
    <w:multiLevelType w:val="multilevel"/>
    <w:tmpl w:val="FA8459D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5" w15:restartNumberingAfterBreak="0">
    <w:nsid w:val="7FF34ED6"/>
    <w:multiLevelType w:val="multilevel"/>
    <w:tmpl w:val="C98C9CF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num w:numId="1">
    <w:abstractNumId w:val="6"/>
  </w:num>
  <w:num w:numId="2">
    <w:abstractNumId w:val="17"/>
  </w:num>
  <w:num w:numId="3">
    <w:abstractNumId w:val="19"/>
  </w:num>
  <w:num w:numId="4">
    <w:abstractNumId w:val="11"/>
  </w:num>
  <w:num w:numId="5">
    <w:abstractNumId w:val="24"/>
  </w:num>
  <w:num w:numId="6">
    <w:abstractNumId w:val="25"/>
  </w:num>
  <w:num w:numId="7">
    <w:abstractNumId w:val="3"/>
  </w:num>
  <w:num w:numId="8">
    <w:abstractNumId w:val="16"/>
  </w:num>
  <w:num w:numId="9">
    <w:abstractNumId w:val="9"/>
  </w:num>
  <w:num w:numId="10">
    <w:abstractNumId w:val="21"/>
  </w:num>
  <w:num w:numId="11">
    <w:abstractNumId w:val="14"/>
  </w:num>
  <w:num w:numId="12">
    <w:abstractNumId w:val="6"/>
  </w:num>
  <w:num w:numId="13">
    <w:abstractNumId w:val="10"/>
  </w:num>
  <w:num w:numId="14">
    <w:abstractNumId w:val="4"/>
  </w:num>
  <w:num w:numId="15">
    <w:abstractNumId w:val="1"/>
  </w:num>
  <w:num w:numId="16">
    <w:abstractNumId w:val="6"/>
  </w:num>
  <w:num w:numId="17">
    <w:abstractNumId w:val="6"/>
  </w:num>
  <w:num w:numId="18">
    <w:abstractNumId w:val="6"/>
  </w:num>
  <w:num w:numId="19">
    <w:abstractNumId w:val="6"/>
  </w:num>
  <w:num w:numId="20">
    <w:abstractNumId w:val="5"/>
  </w:num>
  <w:num w:numId="21">
    <w:abstractNumId w:val="2"/>
  </w:num>
  <w:num w:numId="22">
    <w:abstractNumId w:val="0"/>
  </w:num>
  <w:num w:numId="23">
    <w:abstractNumId w:val="15"/>
  </w:num>
  <w:num w:numId="24">
    <w:abstractNumId w:val="22"/>
  </w:num>
  <w:num w:numId="25">
    <w:abstractNumId w:val="20"/>
  </w:num>
  <w:num w:numId="26">
    <w:abstractNumId w:val="13"/>
  </w:num>
  <w:num w:numId="27">
    <w:abstractNumId w:val="18"/>
  </w:num>
  <w:num w:numId="28">
    <w:abstractNumId w:val="12"/>
  </w:num>
  <w:num w:numId="29">
    <w:abstractNumId w:val="8"/>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12"/>
    <w:rsid w:val="000156A5"/>
    <w:rsid w:val="000226FB"/>
    <w:rsid w:val="00027C4B"/>
    <w:rsid w:val="00051F24"/>
    <w:rsid w:val="000528C5"/>
    <w:rsid w:val="000565F5"/>
    <w:rsid w:val="0005700C"/>
    <w:rsid w:val="00064068"/>
    <w:rsid w:val="000731B3"/>
    <w:rsid w:val="00075743"/>
    <w:rsid w:val="00077BE7"/>
    <w:rsid w:val="000826FE"/>
    <w:rsid w:val="00083B9D"/>
    <w:rsid w:val="00085A11"/>
    <w:rsid w:val="00094DA0"/>
    <w:rsid w:val="000B199A"/>
    <w:rsid w:val="000B25E7"/>
    <w:rsid w:val="000B4158"/>
    <w:rsid w:val="000C600A"/>
    <w:rsid w:val="000E157C"/>
    <w:rsid w:val="000F6A22"/>
    <w:rsid w:val="00116035"/>
    <w:rsid w:val="001262F7"/>
    <w:rsid w:val="00134C9A"/>
    <w:rsid w:val="00134DCC"/>
    <w:rsid w:val="00143CCF"/>
    <w:rsid w:val="00151663"/>
    <w:rsid w:val="00155BF0"/>
    <w:rsid w:val="001604CC"/>
    <w:rsid w:val="0017419A"/>
    <w:rsid w:val="0017504D"/>
    <w:rsid w:val="00183F88"/>
    <w:rsid w:val="0019335B"/>
    <w:rsid w:val="001938A4"/>
    <w:rsid w:val="001947F4"/>
    <w:rsid w:val="001C0BF2"/>
    <w:rsid w:val="001C18D6"/>
    <w:rsid w:val="001D0E69"/>
    <w:rsid w:val="001D2E6A"/>
    <w:rsid w:val="001D5A75"/>
    <w:rsid w:val="001D6742"/>
    <w:rsid w:val="001E5136"/>
    <w:rsid w:val="001F25E7"/>
    <w:rsid w:val="001F290C"/>
    <w:rsid w:val="001F32A9"/>
    <w:rsid w:val="001F59DE"/>
    <w:rsid w:val="00203F33"/>
    <w:rsid w:val="00206749"/>
    <w:rsid w:val="00213496"/>
    <w:rsid w:val="002247D2"/>
    <w:rsid w:val="00225405"/>
    <w:rsid w:val="0024084E"/>
    <w:rsid w:val="0024327E"/>
    <w:rsid w:val="00250FEF"/>
    <w:rsid w:val="002637E5"/>
    <w:rsid w:val="00267BA2"/>
    <w:rsid w:val="00272C4F"/>
    <w:rsid w:val="002801E5"/>
    <w:rsid w:val="00286798"/>
    <w:rsid w:val="002912BA"/>
    <w:rsid w:val="002C330C"/>
    <w:rsid w:val="002C3FE7"/>
    <w:rsid w:val="002C75DF"/>
    <w:rsid w:val="002D1DCE"/>
    <w:rsid w:val="002E3812"/>
    <w:rsid w:val="002E7FD3"/>
    <w:rsid w:val="002F1E90"/>
    <w:rsid w:val="002F5039"/>
    <w:rsid w:val="002F61F6"/>
    <w:rsid w:val="0030452F"/>
    <w:rsid w:val="003120A9"/>
    <w:rsid w:val="00313580"/>
    <w:rsid w:val="003213CA"/>
    <w:rsid w:val="0033746B"/>
    <w:rsid w:val="00351325"/>
    <w:rsid w:val="003560D1"/>
    <w:rsid w:val="00360C1B"/>
    <w:rsid w:val="00360F79"/>
    <w:rsid w:val="003636B3"/>
    <w:rsid w:val="00367D1F"/>
    <w:rsid w:val="00372AE6"/>
    <w:rsid w:val="003A0C18"/>
    <w:rsid w:val="003A70B6"/>
    <w:rsid w:val="003A7B61"/>
    <w:rsid w:val="003B118F"/>
    <w:rsid w:val="003B3180"/>
    <w:rsid w:val="003E2640"/>
    <w:rsid w:val="003E3D02"/>
    <w:rsid w:val="003E4D80"/>
    <w:rsid w:val="003F6412"/>
    <w:rsid w:val="00407CF3"/>
    <w:rsid w:val="00416682"/>
    <w:rsid w:val="004322FD"/>
    <w:rsid w:val="00435E17"/>
    <w:rsid w:val="00435FCA"/>
    <w:rsid w:val="00457980"/>
    <w:rsid w:val="0046246C"/>
    <w:rsid w:val="00463530"/>
    <w:rsid w:val="00493597"/>
    <w:rsid w:val="00494920"/>
    <w:rsid w:val="004A055F"/>
    <w:rsid w:val="004A69AD"/>
    <w:rsid w:val="004B08D7"/>
    <w:rsid w:val="004B47E8"/>
    <w:rsid w:val="004B566A"/>
    <w:rsid w:val="004C1BE3"/>
    <w:rsid w:val="004D68FF"/>
    <w:rsid w:val="004F0140"/>
    <w:rsid w:val="00502699"/>
    <w:rsid w:val="00513BA2"/>
    <w:rsid w:val="0052707E"/>
    <w:rsid w:val="005274FC"/>
    <w:rsid w:val="0053452B"/>
    <w:rsid w:val="00542CCA"/>
    <w:rsid w:val="00543929"/>
    <w:rsid w:val="00546CA4"/>
    <w:rsid w:val="00547594"/>
    <w:rsid w:val="00551F78"/>
    <w:rsid w:val="005633C6"/>
    <w:rsid w:val="00567720"/>
    <w:rsid w:val="00573A4F"/>
    <w:rsid w:val="005B30E4"/>
    <w:rsid w:val="005B5ECD"/>
    <w:rsid w:val="005C56D6"/>
    <w:rsid w:val="005E565D"/>
    <w:rsid w:val="00604334"/>
    <w:rsid w:val="00605629"/>
    <w:rsid w:val="00610D52"/>
    <w:rsid w:val="006159F2"/>
    <w:rsid w:val="00617DCD"/>
    <w:rsid w:val="00622460"/>
    <w:rsid w:val="00622B1E"/>
    <w:rsid w:val="006249CD"/>
    <w:rsid w:val="006504B2"/>
    <w:rsid w:val="006562D2"/>
    <w:rsid w:val="0066519D"/>
    <w:rsid w:val="006841C6"/>
    <w:rsid w:val="00684CE7"/>
    <w:rsid w:val="006930C3"/>
    <w:rsid w:val="006A6A3F"/>
    <w:rsid w:val="006A7FD5"/>
    <w:rsid w:val="006B3822"/>
    <w:rsid w:val="006C23EC"/>
    <w:rsid w:val="006C56E6"/>
    <w:rsid w:val="006D4022"/>
    <w:rsid w:val="006E001D"/>
    <w:rsid w:val="006E3925"/>
    <w:rsid w:val="006E4126"/>
    <w:rsid w:val="006E54AE"/>
    <w:rsid w:val="006F1018"/>
    <w:rsid w:val="006F4D08"/>
    <w:rsid w:val="007064FA"/>
    <w:rsid w:val="00710B98"/>
    <w:rsid w:val="00722BFF"/>
    <w:rsid w:val="00731C06"/>
    <w:rsid w:val="007353B1"/>
    <w:rsid w:val="00735483"/>
    <w:rsid w:val="007359B2"/>
    <w:rsid w:val="00736BC3"/>
    <w:rsid w:val="0074381C"/>
    <w:rsid w:val="007470D1"/>
    <w:rsid w:val="00747188"/>
    <w:rsid w:val="00762F30"/>
    <w:rsid w:val="00763750"/>
    <w:rsid w:val="007672B7"/>
    <w:rsid w:val="0079714B"/>
    <w:rsid w:val="007A0378"/>
    <w:rsid w:val="007A2577"/>
    <w:rsid w:val="007B11CA"/>
    <w:rsid w:val="007C49C5"/>
    <w:rsid w:val="007D483F"/>
    <w:rsid w:val="00813890"/>
    <w:rsid w:val="00820EBA"/>
    <w:rsid w:val="008362D6"/>
    <w:rsid w:val="008408AC"/>
    <w:rsid w:val="008414C4"/>
    <w:rsid w:val="00842F83"/>
    <w:rsid w:val="00852D72"/>
    <w:rsid w:val="008559AF"/>
    <w:rsid w:val="00856EFD"/>
    <w:rsid w:val="00861528"/>
    <w:rsid w:val="008708DC"/>
    <w:rsid w:val="008715F0"/>
    <w:rsid w:val="008763DE"/>
    <w:rsid w:val="00881482"/>
    <w:rsid w:val="00893E86"/>
    <w:rsid w:val="00897653"/>
    <w:rsid w:val="008A6504"/>
    <w:rsid w:val="008B0665"/>
    <w:rsid w:val="008C72DB"/>
    <w:rsid w:val="008E129D"/>
    <w:rsid w:val="008E264D"/>
    <w:rsid w:val="008E4A12"/>
    <w:rsid w:val="00904FB7"/>
    <w:rsid w:val="0091339C"/>
    <w:rsid w:val="00920ADE"/>
    <w:rsid w:val="0092540F"/>
    <w:rsid w:val="00935715"/>
    <w:rsid w:val="0094146E"/>
    <w:rsid w:val="00941AB8"/>
    <w:rsid w:val="009427C9"/>
    <w:rsid w:val="00942D53"/>
    <w:rsid w:val="00945890"/>
    <w:rsid w:val="00955851"/>
    <w:rsid w:val="00955EFB"/>
    <w:rsid w:val="00960BE2"/>
    <w:rsid w:val="00972979"/>
    <w:rsid w:val="00976B4E"/>
    <w:rsid w:val="00977153"/>
    <w:rsid w:val="00985453"/>
    <w:rsid w:val="0099319B"/>
    <w:rsid w:val="009A2FB8"/>
    <w:rsid w:val="009A5B57"/>
    <w:rsid w:val="009A5BFB"/>
    <w:rsid w:val="009B4908"/>
    <w:rsid w:val="009B508E"/>
    <w:rsid w:val="009C142D"/>
    <w:rsid w:val="009E550F"/>
    <w:rsid w:val="009F361E"/>
    <w:rsid w:val="00A0064D"/>
    <w:rsid w:val="00A03870"/>
    <w:rsid w:val="00A05E72"/>
    <w:rsid w:val="00A10B66"/>
    <w:rsid w:val="00A14406"/>
    <w:rsid w:val="00A27435"/>
    <w:rsid w:val="00A336EE"/>
    <w:rsid w:val="00A3668B"/>
    <w:rsid w:val="00A377AA"/>
    <w:rsid w:val="00A417D2"/>
    <w:rsid w:val="00A43626"/>
    <w:rsid w:val="00A51279"/>
    <w:rsid w:val="00A601C7"/>
    <w:rsid w:val="00A63B17"/>
    <w:rsid w:val="00A66DFB"/>
    <w:rsid w:val="00A75A73"/>
    <w:rsid w:val="00A84583"/>
    <w:rsid w:val="00A93399"/>
    <w:rsid w:val="00AC2BBE"/>
    <w:rsid w:val="00AD212E"/>
    <w:rsid w:val="00AE4592"/>
    <w:rsid w:val="00AF62B3"/>
    <w:rsid w:val="00B00AC4"/>
    <w:rsid w:val="00B22BBA"/>
    <w:rsid w:val="00B33C9F"/>
    <w:rsid w:val="00B57914"/>
    <w:rsid w:val="00B57A24"/>
    <w:rsid w:val="00B621D1"/>
    <w:rsid w:val="00B67272"/>
    <w:rsid w:val="00B71CDF"/>
    <w:rsid w:val="00B93C98"/>
    <w:rsid w:val="00B9406F"/>
    <w:rsid w:val="00BA4871"/>
    <w:rsid w:val="00BA6E30"/>
    <w:rsid w:val="00BB7225"/>
    <w:rsid w:val="00BB78DA"/>
    <w:rsid w:val="00BE44CD"/>
    <w:rsid w:val="00BF776C"/>
    <w:rsid w:val="00C1160D"/>
    <w:rsid w:val="00C16E15"/>
    <w:rsid w:val="00C214A9"/>
    <w:rsid w:val="00C2437A"/>
    <w:rsid w:val="00C3004B"/>
    <w:rsid w:val="00C30F06"/>
    <w:rsid w:val="00C33DFF"/>
    <w:rsid w:val="00C50625"/>
    <w:rsid w:val="00C764DB"/>
    <w:rsid w:val="00C81AAA"/>
    <w:rsid w:val="00C8779F"/>
    <w:rsid w:val="00C90127"/>
    <w:rsid w:val="00C924EC"/>
    <w:rsid w:val="00CA180B"/>
    <w:rsid w:val="00CB722D"/>
    <w:rsid w:val="00CB7C48"/>
    <w:rsid w:val="00CC22DA"/>
    <w:rsid w:val="00CC30C0"/>
    <w:rsid w:val="00CD48DA"/>
    <w:rsid w:val="00CE161D"/>
    <w:rsid w:val="00CE1CF2"/>
    <w:rsid w:val="00CE5319"/>
    <w:rsid w:val="00CE5B96"/>
    <w:rsid w:val="00CF2F4B"/>
    <w:rsid w:val="00CF3A95"/>
    <w:rsid w:val="00CF4F54"/>
    <w:rsid w:val="00CF50B0"/>
    <w:rsid w:val="00D0028B"/>
    <w:rsid w:val="00D12434"/>
    <w:rsid w:val="00D272EF"/>
    <w:rsid w:val="00D44C02"/>
    <w:rsid w:val="00D54002"/>
    <w:rsid w:val="00D54DB1"/>
    <w:rsid w:val="00D568CD"/>
    <w:rsid w:val="00D65F43"/>
    <w:rsid w:val="00D71918"/>
    <w:rsid w:val="00D77B6C"/>
    <w:rsid w:val="00D860DD"/>
    <w:rsid w:val="00D86C46"/>
    <w:rsid w:val="00D93448"/>
    <w:rsid w:val="00D94905"/>
    <w:rsid w:val="00DA3CF8"/>
    <w:rsid w:val="00DB694F"/>
    <w:rsid w:val="00DB697D"/>
    <w:rsid w:val="00DB746E"/>
    <w:rsid w:val="00DC4922"/>
    <w:rsid w:val="00DD3111"/>
    <w:rsid w:val="00DD6B72"/>
    <w:rsid w:val="00DE1866"/>
    <w:rsid w:val="00DE3EDB"/>
    <w:rsid w:val="00DE580E"/>
    <w:rsid w:val="00DF6115"/>
    <w:rsid w:val="00DF75C2"/>
    <w:rsid w:val="00E06932"/>
    <w:rsid w:val="00E0784D"/>
    <w:rsid w:val="00E1585A"/>
    <w:rsid w:val="00E22681"/>
    <w:rsid w:val="00E2268A"/>
    <w:rsid w:val="00E24B08"/>
    <w:rsid w:val="00E3218D"/>
    <w:rsid w:val="00E352C5"/>
    <w:rsid w:val="00E40989"/>
    <w:rsid w:val="00E41DF3"/>
    <w:rsid w:val="00E43C51"/>
    <w:rsid w:val="00E511F3"/>
    <w:rsid w:val="00E60C9A"/>
    <w:rsid w:val="00E62C17"/>
    <w:rsid w:val="00E73091"/>
    <w:rsid w:val="00E9444F"/>
    <w:rsid w:val="00E94AEA"/>
    <w:rsid w:val="00EB3D66"/>
    <w:rsid w:val="00EC6D93"/>
    <w:rsid w:val="00ED314A"/>
    <w:rsid w:val="00EE2EE4"/>
    <w:rsid w:val="00EF0F1E"/>
    <w:rsid w:val="00EF4CDB"/>
    <w:rsid w:val="00F0544B"/>
    <w:rsid w:val="00F05EFB"/>
    <w:rsid w:val="00F10AED"/>
    <w:rsid w:val="00F1139C"/>
    <w:rsid w:val="00F15AA2"/>
    <w:rsid w:val="00F15DEF"/>
    <w:rsid w:val="00F22742"/>
    <w:rsid w:val="00F2765D"/>
    <w:rsid w:val="00F31B27"/>
    <w:rsid w:val="00F33993"/>
    <w:rsid w:val="00F4112A"/>
    <w:rsid w:val="00F64BE8"/>
    <w:rsid w:val="00F77843"/>
    <w:rsid w:val="00F77E4E"/>
    <w:rsid w:val="00F87EE3"/>
    <w:rsid w:val="00F91CCC"/>
    <w:rsid w:val="00FC067D"/>
    <w:rsid w:val="00FC359C"/>
    <w:rsid w:val="00FC52D0"/>
    <w:rsid w:val="00FE1AC6"/>
    <w:rsid w:val="00FE73C7"/>
    <w:rsid w:val="00FE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4B921"/>
  <w15:docId w15:val="{886B95ED-0731-4670-85DA-E9519AEC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AA"/>
  </w:style>
  <w:style w:type="paragraph" w:styleId="Heading1">
    <w:name w:val="heading 1"/>
    <w:basedOn w:val="Normal"/>
    <w:next w:val="Normal"/>
    <w:link w:val="Heading1Char"/>
    <w:uiPriority w:val="9"/>
    <w:rsid w:val="00BB78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ind w:left="720"/>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9"/>
      </w:numPr>
    </w:pPr>
  </w:style>
  <w:style w:type="paragraph" w:styleId="TOC1">
    <w:name w:val="toc 1"/>
    <w:basedOn w:val="Normal"/>
    <w:next w:val="Normal"/>
    <w:autoRedefine/>
    <w:uiPriority w:val="39"/>
    <w:unhideWhenUsed/>
    <w:rsid w:val="00E94AEA"/>
    <w:pPr>
      <w:spacing w:after="100"/>
    </w:pPr>
  </w:style>
  <w:style w:type="character" w:styleId="CommentReference">
    <w:name w:val="annotation reference"/>
    <w:basedOn w:val="DefaultParagraphFont"/>
    <w:uiPriority w:val="99"/>
    <w:semiHidden/>
    <w:unhideWhenUsed/>
    <w:rsid w:val="00D272EF"/>
    <w:rPr>
      <w:sz w:val="16"/>
      <w:szCs w:val="16"/>
    </w:rPr>
  </w:style>
  <w:style w:type="paragraph" w:styleId="CommentText">
    <w:name w:val="annotation text"/>
    <w:basedOn w:val="Normal"/>
    <w:link w:val="CommentTextChar"/>
    <w:uiPriority w:val="99"/>
    <w:semiHidden/>
    <w:unhideWhenUsed/>
    <w:rsid w:val="00D272EF"/>
    <w:pPr>
      <w:spacing w:line="240" w:lineRule="auto"/>
    </w:pPr>
    <w:rPr>
      <w:sz w:val="20"/>
      <w:szCs w:val="20"/>
    </w:rPr>
  </w:style>
  <w:style w:type="character" w:customStyle="1" w:styleId="CommentTextChar">
    <w:name w:val="Comment Text Char"/>
    <w:basedOn w:val="DefaultParagraphFont"/>
    <w:link w:val="CommentText"/>
    <w:uiPriority w:val="99"/>
    <w:semiHidden/>
    <w:rsid w:val="00D272EF"/>
    <w:rPr>
      <w:sz w:val="20"/>
      <w:szCs w:val="20"/>
    </w:rPr>
  </w:style>
  <w:style w:type="paragraph" w:styleId="CommentSubject">
    <w:name w:val="annotation subject"/>
    <w:basedOn w:val="CommentText"/>
    <w:next w:val="CommentText"/>
    <w:link w:val="CommentSubjectChar"/>
    <w:uiPriority w:val="99"/>
    <w:semiHidden/>
    <w:unhideWhenUsed/>
    <w:rsid w:val="00D272EF"/>
    <w:rPr>
      <w:b/>
      <w:bCs/>
    </w:rPr>
  </w:style>
  <w:style w:type="character" w:customStyle="1" w:styleId="CommentSubjectChar">
    <w:name w:val="Comment Subject Char"/>
    <w:basedOn w:val="CommentTextChar"/>
    <w:link w:val="CommentSubject"/>
    <w:uiPriority w:val="99"/>
    <w:semiHidden/>
    <w:rsid w:val="00D272EF"/>
    <w:rPr>
      <w:b/>
      <w:bCs/>
      <w:sz w:val="20"/>
      <w:szCs w:val="20"/>
    </w:rPr>
  </w:style>
  <w:style w:type="paragraph" w:styleId="NormalWeb">
    <w:name w:val="Normal (Web)"/>
    <w:basedOn w:val="Normal"/>
    <w:uiPriority w:val="99"/>
    <w:semiHidden/>
    <w:unhideWhenUsed/>
    <w:rsid w:val="00407CF3"/>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B78D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B78DA"/>
    <w:pPr>
      <w:outlineLvl w:val="9"/>
    </w:pPr>
  </w:style>
  <w:style w:type="paragraph" w:styleId="TOC2">
    <w:name w:val="toc 2"/>
    <w:basedOn w:val="Normal"/>
    <w:next w:val="Normal"/>
    <w:autoRedefine/>
    <w:uiPriority w:val="39"/>
    <w:unhideWhenUsed/>
    <w:rsid w:val="00BB78DA"/>
    <w:pPr>
      <w:spacing w:after="100"/>
      <w:ind w:left="220"/>
    </w:pPr>
  </w:style>
  <w:style w:type="character" w:styleId="Hyperlink">
    <w:name w:val="Hyperlink"/>
    <w:basedOn w:val="DefaultParagraphFont"/>
    <w:uiPriority w:val="99"/>
    <w:unhideWhenUsed/>
    <w:rsid w:val="00BB78DA"/>
    <w:rPr>
      <w:color w:val="0563C1" w:themeColor="hyperlink"/>
      <w:u w:val="single"/>
    </w:rPr>
  </w:style>
  <w:style w:type="character" w:styleId="Emphasis">
    <w:name w:val="Emphasis"/>
    <w:basedOn w:val="DefaultParagraphFont"/>
    <w:uiPriority w:val="20"/>
    <w:qFormat/>
    <w:rsid w:val="00546C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2306">
      <w:bodyDiv w:val="1"/>
      <w:marLeft w:val="0"/>
      <w:marRight w:val="0"/>
      <w:marTop w:val="0"/>
      <w:marBottom w:val="0"/>
      <w:divBdr>
        <w:top w:val="none" w:sz="0" w:space="0" w:color="auto"/>
        <w:left w:val="none" w:sz="0" w:space="0" w:color="auto"/>
        <w:bottom w:val="none" w:sz="0" w:space="0" w:color="auto"/>
        <w:right w:val="none" w:sz="0" w:space="0" w:color="auto"/>
      </w:divBdr>
    </w:div>
    <w:div w:id="220335679">
      <w:bodyDiv w:val="1"/>
      <w:marLeft w:val="0"/>
      <w:marRight w:val="0"/>
      <w:marTop w:val="0"/>
      <w:marBottom w:val="0"/>
      <w:divBdr>
        <w:top w:val="none" w:sz="0" w:space="0" w:color="auto"/>
        <w:left w:val="none" w:sz="0" w:space="0" w:color="auto"/>
        <w:bottom w:val="none" w:sz="0" w:space="0" w:color="auto"/>
        <w:right w:val="none" w:sz="0" w:space="0" w:color="auto"/>
      </w:divBdr>
      <w:divsChild>
        <w:div w:id="1435975742">
          <w:marLeft w:val="0"/>
          <w:marRight w:val="0"/>
          <w:marTop w:val="0"/>
          <w:marBottom w:val="0"/>
          <w:divBdr>
            <w:top w:val="none" w:sz="0" w:space="0" w:color="auto"/>
            <w:left w:val="none" w:sz="0" w:space="0" w:color="auto"/>
            <w:bottom w:val="none" w:sz="0" w:space="0" w:color="auto"/>
            <w:right w:val="none" w:sz="0" w:space="0" w:color="auto"/>
          </w:divBdr>
        </w:div>
      </w:divsChild>
    </w:div>
    <w:div w:id="329069502">
      <w:bodyDiv w:val="1"/>
      <w:marLeft w:val="0"/>
      <w:marRight w:val="0"/>
      <w:marTop w:val="0"/>
      <w:marBottom w:val="0"/>
      <w:divBdr>
        <w:top w:val="none" w:sz="0" w:space="0" w:color="auto"/>
        <w:left w:val="none" w:sz="0" w:space="0" w:color="auto"/>
        <w:bottom w:val="none" w:sz="0" w:space="0" w:color="auto"/>
        <w:right w:val="none" w:sz="0" w:space="0" w:color="auto"/>
      </w:divBdr>
      <w:divsChild>
        <w:div w:id="72513592">
          <w:marLeft w:val="0"/>
          <w:marRight w:val="0"/>
          <w:marTop w:val="0"/>
          <w:marBottom w:val="0"/>
          <w:divBdr>
            <w:top w:val="none" w:sz="0" w:space="0" w:color="auto"/>
            <w:left w:val="none" w:sz="0" w:space="0" w:color="auto"/>
            <w:bottom w:val="none" w:sz="0" w:space="0" w:color="auto"/>
            <w:right w:val="none" w:sz="0" w:space="0" w:color="auto"/>
          </w:divBdr>
        </w:div>
        <w:div w:id="316425835">
          <w:marLeft w:val="0"/>
          <w:marRight w:val="0"/>
          <w:marTop w:val="0"/>
          <w:marBottom w:val="0"/>
          <w:divBdr>
            <w:top w:val="none" w:sz="0" w:space="0" w:color="auto"/>
            <w:left w:val="none" w:sz="0" w:space="0" w:color="auto"/>
            <w:bottom w:val="none" w:sz="0" w:space="0" w:color="auto"/>
            <w:right w:val="none" w:sz="0" w:space="0" w:color="auto"/>
          </w:divBdr>
        </w:div>
        <w:div w:id="499390257">
          <w:marLeft w:val="0"/>
          <w:marRight w:val="0"/>
          <w:marTop w:val="0"/>
          <w:marBottom w:val="0"/>
          <w:divBdr>
            <w:top w:val="none" w:sz="0" w:space="0" w:color="auto"/>
            <w:left w:val="none" w:sz="0" w:space="0" w:color="auto"/>
            <w:bottom w:val="none" w:sz="0" w:space="0" w:color="auto"/>
            <w:right w:val="none" w:sz="0" w:space="0" w:color="auto"/>
          </w:divBdr>
        </w:div>
        <w:div w:id="902644511">
          <w:marLeft w:val="0"/>
          <w:marRight w:val="0"/>
          <w:marTop w:val="0"/>
          <w:marBottom w:val="0"/>
          <w:divBdr>
            <w:top w:val="none" w:sz="0" w:space="0" w:color="auto"/>
            <w:left w:val="none" w:sz="0" w:space="0" w:color="auto"/>
            <w:bottom w:val="none" w:sz="0" w:space="0" w:color="auto"/>
            <w:right w:val="none" w:sz="0" w:space="0" w:color="auto"/>
          </w:divBdr>
        </w:div>
        <w:div w:id="768431019">
          <w:marLeft w:val="0"/>
          <w:marRight w:val="0"/>
          <w:marTop w:val="0"/>
          <w:marBottom w:val="0"/>
          <w:divBdr>
            <w:top w:val="none" w:sz="0" w:space="0" w:color="auto"/>
            <w:left w:val="none" w:sz="0" w:space="0" w:color="auto"/>
            <w:bottom w:val="none" w:sz="0" w:space="0" w:color="auto"/>
            <w:right w:val="none" w:sz="0" w:space="0" w:color="auto"/>
          </w:divBdr>
        </w:div>
        <w:div w:id="1920214959">
          <w:marLeft w:val="0"/>
          <w:marRight w:val="0"/>
          <w:marTop w:val="0"/>
          <w:marBottom w:val="0"/>
          <w:divBdr>
            <w:top w:val="none" w:sz="0" w:space="0" w:color="auto"/>
            <w:left w:val="none" w:sz="0" w:space="0" w:color="auto"/>
            <w:bottom w:val="none" w:sz="0" w:space="0" w:color="auto"/>
            <w:right w:val="none" w:sz="0" w:space="0" w:color="auto"/>
          </w:divBdr>
        </w:div>
        <w:div w:id="1747220372">
          <w:marLeft w:val="0"/>
          <w:marRight w:val="0"/>
          <w:marTop w:val="0"/>
          <w:marBottom w:val="0"/>
          <w:divBdr>
            <w:top w:val="none" w:sz="0" w:space="0" w:color="auto"/>
            <w:left w:val="none" w:sz="0" w:space="0" w:color="auto"/>
            <w:bottom w:val="none" w:sz="0" w:space="0" w:color="auto"/>
            <w:right w:val="none" w:sz="0" w:space="0" w:color="auto"/>
          </w:divBdr>
        </w:div>
      </w:divsChild>
    </w:div>
    <w:div w:id="386342512">
      <w:bodyDiv w:val="1"/>
      <w:marLeft w:val="0"/>
      <w:marRight w:val="0"/>
      <w:marTop w:val="0"/>
      <w:marBottom w:val="0"/>
      <w:divBdr>
        <w:top w:val="none" w:sz="0" w:space="0" w:color="auto"/>
        <w:left w:val="none" w:sz="0" w:space="0" w:color="auto"/>
        <w:bottom w:val="none" w:sz="0" w:space="0" w:color="auto"/>
        <w:right w:val="none" w:sz="0" w:space="0" w:color="auto"/>
      </w:divBdr>
    </w:div>
    <w:div w:id="407191955">
      <w:bodyDiv w:val="1"/>
      <w:marLeft w:val="0"/>
      <w:marRight w:val="0"/>
      <w:marTop w:val="0"/>
      <w:marBottom w:val="0"/>
      <w:divBdr>
        <w:top w:val="none" w:sz="0" w:space="0" w:color="auto"/>
        <w:left w:val="none" w:sz="0" w:space="0" w:color="auto"/>
        <w:bottom w:val="none" w:sz="0" w:space="0" w:color="auto"/>
        <w:right w:val="none" w:sz="0" w:space="0" w:color="auto"/>
      </w:divBdr>
      <w:divsChild>
        <w:div w:id="260646659">
          <w:marLeft w:val="0"/>
          <w:marRight w:val="0"/>
          <w:marTop w:val="0"/>
          <w:marBottom w:val="0"/>
          <w:divBdr>
            <w:top w:val="none" w:sz="0" w:space="0" w:color="auto"/>
            <w:left w:val="none" w:sz="0" w:space="0" w:color="auto"/>
            <w:bottom w:val="none" w:sz="0" w:space="0" w:color="auto"/>
            <w:right w:val="none" w:sz="0" w:space="0" w:color="auto"/>
          </w:divBdr>
        </w:div>
        <w:div w:id="549540233">
          <w:marLeft w:val="0"/>
          <w:marRight w:val="0"/>
          <w:marTop w:val="0"/>
          <w:marBottom w:val="0"/>
          <w:divBdr>
            <w:top w:val="none" w:sz="0" w:space="0" w:color="auto"/>
            <w:left w:val="none" w:sz="0" w:space="0" w:color="auto"/>
            <w:bottom w:val="none" w:sz="0" w:space="0" w:color="auto"/>
            <w:right w:val="none" w:sz="0" w:space="0" w:color="auto"/>
          </w:divBdr>
        </w:div>
      </w:divsChild>
    </w:div>
    <w:div w:id="624577629">
      <w:bodyDiv w:val="1"/>
      <w:marLeft w:val="0"/>
      <w:marRight w:val="0"/>
      <w:marTop w:val="0"/>
      <w:marBottom w:val="0"/>
      <w:divBdr>
        <w:top w:val="none" w:sz="0" w:space="0" w:color="auto"/>
        <w:left w:val="none" w:sz="0" w:space="0" w:color="auto"/>
        <w:bottom w:val="none" w:sz="0" w:space="0" w:color="auto"/>
        <w:right w:val="none" w:sz="0" w:space="0" w:color="auto"/>
      </w:divBdr>
      <w:divsChild>
        <w:div w:id="391731273">
          <w:marLeft w:val="0"/>
          <w:marRight w:val="0"/>
          <w:marTop w:val="0"/>
          <w:marBottom w:val="0"/>
          <w:divBdr>
            <w:top w:val="none" w:sz="0" w:space="0" w:color="auto"/>
            <w:left w:val="none" w:sz="0" w:space="0" w:color="auto"/>
            <w:bottom w:val="none" w:sz="0" w:space="0" w:color="auto"/>
            <w:right w:val="none" w:sz="0" w:space="0" w:color="auto"/>
          </w:divBdr>
        </w:div>
        <w:div w:id="499470318">
          <w:marLeft w:val="0"/>
          <w:marRight w:val="0"/>
          <w:marTop w:val="0"/>
          <w:marBottom w:val="0"/>
          <w:divBdr>
            <w:top w:val="none" w:sz="0" w:space="0" w:color="auto"/>
            <w:left w:val="none" w:sz="0" w:space="0" w:color="auto"/>
            <w:bottom w:val="none" w:sz="0" w:space="0" w:color="auto"/>
            <w:right w:val="none" w:sz="0" w:space="0" w:color="auto"/>
          </w:divBdr>
        </w:div>
        <w:div w:id="1825582062">
          <w:marLeft w:val="0"/>
          <w:marRight w:val="0"/>
          <w:marTop w:val="0"/>
          <w:marBottom w:val="0"/>
          <w:divBdr>
            <w:top w:val="none" w:sz="0" w:space="0" w:color="auto"/>
            <w:left w:val="none" w:sz="0" w:space="0" w:color="auto"/>
            <w:bottom w:val="none" w:sz="0" w:space="0" w:color="auto"/>
            <w:right w:val="none" w:sz="0" w:space="0" w:color="auto"/>
          </w:divBdr>
        </w:div>
        <w:div w:id="1837457394">
          <w:marLeft w:val="0"/>
          <w:marRight w:val="0"/>
          <w:marTop w:val="0"/>
          <w:marBottom w:val="0"/>
          <w:divBdr>
            <w:top w:val="none" w:sz="0" w:space="0" w:color="auto"/>
            <w:left w:val="none" w:sz="0" w:space="0" w:color="auto"/>
            <w:bottom w:val="none" w:sz="0" w:space="0" w:color="auto"/>
            <w:right w:val="none" w:sz="0" w:space="0" w:color="auto"/>
          </w:divBdr>
        </w:div>
        <w:div w:id="395860219">
          <w:marLeft w:val="0"/>
          <w:marRight w:val="0"/>
          <w:marTop w:val="0"/>
          <w:marBottom w:val="0"/>
          <w:divBdr>
            <w:top w:val="none" w:sz="0" w:space="0" w:color="auto"/>
            <w:left w:val="none" w:sz="0" w:space="0" w:color="auto"/>
            <w:bottom w:val="none" w:sz="0" w:space="0" w:color="auto"/>
            <w:right w:val="none" w:sz="0" w:space="0" w:color="auto"/>
          </w:divBdr>
          <w:divsChild>
            <w:div w:id="19313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5308">
      <w:bodyDiv w:val="1"/>
      <w:marLeft w:val="0"/>
      <w:marRight w:val="0"/>
      <w:marTop w:val="0"/>
      <w:marBottom w:val="0"/>
      <w:divBdr>
        <w:top w:val="none" w:sz="0" w:space="0" w:color="auto"/>
        <w:left w:val="none" w:sz="0" w:space="0" w:color="auto"/>
        <w:bottom w:val="none" w:sz="0" w:space="0" w:color="auto"/>
        <w:right w:val="none" w:sz="0" w:space="0" w:color="auto"/>
      </w:divBdr>
      <w:divsChild>
        <w:div w:id="1916157885">
          <w:marLeft w:val="0"/>
          <w:marRight w:val="0"/>
          <w:marTop w:val="0"/>
          <w:marBottom w:val="0"/>
          <w:divBdr>
            <w:top w:val="none" w:sz="0" w:space="0" w:color="auto"/>
            <w:left w:val="none" w:sz="0" w:space="0" w:color="auto"/>
            <w:bottom w:val="none" w:sz="0" w:space="0" w:color="auto"/>
            <w:right w:val="none" w:sz="0" w:space="0" w:color="auto"/>
          </w:divBdr>
        </w:div>
        <w:div w:id="735712708">
          <w:marLeft w:val="0"/>
          <w:marRight w:val="0"/>
          <w:marTop w:val="0"/>
          <w:marBottom w:val="0"/>
          <w:divBdr>
            <w:top w:val="none" w:sz="0" w:space="0" w:color="auto"/>
            <w:left w:val="none" w:sz="0" w:space="0" w:color="auto"/>
            <w:bottom w:val="none" w:sz="0" w:space="0" w:color="auto"/>
            <w:right w:val="none" w:sz="0" w:space="0" w:color="auto"/>
          </w:divBdr>
        </w:div>
        <w:div w:id="186869544">
          <w:marLeft w:val="0"/>
          <w:marRight w:val="0"/>
          <w:marTop w:val="0"/>
          <w:marBottom w:val="0"/>
          <w:divBdr>
            <w:top w:val="none" w:sz="0" w:space="0" w:color="auto"/>
            <w:left w:val="none" w:sz="0" w:space="0" w:color="auto"/>
            <w:bottom w:val="none" w:sz="0" w:space="0" w:color="auto"/>
            <w:right w:val="none" w:sz="0" w:space="0" w:color="auto"/>
          </w:divBdr>
        </w:div>
        <w:div w:id="187640291">
          <w:marLeft w:val="0"/>
          <w:marRight w:val="0"/>
          <w:marTop w:val="0"/>
          <w:marBottom w:val="0"/>
          <w:divBdr>
            <w:top w:val="none" w:sz="0" w:space="0" w:color="auto"/>
            <w:left w:val="none" w:sz="0" w:space="0" w:color="auto"/>
            <w:bottom w:val="none" w:sz="0" w:space="0" w:color="auto"/>
            <w:right w:val="none" w:sz="0" w:space="0" w:color="auto"/>
          </w:divBdr>
        </w:div>
      </w:divsChild>
    </w:div>
    <w:div w:id="782190315">
      <w:bodyDiv w:val="1"/>
      <w:marLeft w:val="0"/>
      <w:marRight w:val="0"/>
      <w:marTop w:val="0"/>
      <w:marBottom w:val="0"/>
      <w:divBdr>
        <w:top w:val="none" w:sz="0" w:space="0" w:color="auto"/>
        <w:left w:val="none" w:sz="0" w:space="0" w:color="auto"/>
        <w:bottom w:val="none" w:sz="0" w:space="0" w:color="auto"/>
        <w:right w:val="none" w:sz="0" w:space="0" w:color="auto"/>
      </w:divBdr>
    </w:div>
    <w:div w:id="812478936">
      <w:bodyDiv w:val="1"/>
      <w:marLeft w:val="0"/>
      <w:marRight w:val="0"/>
      <w:marTop w:val="0"/>
      <w:marBottom w:val="0"/>
      <w:divBdr>
        <w:top w:val="none" w:sz="0" w:space="0" w:color="auto"/>
        <w:left w:val="none" w:sz="0" w:space="0" w:color="auto"/>
        <w:bottom w:val="none" w:sz="0" w:space="0" w:color="auto"/>
        <w:right w:val="none" w:sz="0" w:space="0" w:color="auto"/>
      </w:divBdr>
      <w:divsChild>
        <w:div w:id="1587807807">
          <w:marLeft w:val="0"/>
          <w:marRight w:val="0"/>
          <w:marTop w:val="0"/>
          <w:marBottom w:val="0"/>
          <w:divBdr>
            <w:top w:val="none" w:sz="0" w:space="0" w:color="auto"/>
            <w:left w:val="none" w:sz="0" w:space="0" w:color="auto"/>
            <w:bottom w:val="none" w:sz="0" w:space="0" w:color="auto"/>
            <w:right w:val="none" w:sz="0" w:space="0" w:color="auto"/>
          </w:divBdr>
        </w:div>
      </w:divsChild>
    </w:div>
    <w:div w:id="1076509304">
      <w:bodyDiv w:val="1"/>
      <w:marLeft w:val="0"/>
      <w:marRight w:val="0"/>
      <w:marTop w:val="30"/>
      <w:marBottom w:val="750"/>
      <w:divBdr>
        <w:top w:val="none" w:sz="0" w:space="0" w:color="auto"/>
        <w:left w:val="none" w:sz="0" w:space="0" w:color="auto"/>
        <w:bottom w:val="none" w:sz="0" w:space="0" w:color="auto"/>
        <w:right w:val="none" w:sz="0" w:space="0" w:color="auto"/>
      </w:divBdr>
      <w:divsChild>
        <w:div w:id="983777429">
          <w:marLeft w:val="0"/>
          <w:marRight w:val="0"/>
          <w:marTop w:val="0"/>
          <w:marBottom w:val="0"/>
          <w:divBdr>
            <w:top w:val="none" w:sz="0" w:space="0" w:color="auto"/>
            <w:left w:val="none" w:sz="0" w:space="0" w:color="auto"/>
            <w:bottom w:val="none" w:sz="0" w:space="0" w:color="auto"/>
            <w:right w:val="none" w:sz="0" w:space="0" w:color="auto"/>
          </w:divBdr>
        </w:div>
      </w:divsChild>
    </w:div>
    <w:div w:id="1167093480">
      <w:bodyDiv w:val="1"/>
      <w:marLeft w:val="0"/>
      <w:marRight w:val="0"/>
      <w:marTop w:val="0"/>
      <w:marBottom w:val="0"/>
      <w:divBdr>
        <w:top w:val="none" w:sz="0" w:space="0" w:color="auto"/>
        <w:left w:val="none" w:sz="0" w:space="0" w:color="auto"/>
        <w:bottom w:val="none" w:sz="0" w:space="0" w:color="auto"/>
        <w:right w:val="none" w:sz="0" w:space="0" w:color="auto"/>
      </w:divBdr>
    </w:div>
    <w:div w:id="1168834750">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1962299260">
          <w:marLeft w:val="0"/>
          <w:marRight w:val="0"/>
          <w:marTop w:val="0"/>
          <w:marBottom w:val="0"/>
          <w:divBdr>
            <w:top w:val="none" w:sz="0" w:space="0" w:color="auto"/>
            <w:left w:val="none" w:sz="0" w:space="0" w:color="auto"/>
            <w:bottom w:val="none" w:sz="0" w:space="0" w:color="auto"/>
            <w:right w:val="none" w:sz="0" w:space="0" w:color="auto"/>
          </w:divBdr>
        </w:div>
        <w:div w:id="1939483903">
          <w:marLeft w:val="0"/>
          <w:marRight w:val="0"/>
          <w:marTop w:val="0"/>
          <w:marBottom w:val="0"/>
          <w:divBdr>
            <w:top w:val="none" w:sz="0" w:space="0" w:color="auto"/>
            <w:left w:val="none" w:sz="0" w:space="0" w:color="auto"/>
            <w:bottom w:val="none" w:sz="0" w:space="0" w:color="auto"/>
            <w:right w:val="none" w:sz="0" w:space="0" w:color="auto"/>
          </w:divBdr>
        </w:div>
        <w:div w:id="1179923680">
          <w:marLeft w:val="0"/>
          <w:marRight w:val="0"/>
          <w:marTop w:val="0"/>
          <w:marBottom w:val="0"/>
          <w:divBdr>
            <w:top w:val="none" w:sz="0" w:space="0" w:color="auto"/>
            <w:left w:val="none" w:sz="0" w:space="0" w:color="auto"/>
            <w:bottom w:val="none" w:sz="0" w:space="0" w:color="auto"/>
            <w:right w:val="none" w:sz="0" w:space="0" w:color="auto"/>
          </w:divBdr>
        </w:div>
        <w:div w:id="12271234">
          <w:marLeft w:val="0"/>
          <w:marRight w:val="0"/>
          <w:marTop w:val="0"/>
          <w:marBottom w:val="0"/>
          <w:divBdr>
            <w:top w:val="none" w:sz="0" w:space="0" w:color="auto"/>
            <w:left w:val="none" w:sz="0" w:space="0" w:color="auto"/>
            <w:bottom w:val="none" w:sz="0" w:space="0" w:color="auto"/>
            <w:right w:val="none" w:sz="0" w:space="0" w:color="auto"/>
          </w:divBdr>
        </w:div>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877280540">
          <w:marLeft w:val="0"/>
          <w:marRight w:val="0"/>
          <w:marTop w:val="0"/>
          <w:marBottom w:val="0"/>
          <w:divBdr>
            <w:top w:val="none" w:sz="0" w:space="0" w:color="auto"/>
            <w:left w:val="none" w:sz="0" w:space="0" w:color="auto"/>
            <w:bottom w:val="none" w:sz="0" w:space="0" w:color="auto"/>
            <w:right w:val="none" w:sz="0" w:space="0" w:color="auto"/>
          </w:divBdr>
        </w:div>
        <w:div w:id="335497679">
          <w:marLeft w:val="0"/>
          <w:marRight w:val="0"/>
          <w:marTop w:val="0"/>
          <w:marBottom w:val="0"/>
          <w:divBdr>
            <w:top w:val="none" w:sz="0" w:space="0" w:color="auto"/>
            <w:left w:val="none" w:sz="0" w:space="0" w:color="auto"/>
            <w:bottom w:val="none" w:sz="0" w:space="0" w:color="auto"/>
            <w:right w:val="none" w:sz="0" w:space="0" w:color="auto"/>
          </w:divBdr>
        </w:div>
        <w:div w:id="579214059">
          <w:marLeft w:val="0"/>
          <w:marRight w:val="0"/>
          <w:marTop w:val="0"/>
          <w:marBottom w:val="0"/>
          <w:divBdr>
            <w:top w:val="none" w:sz="0" w:space="0" w:color="auto"/>
            <w:left w:val="none" w:sz="0" w:space="0" w:color="auto"/>
            <w:bottom w:val="none" w:sz="0" w:space="0" w:color="auto"/>
            <w:right w:val="none" w:sz="0" w:space="0" w:color="auto"/>
          </w:divBdr>
        </w:div>
        <w:div w:id="1121725390">
          <w:marLeft w:val="0"/>
          <w:marRight w:val="0"/>
          <w:marTop w:val="0"/>
          <w:marBottom w:val="0"/>
          <w:divBdr>
            <w:top w:val="none" w:sz="0" w:space="0" w:color="auto"/>
            <w:left w:val="none" w:sz="0" w:space="0" w:color="auto"/>
            <w:bottom w:val="none" w:sz="0" w:space="0" w:color="auto"/>
            <w:right w:val="none" w:sz="0" w:space="0" w:color="auto"/>
          </w:divBdr>
        </w:div>
        <w:div w:id="255872064">
          <w:marLeft w:val="0"/>
          <w:marRight w:val="0"/>
          <w:marTop w:val="0"/>
          <w:marBottom w:val="0"/>
          <w:divBdr>
            <w:top w:val="none" w:sz="0" w:space="0" w:color="auto"/>
            <w:left w:val="none" w:sz="0" w:space="0" w:color="auto"/>
            <w:bottom w:val="none" w:sz="0" w:space="0" w:color="auto"/>
            <w:right w:val="none" w:sz="0" w:space="0" w:color="auto"/>
          </w:divBdr>
        </w:div>
        <w:div w:id="1163010230">
          <w:marLeft w:val="0"/>
          <w:marRight w:val="0"/>
          <w:marTop w:val="0"/>
          <w:marBottom w:val="0"/>
          <w:divBdr>
            <w:top w:val="none" w:sz="0" w:space="0" w:color="auto"/>
            <w:left w:val="none" w:sz="0" w:space="0" w:color="auto"/>
            <w:bottom w:val="none" w:sz="0" w:space="0" w:color="auto"/>
            <w:right w:val="none" w:sz="0" w:space="0" w:color="auto"/>
          </w:divBdr>
        </w:div>
        <w:div w:id="1763068735">
          <w:marLeft w:val="0"/>
          <w:marRight w:val="0"/>
          <w:marTop w:val="0"/>
          <w:marBottom w:val="0"/>
          <w:divBdr>
            <w:top w:val="none" w:sz="0" w:space="0" w:color="auto"/>
            <w:left w:val="none" w:sz="0" w:space="0" w:color="auto"/>
            <w:bottom w:val="none" w:sz="0" w:space="0" w:color="auto"/>
            <w:right w:val="none" w:sz="0" w:space="0" w:color="auto"/>
          </w:divBdr>
        </w:div>
        <w:div w:id="1196381830">
          <w:marLeft w:val="0"/>
          <w:marRight w:val="0"/>
          <w:marTop w:val="0"/>
          <w:marBottom w:val="0"/>
          <w:divBdr>
            <w:top w:val="none" w:sz="0" w:space="0" w:color="auto"/>
            <w:left w:val="none" w:sz="0" w:space="0" w:color="auto"/>
            <w:bottom w:val="none" w:sz="0" w:space="0" w:color="auto"/>
            <w:right w:val="none" w:sz="0" w:space="0" w:color="auto"/>
          </w:divBdr>
        </w:div>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250306447">
      <w:bodyDiv w:val="1"/>
      <w:marLeft w:val="0"/>
      <w:marRight w:val="0"/>
      <w:marTop w:val="0"/>
      <w:marBottom w:val="0"/>
      <w:divBdr>
        <w:top w:val="none" w:sz="0" w:space="0" w:color="auto"/>
        <w:left w:val="none" w:sz="0" w:space="0" w:color="auto"/>
        <w:bottom w:val="none" w:sz="0" w:space="0" w:color="auto"/>
        <w:right w:val="none" w:sz="0" w:space="0" w:color="auto"/>
      </w:divBdr>
    </w:div>
    <w:div w:id="1325088281">
      <w:bodyDiv w:val="1"/>
      <w:marLeft w:val="0"/>
      <w:marRight w:val="0"/>
      <w:marTop w:val="0"/>
      <w:marBottom w:val="0"/>
      <w:divBdr>
        <w:top w:val="none" w:sz="0" w:space="0" w:color="auto"/>
        <w:left w:val="none" w:sz="0" w:space="0" w:color="auto"/>
        <w:bottom w:val="none" w:sz="0" w:space="0" w:color="auto"/>
        <w:right w:val="none" w:sz="0" w:space="0" w:color="auto"/>
      </w:divBdr>
      <w:divsChild>
        <w:div w:id="1735353325">
          <w:marLeft w:val="0"/>
          <w:marRight w:val="0"/>
          <w:marTop w:val="0"/>
          <w:marBottom w:val="0"/>
          <w:divBdr>
            <w:top w:val="none" w:sz="0" w:space="0" w:color="auto"/>
            <w:left w:val="none" w:sz="0" w:space="0" w:color="auto"/>
            <w:bottom w:val="none" w:sz="0" w:space="0" w:color="auto"/>
            <w:right w:val="none" w:sz="0" w:space="0" w:color="auto"/>
          </w:divBdr>
        </w:div>
        <w:div w:id="619917875">
          <w:marLeft w:val="0"/>
          <w:marRight w:val="0"/>
          <w:marTop w:val="0"/>
          <w:marBottom w:val="0"/>
          <w:divBdr>
            <w:top w:val="none" w:sz="0" w:space="0" w:color="auto"/>
            <w:left w:val="none" w:sz="0" w:space="0" w:color="auto"/>
            <w:bottom w:val="none" w:sz="0" w:space="0" w:color="auto"/>
            <w:right w:val="none" w:sz="0" w:space="0" w:color="auto"/>
          </w:divBdr>
        </w:div>
        <w:div w:id="1657110018">
          <w:marLeft w:val="0"/>
          <w:marRight w:val="0"/>
          <w:marTop w:val="0"/>
          <w:marBottom w:val="0"/>
          <w:divBdr>
            <w:top w:val="none" w:sz="0" w:space="0" w:color="auto"/>
            <w:left w:val="none" w:sz="0" w:space="0" w:color="auto"/>
            <w:bottom w:val="none" w:sz="0" w:space="0" w:color="auto"/>
            <w:right w:val="none" w:sz="0" w:space="0" w:color="auto"/>
          </w:divBdr>
        </w:div>
      </w:divsChild>
    </w:div>
    <w:div w:id="1379402810">
      <w:bodyDiv w:val="1"/>
      <w:marLeft w:val="0"/>
      <w:marRight w:val="0"/>
      <w:marTop w:val="0"/>
      <w:marBottom w:val="0"/>
      <w:divBdr>
        <w:top w:val="none" w:sz="0" w:space="0" w:color="auto"/>
        <w:left w:val="none" w:sz="0" w:space="0" w:color="auto"/>
        <w:bottom w:val="none" w:sz="0" w:space="0" w:color="auto"/>
        <w:right w:val="none" w:sz="0" w:space="0" w:color="auto"/>
      </w:divBdr>
      <w:divsChild>
        <w:div w:id="1150902981">
          <w:marLeft w:val="0"/>
          <w:marRight w:val="0"/>
          <w:marTop w:val="0"/>
          <w:marBottom w:val="0"/>
          <w:divBdr>
            <w:top w:val="none" w:sz="0" w:space="0" w:color="auto"/>
            <w:left w:val="none" w:sz="0" w:space="0" w:color="auto"/>
            <w:bottom w:val="none" w:sz="0" w:space="0" w:color="auto"/>
            <w:right w:val="none" w:sz="0" w:space="0" w:color="auto"/>
          </w:divBdr>
        </w:div>
      </w:divsChild>
    </w:div>
    <w:div w:id="1392145891">
      <w:bodyDiv w:val="1"/>
      <w:marLeft w:val="0"/>
      <w:marRight w:val="0"/>
      <w:marTop w:val="0"/>
      <w:marBottom w:val="0"/>
      <w:divBdr>
        <w:top w:val="none" w:sz="0" w:space="0" w:color="auto"/>
        <w:left w:val="none" w:sz="0" w:space="0" w:color="auto"/>
        <w:bottom w:val="none" w:sz="0" w:space="0" w:color="auto"/>
        <w:right w:val="none" w:sz="0" w:space="0" w:color="auto"/>
      </w:divBdr>
    </w:div>
    <w:div w:id="1560826115">
      <w:bodyDiv w:val="1"/>
      <w:marLeft w:val="0"/>
      <w:marRight w:val="0"/>
      <w:marTop w:val="0"/>
      <w:marBottom w:val="0"/>
      <w:divBdr>
        <w:top w:val="none" w:sz="0" w:space="0" w:color="auto"/>
        <w:left w:val="none" w:sz="0" w:space="0" w:color="auto"/>
        <w:bottom w:val="none" w:sz="0" w:space="0" w:color="auto"/>
        <w:right w:val="none" w:sz="0" w:space="0" w:color="auto"/>
      </w:divBdr>
      <w:divsChild>
        <w:div w:id="87166071">
          <w:marLeft w:val="0"/>
          <w:marRight w:val="0"/>
          <w:marTop w:val="0"/>
          <w:marBottom w:val="0"/>
          <w:divBdr>
            <w:top w:val="none" w:sz="0" w:space="0" w:color="auto"/>
            <w:left w:val="none" w:sz="0" w:space="0" w:color="auto"/>
            <w:bottom w:val="none" w:sz="0" w:space="0" w:color="auto"/>
            <w:right w:val="none" w:sz="0" w:space="0" w:color="auto"/>
          </w:divBdr>
        </w:div>
        <w:div w:id="1332634250">
          <w:marLeft w:val="0"/>
          <w:marRight w:val="0"/>
          <w:marTop w:val="0"/>
          <w:marBottom w:val="0"/>
          <w:divBdr>
            <w:top w:val="none" w:sz="0" w:space="0" w:color="auto"/>
            <w:left w:val="none" w:sz="0" w:space="0" w:color="auto"/>
            <w:bottom w:val="none" w:sz="0" w:space="0" w:color="auto"/>
            <w:right w:val="none" w:sz="0" w:space="0" w:color="auto"/>
          </w:divBdr>
        </w:div>
        <w:div w:id="2131896458">
          <w:marLeft w:val="0"/>
          <w:marRight w:val="0"/>
          <w:marTop w:val="0"/>
          <w:marBottom w:val="0"/>
          <w:divBdr>
            <w:top w:val="none" w:sz="0" w:space="0" w:color="auto"/>
            <w:left w:val="none" w:sz="0" w:space="0" w:color="auto"/>
            <w:bottom w:val="none" w:sz="0" w:space="0" w:color="auto"/>
            <w:right w:val="none" w:sz="0" w:space="0" w:color="auto"/>
          </w:divBdr>
        </w:div>
        <w:div w:id="1339507762">
          <w:marLeft w:val="0"/>
          <w:marRight w:val="0"/>
          <w:marTop w:val="0"/>
          <w:marBottom w:val="0"/>
          <w:divBdr>
            <w:top w:val="none" w:sz="0" w:space="0" w:color="auto"/>
            <w:left w:val="none" w:sz="0" w:space="0" w:color="auto"/>
            <w:bottom w:val="none" w:sz="0" w:space="0" w:color="auto"/>
            <w:right w:val="none" w:sz="0" w:space="0" w:color="auto"/>
          </w:divBdr>
        </w:div>
        <w:div w:id="1336615608">
          <w:marLeft w:val="0"/>
          <w:marRight w:val="0"/>
          <w:marTop w:val="0"/>
          <w:marBottom w:val="0"/>
          <w:divBdr>
            <w:top w:val="none" w:sz="0" w:space="0" w:color="auto"/>
            <w:left w:val="none" w:sz="0" w:space="0" w:color="auto"/>
            <w:bottom w:val="none" w:sz="0" w:space="0" w:color="auto"/>
            <w:right w:val="none" w:sz="0" w:space="0" w:color="auto"/>
          </w:divBdr>
        </w:div>
        <w:div w:id="2005544886">
          <w:marLeft w:val="0"/>
          <w:marRight w:val="0"/>
          <w:marTop w:val="0"/>
          <w:marBottom w:val="0"/>
          <w:divBdr>
            <w:top w:val="none" w:sz="0" w:space="0" w:color="auto"/>
            <w:left w:val="none" w:sz="0" w:space="0" w:color="auto"/>
            <w:bottom w:val="none" w:sz="0" w:space="0" w:color="auto"/>
            <w:right w:val="none" w:sz="0" w:space="0" w:color="auto"/>
          </w:divBdr>
        </w:div>
      </w:divsChild>
    </w:div>
    <w:div w:id="1893731955">
      <w:bodyDiv w:val="1"/>
      <w:marLeft w:val="0"/>
      <w:marRight w:val="0"/>
      <w:marTop w:val="0"/>
      <w:marBottom w:val="0"/>
      <w:divBdr>
        <w:top w:val="none" w:sz="0" w:space="0" w:color="auto"/>
        <w:left w:val="none" w:sz="0" w:space="0" w:color="auto"/>
        <w:bottom w:val="none" w:sz="0" w:space="0" w:color="auto"/>
        <w:right w:val="none" w:sz="0" w:space="0" w:color="auto"/>
      </w:divBdr>
      <w:divsChild>
        <w:div w:id="1553880213">
          <w:marLeft w:val="0"/>
          <w:marRight w:val="0"/>
          <w:marTop w:val="0"/>
          <w:marBottom w:val="0"/>
          <w:divBdr>
            <w:top w:val="none" w:sz="0" w:space="0" w:color="auto"/>
            <w:left w:val="none" w:sz="0" w:space="0" w:color="auto"/>
            <w:bottom w:val="none" w:sz="0" w:space="0" w:color="auto"/>
            <w:right w:val="none" w:sz="0" w:space="0" w:color="auto"/>
          </w:divBdr>
        </w:div>
      </w:divsChild>
    </w:div>
    <w:div w:id="1913002568">
      <w:bodyDiv w:val="1"/>
      <w:marLeft w:val="0"/>
      <w:marRight w:val="0"/>
      <w:marTop w:val="0"/>
      <w:marBottom w:val="0"/>
      <w:divBdr>
        <w:top w:val="none" w:sz="0" w:space="0" w:color="auto"/>
        <w:left w:val="none" w:sz="0" w:space="0" w:color="auto"/>
        <w:bottom w:val="none" w:sz="0" w:space="0" w:color="auto"/>
        <w:right w:val="none" w:sz="0" w:space="0" w:color="auto"/>
      </w:divBdr>
      <w:divsChild>
        <w:div w:id="389766536">
          <w:marLeft w:val="0"/>
          <w:marRight w:val="0"/>
          <w:marTop w:val="0"/>
          <w:marBottom w:val="0"/>
          <w:divBdr>
            <w:top w:val="none" w:sz="0" w:space="0" w:color="auto"/>
            <w:left w:val="none" w:sz="0" w:space="0" w:color="auto"/>
            <w:bottom w:val="none" w:sz="0" w:space="0" w:color="auto"/>
            <w:right w:val="none" w:sz="0" w:space="0" w:color="auto"/>
          </w:divBdr>
        </w:div>
        <w:div w:id="442648672">
          <w:marLeft w:val="0"/>
          <w:marRight w:val="0"/>
          <w:marTop w:val="0"/>
          <w:marBottom w:val="0"/>
          <w:divBdr>
            <w:top w:val="none" w:sz="0" w:space="0" w:color="auto"/>
            <w:left w:val="none" w:sz="0" w:space="0" w:color="auto"/>
            <w:bottom w:val="none" w:sz="0" w:space="0" w:color="auto"/>
            <w:right w:val="none" w:sz="0" w:space="0" w:color="auto"/>
          </w:divBdr>
        </w:div>
        <w:div w:id="380634598">
          <w:marLeft w:val="0"/>
          <w:marRight w:val="0"/>
          <w:marTop w:val="0"/>
          <w:marBottom w:val="0"/>
          <w:divBdr>
            <w:top w:val="none" w:sz="0" w:space="0" w:color="auto"/>
            <w:left w:val="none" w:sz="0" w:space="0" w:color="auto"/>
            <w:bottom w:val="none" w:sz="0" w:space="0" w:color="auto"/>
            <w:right w:val="none" w:sz="0" w:space="0" w:color="auto"/>
          </w:divBdr>
        </w:div>
        <w:div w:id="1358778336">
          <w:marLeft w:val="0"/>
          <w:marRight w:val="0"/>
          <w:marTop w:val="0"/>
          <w:marBottom w:val="0"/>
          <w:divBdr>
            <w:top w:val="none" w:sz="0" w:space="0" w:color="auto"/>
            <w:left w:val="none" w:sz="0" w:space="0" w:color="auto"/>
            <w:bottom w:val="none" w:sz="0" w:space="0" w:color="auto"/>
            <w:right w:val="none" w:sz="0" w:space="0" w:color="auto"/>
          </w:divBdr>
        </w:div>
        <w:div w:id="1717387935">
          <w:marLeft w:val="0"/>
          <w:marRight w:val="0"/>
          <w:marTop w:val="0"/>
          <w:marBottom w:val="0"/>
          <w:divBdr>
            <w:top w:val="none" w:sz="0" w:space="0" w:color="auto"/>
            <w:left w:val="none" w:sz="0" w:space="0" w:color="auto"/>
            <w:bottom w:val="none" w:sz="0" w:space="0" w:color="auto"/>
            <w:right w:val="none" w:sz="0" w:space="0" w:color="auto"/>
          </w:divBdr>
        </w:div>
      </w:divsChild>
    </w:div>
    <w:div w:id="1936668880">
      <w:bodyDiv w:val="1"/>
      <w:marLeft w:val="0"/>
      <w:marRight w:val="0"/>
      <w:marTop w:val="0"/>
      <w:marBottom w:val="0"/>
      <w:divBdr>
        <w:top w:val="none" w:sz="0" w:space="0" w:color="auto"/>
        <w:left w:val="none" w:sz="0" w:space="0" w:color="auto"/>
        <w:bottom w:val="none" w:sz="0" w:space="0" w:color="auto"/>
        <w:right w:val="none" w:sz="0" w:space="0" w:color="auto"/>
      </w:divBdr>
      <w:divsChild>
        <w:div w:id="1022436881">
          <w:marLeft w:val="0"/>
          <w:marRight w:val="0"/>
          <w:marTop w:val="0"/>
          <w:marBottom w:val="0"/>
          <w:divBdr>
            <w:top w:val="none" w:sz="0" w:space="0" w:color="auto"/>
            <w:left w:val="none" w:sz="0" w:space="0" w:color="auto"/>
            <w:bottom w:val="none" w:sz="0" w:space="0" w:color="auto"/>
            <w:right w:val="none" w:sz="0" w:space="0" w:color="auto"/>
          </w:divBdr>
        </w:div>
        <w:div w:id="1037704150">
          <w:marLeft w:val="0"/>
          <w:marRight w:val="0"/>
          <w:marTop w:val="0"/>
          <w:marBottom w:val="0"/>
          <w:divBdr>
            <w:top w:val="none" w:sz="0" w:space="0" w:color="auto"/>
            <w:left w:val="none" w:sz="0" w:space="0" w:color="auto"/>
            <w:bottom w:val="none" w:sz="0" w:space="0" w:color="auto"/>
            <w:right w:val="none" w:sz="0" w:space="0" w:color="auto"/>
          </w:divBdr>
        </w:div>
        <w:div w:id="2098596914">
          <w:marLeft w:val="0"/>
          <w:marRight w:val="0"/>
          <w:marTop w:val="0"/>
          <w:marBottom w:val="0"/>
          <w:divBdr>
            <w:top w:val="none" w:sz="0" w:space="0" w:color="auto"/>
            <w:left w:val="none" w:sz="0" w:space="0" w:color="auto"/>
            <w:bottom w:val="none" w:sz="0" w:space="0" w:color="auto"/>
            <w:right w:val="none" w:sz="0" w:space="0" w:color="auto"/>
          </w:divBdr>
        </w:div>
        <w:div w:id="1630042529">
          <w:marLeft w:val="0"/>
          <w:marRight w:val="0"/>
          <w:marTop w:val="0"/>
          <w:marBottom w:val="0"/>
          <w:divBdr>
            <w:top w:val="none" w:sz="0" w:space="0" w:color="auto"/>
            <w:left w:val="none" w:sz="0" w:space="0" w:color="auto"/>
            <w:bottom w:val="none" w:sz="0" w:space="0" w:color="auto"/>
            <w:right w:val="none" w:sz="0" w:space="0" w:color="auto"/>
          </w:divBdr>
        </w:div>
        <w:div w:id="1150249806">
          <w:marLeft w:val="0"/>
          <w:marRight w:val="0"/>
          <w:marTop w:val="0"/>
          <w:marBottom w:val="0"/>
          <w:divBdr>
            <w:top w:val="none" w:sz="0" w:space="0" w:color="auto"/>
            <w:left w:val="none" w:sz="0" w:space="0" w:color="auto"/>
            <w:bottom w:val="none" w:sz="0" w:space="0" w:color="auto"/>
            <w:right w:val="none" w:sz="0" w:space="0" w:color="auto"/>
          </w:divBdr>
        </w:div>
        <w:div w:id="745735558">
          <w:marLeft w:val="0"/>
          <w:marRight w:val="0"/>
          <w:marTop w:val="0"/>
          <w:marBottom w:val="0"/>
          <w:divBdr>
            <w:top w:val="none" w:sz="0" w:space="0" w:color="auto"/>
            <w:left w:val="none" w:sz="0" w:space="0" w:color="auto"/>
            <w:bottom w:val="none" w:sz="0" w:space="0" w:color="auto"/>
            <w:right w:val="none" w:sz="0" w:space="0" w:color="auto"/>
          </w:divBdr>
        </w:div>
        <w:div w:id="1761678579">
          <w:marLeft w:val="0"/>
          <w:marRight w:val="0"/>
          <w:marTop w:val="0"/>
          <w:marBottom w:val="0"/>
          <w:divBdr>
            <w:top w:val="none" w:sz="0" w:space="0" w:color="auto"/>
            <w:left w:val="none" w:sz="0" w:space="0" w:color="auto"/>
            <w:bottom w:val="none" w:sz="0" w:space="0" w:color="auto"/>
            <w:right w:val="none" w:sz="0" w:space="0" w:color="auto"/>
          </w:divBdr>
        </w:div>
        <w:div w:id="994606823">
          <w:marLeft w:val="0"/>
          <w:marRight w:val="0"/>
          <w:marTop w:val="0"/>
          <w:marBottom w:val="0"/>
          <w:divBdr>
            <w:top w:val="none" w:sz="0" w:space="0" w:color="auto"/>
            <w:left w:val="none" w:sz="0" w:space="0" w:color="auto"/>
            <w:bottom w:val="none" w:sz="0" w:space="0" w:color="auto"/>
            <w:right w:val="none" w:sz="0" w:space="0" w:color="auto"/>
          </w:divBdr>
        </w:div>
        <w:div w:id="553272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cfr.gov/cgi-bin/text-idx?SID=a91f722726503e11f0b76924b0474a45&amp;mc=true&amp;node=se38.1.3_11707&amp;rgn=div8"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law.cornell.edu/uscode/text/38/1151" TargetMode="External"/><Relationship Id="rId2" Type="http://schemas.openxmlformats.org/officeDocument/2006/relationships/customXml" Target="../customXml/item2.xml"/><Relationship Id="rId16" Type="http://schemas.openxmlformats.org/officeDocument/2006/relationships/hyperlink" Target="https://www.law.cornell.edu/uscode/text/38/1318" TargetMode="External"/><Relationship Id="rId20" Type="http://schemas.openxmlformats.org/officeDocument/2006/relationships/hyperlink" Target="https://www.vba.va.gov/pubs/forms/VBA-21P-530EZ-AR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aw.cornell.edu/uscode/text/38/1151"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vba.va.gov/pubs/forms/VBA-21P-530-AR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y.Czigan\Desktop\VBA%20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2022-03-30T13:57:18+00:00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0006F7AD5D746B298D891BD9B5B40" ma:contentTypeVersion="13" ma:contentTypeDescription="Create a new document." ma:contentTypeScope="" ma:versionID="06b522b2ac0aa0bb0e35a69986383f68">
  <xsd:schema xmlns:xsd="http://www.w3.org/2001/XMLSchema" xmlns:xs="http://www.w3.org/2001/XMLSchema" xmlns:p="http://schemas.microsoft.com/office/2006/metadata/properties" xmlns:ns1="http://schemas.microsoft.com/sharepoint/v3" targetNamespace="http://schemas.microsoft.com/office/2006/metadata/properties" ma:root="true" ma:fieldsID="6fbe7bbc6bf1e0fa5aacedfea28f661d"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Expiration" staticId="0x010100BFA0006F7AD5D746B298D891BD9B5B40|-1554823660" UniqueId="7a4315aa-4077-476d-a052-de9e0e27754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Created</property>
                  <propertyId>8c06beca-0777-48f7-91c7-6da68bc07b69</propertyId>
                  <period>days</period>
                </formula>
                <action type="action" id="Microsoft.Office.RecordsManagement.PolicyFeatures.Expiration.Action.MoveToRecycleBin"/>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85AF4-51E4-4C5F-9EE4-A041E7A3C17F}">
  <ds:schemaRefs>
    <ds:schemaRef ds:uri="http://schemas.openxmlformats.org/officeDocument/2006/bibliography"/>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A61236A-F055-49C3-84A5-B20DDD694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4FBD9-80B9-4B79-B8D7-98F2517A28A3}">
  <ds:schemaRefs>
    <ds:schemaRef ds:uri="office.server.policy"/>
  </ds:schemaRefs>
</ds:datastoreItem>
</file>

<file path=customXml/itemProps5.xml><?xml version="1.0" encoding="utf-8"?>
<ds:datastoreItem xmlns:ds="http://schemas.openxmlformats.org/officeDocument/2006/customXml" ds:itemID="{EDEBA2E8-DE3F-44CC-80AE-7346C8CE5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VBA LESSON PLAN TEMPLATE</Template>
  <TotalTime>12</TotalTime>
  <Pages>7</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Burial Benefits Eligibility Job Aid</vt:lpstr>
    </vt:vector>
  </TitlesOfParts>
  <Company>Veterans Benefits Administration</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Burial Benefits Eligibility Job Aid</dc:title>
  <dc:creator>Department of Veterans Affairs, Veterans Benefits Administration, Pension and Fiduciary Service, STAFF</dc:creator>
  <cp:lastModifiedBy>Kathy Poole</cp:lastModifiedBy>
  <cp:revision>5</cp:revision>
  <dcterms:created xsi:type="dcterms:W3CDTF">2022-03-16T15:05:00Z</dcterms:created>
  <dcterms:modified xsi:type="dcterms:W3CDTF">2022-03-23T17:21:00Z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0x010100BFA0006F7AD5D746B298D891BD9B5B40</vt:lpwstr>
  </property>
  <property fmtid="{D5CDD505-2E9C-101B-9397-08002B2CF9AE}" pid="3" name="Order">
    <vt:r8>93100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dlc_policyId">
    <vt:lpwstr>0x010100BFA0006F7AD5D746B298D891BD9B5B40|-1554823660</vt:lpwstr>
  </property>
  <property fmtid="{D5CDD505-2E9C-101B-9397-08002B2CF9AE}" pid="11"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12" name="Language">
    <vt:lpwstr>en</vt:lpwstr>
  </property>
  <property fmtid="{D5CDD505-2E9C-101B-9397-08002B2CF9AE}" pid="13" name="Type">
    <vt:lpwstr>Reference</vt:lpwstr>
  </property>
</Properties>
</file>