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B3E4" w14:textId="77777777" w:rsidR="00C8779F" w:rsidRPr="00FF74F9" w:rsidRDefault="004B566A" w:rsidP="006C56E6">
      <w:pPr>
        <w:pStyle w:val="VBAILTCoverService"/>
        <w:rPr>
          <w:rFonts w:ascii="Verdana" w:hAnsi="Verdana"/>
        </w:rPr>
      </w:pPr>
      <w:r w:rsidRPr="00FF74F9">
        <w:rPr>
          <w:rFonts w:ascii="Verdana" w:hAnsi="Verdana"/>
        </w:rPr>
        <w:t xml:space="preserve">PENSION AND FIDUCIARY </w:t>
      </w:r>
      <w:r w:rsidR="00C8779F" w:rsidRPr="00FF74F9">
        <w:rPr>
          <w:rFonts w:ascii="Verdana" w:hAnsi="Verdana"/>
        </w:rPr>
        <w:t>Service</w:t>
      </w:r>
    </w:p>
    <w:p w14:paraId="37591EED" w14:textId="0CD6C07D" w:rsidR="00C8779F" w:rsidRPr="00FF74F9" w:rsidRDefault="004B566A" w:rsidP="00661F71">
      <w:pPr>
        <w:pStyle w:val="VBAILTCoverdoctypecourse"/>
        <w:spacing w:line="240" w:lineRule="auto"/>
        <w:contextualSpacing/>
      </w:pPr>
      <w:r w:rsidRPr="00FF74F9">
        <w:t xml:space="preserve">PMC VSR </w:t>
      </w:r>
      <w:r w:rsidR="00661F71">
        <w:t xml:space="preserve">Advanced </w:t>
      </w:r>
      <w:r w:rsidRPr="00FF74F9">
        <w:t>Core Course</w:t>
      </w:r>
    </w:p>
    <w:p w14:paraId="56471D42" w14:textId="4868BFC3" w:rsidR="008A4E5B" w:rsidRPr="00FF74F9" w:rsidRDefault="00A10B66" w:rsidP="00661F71">
      <w:pPr>
        <w:pStyle w:val="VBAILTCoverdoctypecourse"/>
        <w:spacing w:line="240" w:lineRule="auto"/>
        <w:contextualSpacing/>
      </w:pPr>
      <w:r w:rsidRPr="00FF74F9">
        <w:t xml:space="preserve">Phase 6: </w:t>
      </w:r>
      <w:r w:rsidR="00661F71">
        <w:t>Practical Application and Experience</w:t>
      </w:r>
      <w:r w:rsidRPr="00FF74F9">
        <w:t xml:space="preserve"> </w:t>
      </w:r>
    </w:p>
    <w:p w14:paraId="71042F8E" w14:textId="1634D467" w:rsidR="00C214A9" w:rsidRPr="00FF74F9" w:rsidRDefault="00A10B66" w:rsidP="00661F71">
      <w:pPr>
        <w:pStyle w:val="VBAILTCoverLessonTitle"/>
        <w:spacing w:line="240" w:lineRule="auto"/>
        <w:contextualSpacing/>
      </w:pPr>
      <w:r w:rsidRPr="00FF74F9">
        <w:t xml:space="preserve">Process </w:t>
      </w:r>
      <w:r w:rsidR="0031023B" w:rsidRPr="00FF74F9">
        <w:t>DIC</w:t>
      </w:r>
      <w:r w:rsidR="009A5590" w:rsidRPr="00FF74F9">
        <w:t xml:space="preserve"> </w:t>
      </w:r>
      <w:r w:rsidR="00F169A6" w:rsidRPr="00FF74F9">
        <w:t>Claim</w:t>
      </w:r>
      <w:r w:rsidR="009A5590" w:rsidRPr="00FF74F9">
        <w:t>s</w:t>
      </w:r>
      <w:r w:rsidRPr="00FF74F9">
        <w:t xml:space="preserve">  </w:t>
      </w:r>
    </w:p>
    <w:p w14:paraId="48A14309" w14:textId="77777777" w:rsidR="00C30F06" w:rsidRPr="00FF74F9" w:rsidRDefault="004B566A" w:rsidP="00661F71">
      <w:pPr>
        <w:pStyle w:val="VBAILTCoverdoctypecourse"/>
        <w:spacing w:line="240" w:lineRule="auto"/>
        <w:contextualSpacing/>
      </w:pPr>
      <w:r w:rsidRPr="00FF74F9">
        <w:t>Appendix A</w:t>
      </w:r>
      <w:r w:rsidR="00C30F06" w:rsidRPr="00FF74F9">
        <w:t xml:space="preserve"> </w:t>
      </w:r>
    </w:p>
    <w:p w14:paraId="6D959233" w14:textId="62805AE0" w:rsidR="001D2E6A" w:rsidRPr="00FF74F9" w:rsidRDefault="00C222E1" w:rsidP="003C3378">
      <w:pPr>
        <w:pStyle w:val="VBAILTCoverMisc"/>
      </w:pPr>
      <w:r>
        <w:t>June</w:t>
      </w:r>
      <w:r w:rsidR="00EE6A21">
        <w:t xml:space="preserve"> | 202</w:t>
      </w:r>
      <w:r>
        <w:t>4</w:t>
      </w:r>
    </w:p>
    <w:p w14:paraId="3216ACE5" w14:textId="36321713" w:rsidR="006C56E6" w:rsidRPr="00FF74F9" w:rsidRDefault="006C56E6" w:rsidP="00C8779F">
      <w:pPr>
        <w:pStyle w:val="VBAILTCoverMisc"/>
        <w:sectPr w:rsidR="006C56E6" w:rsidRPr="00FF74F9" w:rsidSect="006C56E6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74A63C9" w14:textId="05115521" w:rsidR="00C214A9" w:rsidRPr="00FF74F9" w:rsidRDefault="0031023B" w:rsidP="002D1DCE">
      <w:pPr>
        <w:pStyle w:val="VBAILTHeading1"/>
        <w:rPr>
          <w:sz w:val="22"/>
          <w:szCs w:val="22"/>
        </w:rPr>
      </w:pPr>
      <w:r w:rsidRPr="00FF74F9">
        <w:rPr>
          <w:sz w:val="22"/>
          <w:szCs w:val="22"/>
        </w:rPr>
        <w:lastRenderedPageBreak/>
        <w:t>Prerequisites</w:t>
      </w:r>
      <w:r w:rsidR="004B566A" w:rsidRPr="00FF74F9">
        <w:rPr>
          <w:sz w:val="22"/>
          <w:szCs w:val="22"/>
        </w:rPr>
        <w:t xml:space="preserve"> </w:t>
      </w:r>
      <w:r w:rsidR="002D1DCE" w:rsidRPr="00FF74F9">
        <w:rPr>
          <w:sz w:val="22"/>
          <w:szCs w:val="22"/>
        </w:rPr>
        <w:t xml:space="preserve"> </w:t>
      </w:r>
    </w:p>
    <w:tbl>
      <w:tblPr>
        <w:tblStyle w:val="TableGrid"/>
        <w:tblW w:w="9403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4027"/>
        <w:gridCol w:w="5376"/>
      </w:tblGrid>
      <w:tr w:rsidR="00604334" w:rsidRPr="00FF74F9" w14:paraId="2AB4B282" w14:textId="77777777" w:rsidTr="00C746EB">
        <w:trPr>
          <w:tblHeader/>
          <w:jc w:val="center"/>
        </w:trPr>
        <w:tc>
          <w:tcPr>
            <w:tcW w:w="4027" w:type="dxa"/>
            <w:shd w:val="clear" w:color="auto" w:fill="BDD6EE" w:themeFill="accent1" w:themeFillTint="66"/>
          </w:tcPr>
          <w:p w14:paraId="2EFE3B3B" w14:textId="48E39F93" w:rsidR="00604334" w:rsidRPr="00FF74F9" w:rsidRDefault="00604334" w:rsidP="007470D1">
            <w:pPr>
              <w:pStyle w:val="VBAILTTableHeading1"/>
              <w:rPr>
                <w:sz w:val="22"/>
                <w:szCs w:val="22"/>
              </w:rPr>
            </w:pPr>
            <w:r w:rsidRPr="00FF74F9">
              <w:rPr>
                <w:sz w:val="22"/>
                <w:szCs w:val="22"/>
              </w:rPr>
              <w:t>Learning Objectives</w:t>
            </w:r>
          </w:p>
        </w:tc>
        <w:tc>
          <w:tcPr>
            <w:tcW w:w="5376" w:type="dxa"/>
            <w:shd w:val="clear" w:color="auto" w:fill="BDD6EE" w:themeFill="accent1" w:themeFillTint="66"/>
          </w:tcPr>
          <w:p w14:paraId="6A330466" w14:textId="40382B9C" w:rsidR="00604334" w:rsidRPr="00FF74F9" w:rsidRDefault="00604334" w:rsidP="003B118F">
            <w:pPr>
              <w:pStyle w:val="VBAILTTableHeading1"/>
              <w:rPr>
                <w:sz w:val="22"/>
                <w:szCs w:val="22"/>
              </w:rPr>
            </w:pPr>
            <w:r w:rsidRPr="00FF74F9">
              <w:rPr>
                <w:sz w:val="22"/>
                <w:szCs w:val="22"/>
              </w:rPr>
              <w:t>Job Aids and References</w:t>
            </w:r>
          </w:p>
        </w:tc>
      </w:tr>
      <w:tr w:rsidR="009A5590" w:rsidRPr="00FF74F9" w14:paraId="4CDDC175" w14:textId="77777777" w:rsidTr="00C746EB">
        <w:trPr>
          <w:jc w:val="center"/>
        </w:trPr>
        <w:tc>
          <w:tcPr>
            <w:tcW w:w="4027" w:type="dxa"/>
          </w:tcPr>
          <w:p w14:paraId="6E2E3A19" w14:textId="77777777" w:rsidR="009A5590" w:rsidRPr="00FF74F9" w:rsidRDefault="009A5590" w:rsidP="00DD3712">
            <w:pPr>
              <w:pStyle w:val="VBAILTBody"/>
            </w:pPr>
            <w:r w:rsidRPr="00FF74F9">
              <w:t xml:space="preserve">Determine whether the application for benefits is complete or incomplete  </w:t>
            </w:r>
          </w:p>
        </w:tc>
        <w:tc>
          <w:tcPr>
            <w:tcW w:w="5376" w:type="dxa"/>
          </w:tcPr>
          <w:p w14:paraId="562049C7" w14:textId="0DE74821" w:rsidR="009A5590" w:rsidRPr="00FF74F9" w:rsidRDefault="009A5590" w:rsidP="00DD3712">
            <w:pPr>
              <w:pStyle w:val="VBAILTbullet1"/>
            </w:pPr>
            <w:r w:rsidRPr="00FF74F9">
              <w:t xml:space="preserve">M21-1 </w:t>
            </w:r>
            <w:r w:rsidR="00056593" w:rsidRPr="00FF74F9">
              <w:rPr>
                <w:rStyle w:val="Strong"/>
                <w:rFonts w:cs="Arial"/>
                <w:b w:val="0"/>
                <w:bCs w:val="0"/>
              </w:rPr>
              <w:t>I.i.1.A.</w:t>
            </w:r>
            <w:r w:rsidR="00056593" w:rsidRPr="00FF74F9">
              <w:t xml:space="preserve"> </w:t>
            </w:r>
            <w:r w:rsidRPr="00FF74F9">
              <w:t>(</w:t>
            </w:r>
            <w:r w:rsidR="00056593" w:rsidRPr="00FF74F9">
              <w:t>Description and General Information on Duty to Notify and Duty to Assist</w:t>
            </w:r>
            <w:r w:rsidRPr="00FF74F9">
              <w:t>)</w:t>
            </w:r>
          </w:p>
          <w:p w14:paraId="2FBB4D4E" w14:textId="621F9689" w:rsidR="009A5590" w:rsidRDefault="009A5590" w:rsidP="00DD3712">
            <w:pPr>
              <w:pStyle w:val="VBAILTbullet1"/>
            </w:pPr>
            <w:r w:rsidRPr="00FF74F9">
              <w:t xml:space="preserve">M21-1 </w:t>
            </w:r>
            <w:r w:rsidR="00056593" w:rsidRPr="00FF74F9">
              <w:rPr>
                <w:rStyle w:val="Strong"/>
                <w:rFonts w:cs="Arial"/>
                <w:b w:val="0"/>
                <w:bCs w:val="0"/>
              </w:rPr>
              <w:t>II.iii.1.A.1.a</w:t>
            </w:r>
            <w:bookmarkStart w:id="0" w:name="1a"/>
            <w:r w:rsidR="00056593" w:rsidRPr="00FF74F9">
              <w:rPr>
                <w:rStyle w:val="Strong"/>
                <w:rFonts w:cs="Arial"/>
                <w:b w:val="0"/>
                <w:bCs w:val="0"/>
              </w:rPr>
              <w:t>.</w:t>
            </w:r>
            <w:bookmarkEnd w:id="0"/>
            <w:r w:rsidR="00056593" w:rsidRPr="00FF74F9">
              <w:rPr>
                <w:rStyle w:val="Strong"/>
                <w:rFonts w:cs="Arial"/>
                <w:b w:val="0"/>
                <w:bCs w:val="0"/>
              </w:rPr>
              <w:t> </w:t>
            </w:r>
            <w:r w:rsidRPr="00FF74F9">
              <w:t>(</w:t>
            </w:r>
            <w:r w:rsidR="00056593" w:rsidRPr="00FF74F9">
              <w:rPr>
                <w:rStyle w:val="Strong"/>
                <w:rFonts w:cs="Arial"/>
                <w:b w:val="0"/>
                <w:bCs w:val="0"/>
              </w:rPr>
              <w:t>Requirements for a Complete Claim Received on or After March 24, 2015</w:t>
            </w:r>
            <w:r w:rsidR="00056593" w:rsidRPr="00FF74F9" w:rsidDel="00056593">
              <w:t xml:space="preserve"> </w:t>
            </w:r>
            <w:r w:rsidRPr="00FF74F9">
              <w:t>)</w:t>
            </w:r>
          </w:p>
          <w:p w14:paraId="70DEDE42" w14:textId="6D8DB623" w:rsidR="003D4D29" w:rsidRPr="00FF74F9" w:rsidRDefault="003D4D29" w:rsidP="00DD3712">
            <w:pPr>
              <w:pStyle w:val="VBAILTbullet1"/>
            </w:pPr>
            <w:r w:rsidRPr="00FF74F9">
              <w:t xml:space="preserve">M21-1 </w:t>
            </w:r>
            <w:r w:rsidRPr="00FF74F9">
              <w:rPr>
                <w:rFonts w:cs="Arial"/>
              </w:rPr>
              <w:t xml:space="preserve">II.iii.2.A.1.a </w:t>
            </w:r>
            <w:r>
              <w:rPr>
                <w:rFonts w:cs="Arial"/>
              </w:rPr>
              <w:t>(</w:t>
            </w:r>
            <w:r w:rsidRPr="00FF74F9">
              <w:rPr>
                <w:rFonts w:cs="Arial"/>
              </w:rPr>
              <w:t>Communication o</w:t>
            </w:r>
            <w:r w:rsidR="00384604">
              <w:rPr>
                <w:rFonts w:cs="Arial"/>
              </w:rPr>
              <w:t>f</w:t>
            </w:r>
            <w:r w:rsidRPr="00FF74F9">
              <w:rPr>
                <w:rFonts w:cs="Arial"/>
              </w:rPr>
              <w:t xml:space="preserve"> an ITF</w:t>
            </w:r>
            <w:r>
              <w:rPr>
                <w:rFonts w:cs="Arial"/>
              </w:rPr>
              <w:t>)</w:t>
            </w:r>
          </w:p>
          <w:p w14:paraId="3F918666" w14:textId="402EE54D" w:rsidR="00720502" w:rsidRPr="00FF74F9" w:rsidRDefault="009A5590" w:rsidP="003D4D29">
            <w:pPr>
              <w:pStyle w:val="VBAILTbullet1"/>
            </w:pPr>
            <w:r w:rsidRPr="00FF74F9">
              <w:t xml:space="preserve">M21-1 </w:t>
            </w:r>
            <w:r w:rsidR="00056593" w:rsidRPr="00FF74F9">
              <w:rPr>
                <w:rStyle w:val="Strong"/>
                <w:rFonts w:cs="Arial"/>
                <w:b w:val="0"/>
                <w:bCs w:val="0"/>
              </w:rPr>
              <w:t>II.iii.2.H</w:t>
            </w:r>
            <w:r w:rsidR="00EB6BE1" w:rsidRPr="00FF74F9">
              <w:rPr>
                <w:rStyle w:val="Strong"/>
                <w:rFonts w:cs="Arial"/>
                <w:b w:val="0"/>
                <w:bCs w:val="0"/>
              </w:rPr>
              <w:t xml:space="preserve"> </w:t>
            </w:r>
            <w:r w:rsidRPr="00FF74F9">
              <w:t>(</w:t>
            </w:r>
            <w:r w:rsidR="00EB6BE1" w:rsidRPr="00FF74F9">
              <w:t>Historical Guidance on Formal Applications and Informal Claims Received Prior to March 24, 2015</w:t>
            </w:r>
            <w:r w:rsidR="007454AC">
              <w:t>)</w:t>
            </w:r>
          </w:p>
        </w:tc>
      </w:tr>
      <w:tr w:rsidR="00C746EB" w:rsidRPr="00FF74F9" w14:paraId="62828DD0" w14:textId="77777777" w:rsidTr="00C746EB">
        <w:trPr>
          <w:cantSplit/>
          <w:jc w:val="center"/>
        </w:trPr>
        <w:tc>
          <w:tcPr>
            <w:tcW w:w="4027" w:type="dxa"/>
          </w:tcPr>
          <w:p w14:paraId="04DEA85A" w14:textId="19E195E6" w:rsidR="00C746EB" w:rsidRPr="00FF74F9" w:rsidRDefault="00C746EB" w:rsidP="00C746EB">
            <w:pPr>
              <w:pStyle w:val="VBAILTBody"/>
            </w:pPr>
            <w:r w:rsidRPr="00FF74F9">
              <w:t>Confirm special claim types</w:t>
            </w:r>
          </w:p>
        </w:tc>
        <w:tc>
          <w:tcPr>
            <w:tcW w:w="5376" w:type="dxa"/>
          </w:tcPr>
          <w:p w14:paraId="031C274F" w14:textId="77777777" w:rsidR="00C746EB" w:rsidRPr="00FF74F9" w:rsidRDefault="00C746EB" w:rsidP="00C746EB">
            <w:pPr>
              <w:pStyle w:val="VBAILTbullet1"/>
            </w:pPr>
            <w:r w:rsidRPr="00FF74F9">
              <w:rPr>
                <w:rStyle w:val="Strong"/>
              </w:rPr>
              <w:t>Pension Systems and Applications</w:t>
            </w:r>
            <w:r w:rsidRPr="00FF74F9">
              <w:t xml:space="preserve"> job aid</w:t>
            </w:r>
          </w:p>
          <w:p w14:paraId="46F151B9" w14:textId="77777777" w:rsidR="003D4D29" w:rsidRDefault="003D4D29" w:rsidP="003D4D29">
            <w:pPr>
              <w:pStyle w:val="VBAILTbullet1"/>
            </w:pPr>
            <w:r w:rsidRPr="00FF74F9">
              <w:t xml:space="preserve">M21-1 </w:t>
            </w:r>
            <w:r w:rsidRPr="00FF74F9">
              <w:rPr>
                <w:rFonts w:cs="Arial"/>
              </w:rPr>
              <w:t>II.iii.2.B</w:t>
            </w:r>
            <w:r w:rsidRPr="00FF74F9">
              <w:t xml:space="preserve"> (Supplemental Claims)</w:t>
            </w:r>
          </w:p>
          <w:p w14:paraId="67F26CF4" w14:textId="2E7EE876" w:rsidR="00C746EB" w:rsidRPr="00FF74F9" w:rsidRDefault="00C746EB" w:rsidP="00C746EB">
            <w:pPr>
              <w:pStyle w:val="VBAILTbullet1"/>
            </w:pPr>
            <w:r w:rsidRPr="00FF74F9">
              <w:t xml:space="preserve">M21-1 </w:t>
            </w:r>
            <w:r w:rsidR="00345A39" w:rsidRPr="00FF74F9">
              <w:rPr>
                <w:rFonts w:cs="Arial"/>
              </w:rPr>
              <w:t>III.i.2.F.1.b</w:t>
            </w:r>
            <w:bookmarkStart w:id="1" w:name="1b"/>
            <w:r w:rsidR="00345A39" w:rsidRPr="00FF74F9">
              <w:rPr>
                <w:rFonts w:cs="Arial"/>
              </w:rPr>
              <w:t>.</w:t>
            </w:r>
            <w:bookmarkEnd w:id="1"/>
            <w:r w:rsidR="00345A39" w:rsidRPr="00FF74F9">
              <w:rPr>
                <w:rFonts w:cs="Arial"/>
              </w:rPr>
              <w:t xml:space="preserve">  </w:t>
            </w:r>
            <w:r w:rsidRPr="00FF74F9">
              <w:t>(</w:t>
            </w:r>
            <w:r w:rsidR="00345A39" w:rsidRPr="00FF74F9">
              <w:t xml:space="preserve">Corporate </w:t>
            </w:r>
            <w:r w:rsidRPr="00FF74F9">
              <w:t>Flashes)</w:t>
            </w:r>
          </w:p>
          <w:p w14:paraId="5A4AC4D3" w14:textId="32D8EDC4" w:rsidR="00C746EB" w:rsidRPr="00FF74F9" w:rsidRDefault="00C746EB" w:rsidP="00C746EB">
            <w:pPr>
              <w:pStyle w:val="VBAILTbullet1"/>
            </w:pPr>
            <w:r w:rsidRPr="00FF74F9">
              <w:t>M21-1</w:t>
            </w:r>
            <w:r w:rsidR="00C76067" w:rsidRPr="00FF74F9">
              <w:rPr>
                <w:rFonts w:cs="Arial"/>
                <w:b/>
                <w:bCs/>
              </w:rPr>
              <w:t xml:space="preserve"> </w:t>
            </w:r>
            <w:r w:rsidR="00C76067" w:rsidRPr="00FF74F9">
              <w:rPr>
                <w:rStyle w:val="Strong"/>
                <w:rFonts w:cs="Arial"/>
                <w:b w:val="0"/>
                <w:bCs w:val="0"/>
              </w:rPr>
              <w:t>V.ii.1.A.1.</w:t>
            </w:r>
            <w:r w:rsidRPr="00FF74F9">
              <w:t xml:space="preserve"> (</w:t>
            </w:r>
            <w:r w:rsidR="00C76067" w:rsidRPr="00FF74F9">
              <w:rPr>
                <w:rStyle w:val="Strong"/>
                <w:rFonts w:cs="Arial"/>
                <w:b w:val="0"/>
                <w:bCs w:val="0"/>
              </w:rPr>
              <w:t>Guidelines for Evaluating Evidence</w:t>
            </w:r>
            <w:r w:rsidRPr="00FF74F9">
              <w:t xml:space="preserve">) </w:t>
            </w:r>
          </w:p>
          <w:p w14:paraId="6CED3120" w14:textId="1F76984B" w:rsidR="003D4D29" w:rsidRPr="00FF74F9" w:rsidRDefault="003D4D29" w:rsidP="003D4D29">
            <w:pPr>
              <w:pStyle w:val="VBAILTbullet1"/>
            </w:pPr>
            <w:r w:rsidRPr="00FF74F9">
              <w:t>M21-1</w:t>
            </w:r>
            <w:r w:rsidRPr="00FF74F9">
              <w:rPr>
                <w:rFonts w:cs="Arial"/>
              </w:rPr>
              <w:t xml:space="preserve"> X.i.1.1</w:t>
            </w:r>
            <w:r w:rsidRPr="00FF74F9">
              <w:t xml:space="preserve"> (</w:t>
            </w:r>
            <w:r>
              <w:rPr>
                <w:rFonts w:cs="Arial"/>
              </w:rPr>
              <w:t>Priority Processing Programs</w:t>
            </w:r>
            <w:r w:rsidRPr="00FF74F9">
              <w:t>)</w:t>
            </w:r>
          </w:p>
        </w:tc>
      </w:tr>
      <w:tr w:rsidR="00604334" w:rsidRPr="00FF74F9" w14:paraId="533C6F25" w14:textId="77777777" w:rsidTr="00C746EB">
        <w:trPr>
          <w:cantSplit/>
          <w:jc w:val="center"/>
        </w:trPr>
        <w:tc>
          <w:tcPr>
            <w:tcW w:w="4027" w:type="dxa"/>
          </w:tcPr>
          <w:p w14:paraId="16030D8D" w14:textId="1EEBF22E" w:rsidR="00604334" w:rsidRPr="00FF74F9" w:rsidRDefault="00604334" w:rsidP="007470D1">
            <w:pPr>
              <w:pStyle w:val="VBAILTBody"/>
            </w:pPr>
            <w:r w:rsidRPr="00FF74F9">
              <w:t>Confirm the Date of Claim (DOC) is correct</w:t>
            </w:r>
          </w:p>
        </w:tc>
        <w:tc>
          <w:tcPr>
            <w:tcW w:w="5376" w:type="dxa"/>
          </w:tcPr>
          <w:p w14:paraId="0E2B895B" w14:textId="4179A56C" w:rsidR="00604334" w:rsidRPr="00FF74F9" w:rsidRDefault="00604334" w:rsidP="009C142D">
            <w:pPr>
              <w:pStyle w:val="VBAILTbullet1"/>
            </w:pPr>
            <w:r w:rsidRPr="00FF74F9">
              <w:t>M21-4 Appendix B (End Product Codes and Work-Rate Standards for Quantitative Measurements)</w:t>
            </w:r>
          </w:p>
          <w:p w14:paraId="37412533" w14:textId="3524EE62" w:rsidR="00604334" w:rsidRPr="00FF74F9" w:rsidRDefault="00604334" w:rsidP="009C142D">
            <w:pPr>
              <w:pStyle w:val="VBAILTbullet1"/>
            </w:pPr>
            <w:r w:rsidRPr="00FF74F9">
              <w:t xml:space="preserve">M21-1 </w:t>
            </w:r>
            <w:r w:rsidR="00A23BDF" w:rsidRPr="00FF74F9">
              <w:rPr>
                <w:rStyle w:val="Strong"/>
                <w:rFonts w:cs="Arial"/>
                <w:b w:val="0"/>
                <w:bCs w:val="0"/>
              </w:rPr>
              <w:t>II.i.2.C</w:t>
            </w:r>
            <w:r w:rsidR="00003DC7">
              <w:rPr>
                <w:rStyle w:val="Strong"/>
                <w:rFonts w:cs="Arial"/>
                <w:b w:val="0"/>
                <w:bCs w:val="0"/>
              </w:rPr>
              <w:t xml:space="preserve"> </w:t>
            </w:r>
            <w:r w:rsidRPr="00FF74F9">
              <w:t>(Mail Management)</w:t>
            </w:r>
          </w:p>
          <w:p w14:paraId="593CF7C2" w14:textId="0B19F5FB" w:rsidR="00604334" w:rsidRPr="00FF74F9" w:rsidRDefault="00604334" w:rsidP="00A23BDF">
            <w:pPr>
              <w:pStyle w:val="VBAILTbullet1"/>
            </w:pPr>
            <w:r w:rsidRPr="00FF74F9">
              <w:t xml:space="preserve">M21-1 </w:t>
            </w:r>
            <w:r w:rsidR="00A23BDF" w:rsidRPr="00FF74F9">
              <w:rPr>
                <w:rStyle w:val="Strong"/>
                <w:rFonts w:cs="Arial"/>
                <w:b w:val="0"/>
                <w:bCs w:val="0"/>
              </w:rPr>
              <w:t>II.i.2.A</w:t>
            </w:r>
            <w:r w:rsidR="00003DC7">
              <w:rPr>
                <w:rStyle w:val="Strong"/>
                <w:rFonts w:cs="Arial"/>
                <w:b w:val="0"/>
                <w:bCs w:val="0"/>
              </w:rPr>
              <w:t>.1</w:t>
            </w:r>
            <w:r w:rsidRPr="00FF74F9">
              <w:t xml:space="preserve"> (</w:t>
            </w:r>
            <w:r w:rsidR="00A23BDF" w:rsidRPr="00FF74F9">
              <w:rPr>
                <w:rStyle w:val="Strong"/>
                <w:rFonts w:cs="Arial"/>
                <w:b w:val="0"/>
                <w:bCs w:val="0"/>
              </w:rPr>
              <w:t>Overview of the Initial Mail Screening Process</w:t>
            </w:r>
            <w:r w:rsidRPr="00FF74F9">
              <w:t>)</w:t>
            </w:r>
          </w:p>
          <w:p w14:paraId="12F9AC57" w14:textId="2383900E" w:rsidR="00604334" w:rsidRPr="00FF74F9" w:rsidRDefault="00604334" w:rsidP="009C142D">
            <w:pPr>
              <w:pStyle w:val="VBAILTbullet1"/>
            </w:pPr>
            <w:r w:rsidRPr="00FF74F9">
              <w:t xml:space="preserve">M21-1 </w:t>
            </w:r>
            <w:r w:rsidR="00A23BDF" w:rsidRPr="00FF74F9">
              <w:rPr>
                <w:rStyle w:val="Strong"/>
                <w:rFonts w:cs="Arial"/>
                <w:b w:val="0"/>
                <w:bCs w:val="0"/>
              </w:rPr>
              <w:t>II.iii.1.A.4.c</w:t>
            </w:r>
            <w:bookmarkStart w:id="2" w:name="4c"/>
            <w:r w:rsidR="00A23BDF" w:rsidRPr="00FF74F9">
              <w:rPr>
                <w:rStyle w:val="Strong"/>
                <w:rFonts w:cs="Arial"/>
                <w:b w:val="0"/>
                <w:bCs w:val="0"/>
              </w:rPr>
              <w:t>.</w:t>
            </w:r>
            <w:bookmarkEnd w:id="2"/>
            <w:r w:rsidR="00A23BDF" w:rsidRPr="00FF74F9" w:rsidDel="00A23BDF">
              <w:t xml:space="preserve"> </w:t>
            </w:r>
            <w:r w:rsidR="00003DC7">
              <w:t>(</w:t>
            </w:r>
            <w:r w:rsidRPr="00FF74F9">
              <w:t>Determining the Proper DOC for Claims Establishment Purposes)</w:t>
            </w:r>
          </w:p>
        </w:tc>
      </w:tr>
      <w:tr w:rsidR="00604334" w:rsidRPr="00FF74F9" w14:paraId="4CDD6B94" w14:textId="77777777" w:rsidTr="00C746EB">
        <w:trPr>
          <w:jc w:val="center"/>
        </w:trPr>
        <w:tc>
          <w:tcPr>
            <w:tcW w:w="4027" w:type="dxa"/>
          </w:tcPr>
          <w:p w14:paraId="20907BB0" w14:textId="77777777" w:rsidR="00604334" w:rsidRDefault="00604334" w:rsidP="007470D1">
            <w:pPr>
              <w:pStyle w:val="VBAILTBody"/>
            </w:pPr>
            <w:r w:rsidRPr="00FF74F9">
              <w:t>Validate Power of Attorney (POA)</w:t>
            </w:r>
          </w:p>
          <w:p w14:paraId="45F8B2D6" w14:textId="77777777" w:rsidR="00C222E1" w:rsidRPr="00C222E1" w:rsidRDefault="00C222E1" w:rsidP="00C222E1"/>
          <w:p w14:paraId="7E2F905E" w14:textId="77777777" w:rsidR="00C222E1" w:rsidRDefault="00C222E1" w:rsidP="00C222E1">
            <w:pPr>
              <w:rPr>
                <w:rFonts w:ascii="Verdana" w:hAnsi="Verdana"/>
              </w:rPr>
            </w:pPr>
          </w:p>
          <w:p w14:paraId="5080C5C4" w14:textId="77777777" w:rsidR="00C222E1" w:rsidRPr="00C222E1" w:rsidRDefault="00C222E1" w:rsidP="00C222E1"/>
        </w:tc>
        <w:tc>
          <w:tcPr>
            <w:tcW w:w="5376" w:type="dxa"/>
          </w:tcPr>
          <w:p w14:paraId="772FDC8C" w14:textId="4AF2CB17" w:rsidR="00604334" w:rsidRPr="00FF74F9" w:rsidRDefault="00604334" w:rsidP="009C142D">
            <w:pPr>
              <w:pStyle w:val="VBAILTbullet1"/>
            </w:pPr>
            <w:r w:rsidRPr="00FF74F9">
              <w:t xml:space="preserve">M21-1 </w:t>
            </w:r>
            <w:r w:rsidR="00A23BDF" w:rsidRPr="00FF74F9">
              <w:rPr>
                <w:rStyle w:val="Strong"/>
                <w:rFonts w:cs="Arial"/>
                <w:b w:val="0"/>
                <w:bCs w:val="0"/>
              </w:rPr>
              <w:t>I.i.2.A.1.a.</w:t>
            </w:r>
            <w:r w:rsidR="00A23BDF" w:rsidRPr="00FF74F9" w:rsidDel="00A23BDF">
              <w:t xml:space="preserve"> </w:t>
            </w:r>
            <w:r w:rsidRPr="00FF74F9">
              <w:t>(A Claimant’s Right to Representation)</w:t>
            </w:r>
          </w:p>
          <w:p w14:paraId="39AA07C6" w14:textId="28301940" w:rsidR="00604334" w:rsidRPr="00FF74F9" w:rsidRDefault="00604334" w:rsidP="00003DC7">
            <w:pPr>
              <w:pStyle w:val="VBAILTbullet1"/>
            </w:pPr>
            <w:r w:rsidRPr="00FF74F9">
              <w:lastRenderedPageBreak/>
              <w:t>M21-1</w:t>
            </w:r>
            <w:r w:rsidR="00A23BDF" w:rsidRPr="00FF74F9">
              <w:rPr>
                <w:rFonts w:cs="Arial"/>
                <w:b/>
                <w:bCs/>
              </w:rPr>
              <w:t xml:space="preserve"> </w:t>
            </w:r>
            <w:r w:rsidR="00A23BDF" w:rsidRPr="00FF74F9">
              <w:rPr>
                <w:rStyle w:val="Strong"/>
                <w:rFonts w:cs="Arial"/>
                <w:b w:val="0"/>
                <w:bCs w:val="0"/>
              </w:rPr>
              <w:t>I.i.2.E.2.</w:t>
            </w:r>
            <w:r w:rsidRPr="00FF74F9">
              <w:t xml:space="preserve"> (Updating </w:t>
            </w:r>
            <w:r w:rsidR="00A23BDF" w:rsidRPr="00FF74F9">
              <w:t>Electronic Systems for POA</w:t>
            </w:r>
            <w:r w:rsidRPr="00FF74F9">
              <w:t>)</w:t>
            </w:r>
          </w:p>
        </w:tc>
      </w:tr>
      <w:tr w:rsidR="00604334" w:rsidRPr="00FF74F9" w14:paraId="7457D014" w14:textId="77777777" w:rsidTr="00C746EB">
        <w:trPr>
          <w:jc w:val="center"/>
        </w:trPr>
        <w:tc>
          <w:tcPr>
            <w:tcW w:w="4027" w:type="dxa"/>
            <w:tcBorders>
              <w:bottom w:val="single" w:sz="4" w:space="0" w:color="auto"/>
            </w:tcBorders>
          </w:tcPr>
          <w:p w14:paraId="6574ED45" w14:textId="42C2CB44" w:rsidR="00604334" w:rsidRPr="00FF74F9" w:rsidRDefault="00604334" w:rsidP="00D446CA">
            <w:pPr>
              <w:pStyle w:val="VBAILTBody"/>
              <w:keepNext/>
            </w:pPr>
            <w:r w:rsidRPr="00FF74F9">
              <w:lastRenderedPageBreak/>
              <w:t xml:space="preserve">Confirm the End Product (EP) code is correct  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14:paraId="51BF6E78" w14:textId="769486AA" w:rsidR="00604334" w:rsidRPr="00FF74F9" w:rsidRDefault="00604334" w:rsidP="00D446CA">
            <w:pPr>
              <w:pStyle w:val="VBAILTbullet1"/>
              <w:keepNext/>
            </w:pPr>
            <w:r w:rsidRPr="00FF74F9">
              <w:t xml:space="preserve">M21-4 Appendix </w:t>
            </w:r>
            <w:r w:rsidR="009C167B" w:rsidRPr="00FF74F9">
              <w:t xml:space="preserve">A and </w:t>
            </w:r>
            <w:r w:rsidRPr="00FF74F9">
              <w:t>B</w:t>
            </w:r>
          </w:p>
        </w:tc>
      </w:tr>
      <w:tr w:rsidR="00604334" w:rsidRPr="00FF74F9" w14:paraId="13B1639B" w14:textId="071BF51F" w:rsidTr="00C746EB">
        <w:trPr>
          <w:jc w:val="center"/>
        </w:trPr>
        <w:tc>
          <w:tcPr>
            <w:tcW w:w="4027" w:type="dxa"/>
            <w:tcBorders>
              <w:top w:val="single" w:sz="4" w:space="0" w:color="auto"/>
            </w:tcBorders>
          </w:tcPr>
          <w:p w14:paraId="1939A6F0" w14:textId="1ECFCA6A" w:rsidR="00604334" w:rsidRPr="00FF74F9" w:rsidRDefault="00604334" w:rsidP="007470D1">
            <w:pPr>
              <w:pStyle w:val="VBAILTBody"/>
            </w:pPr>
            <w:r w:rsidRPr="00FF74F9">
              <w:t xml:space="preserve">Determine dependency eligibility for a spouse of a Veteran  </w:t>
            </w:r>
          </w:p>
        </w:tc>
        <w:tc>
          <w:tcPr>
            <w:tcW w:w="5376" w:type="dxa"/>
            <w:tcBorders>
              <w:top w:val="single" w:sz="4" w:space="0" w:color="auto"/>
            </w:tcBorders>
          </w:tcPr>
          <w:p w14:paraId="3532837D" w14:textId="0B449B7B" w:rsidR="00604334" w:rsidRPr="00FF74F9" w:rsidRDefault="00604334" w:rsidP="007470D1">
            <w:pPr>
              <w:pStyle w:val="VBAILTbullet1"/>
            </w:pPr>
            <w:r w:rsidRPr="00FF74F9">
              <w:rPr>
                <w:rStyle w:val="Strong"/>
              </w:rPr>
              <w:t>Dependency Eligibility Requirements</w:t>
            </w:r>
            <w:r w:rsidRPr="00FF74F9">
              <w:t xml:space="preserve"> job aid</w:t>
            </w:r>
          </w:p>
          <w:p w14:paraId="2028B18B" w14:textId="10BDF3B5" w:rsidR="00604334" w:rsidRPr="00FF74F9" w:rsidRDefault="00604334" w:rsidP="007470D1">
            <w:pPr>
              <w:pStyle w:val="VBAILTbullet1"/>
            </w:pPr>
            <w:r w:rsidRPr="00FF74F9">
              <w:rPr>
                <w:rStyle w:val="Strong"/>
              </w:rPr>
              <w:t>Dependency Eligibility: Spouse</w:t>
            </w:r>
            <w:r w:rsidRPr="00FF74F9">
              <w:t xml:space="preserve"> job aid</w:t>
            </w:r>
          </w:p>
          <w:p w14:paraId="54F91A9C" w14:textId="0F045BB9" w:rsidR="00604334" w:rsidRPr="00FF74F9" w:rsidRDefault="00604334" w:rsidP="00BB7225">
            <w:pPr>
              <w:pStyle w:val="VBAILTbullet1"/>
            </w:pPr>
            <w:r w:rsidRPr="00FF74F9">
              <w:t>M21-1</w:t>
            </w:r>
            <w:r w:rsidR="00003DC7">
              <w:t xml:space="preserve"> </w:t>
            </w:r>
            <w:r w:rsidR="00A23BDF" w:rsidRPr="00FF74F9">
              <w:rPr>
                <w:rStyle w:val="Strong"/>
                <w:rFonts w:cs="Arial"/>
                <w:b w:val="0"/>
                <w:bCs w:val="0"/>
              </w:rPr>
              <w:t>VII.i.1.A</w:t>
            </w:r>
            <w:r w:rsidR="00EB6BE1" w:rsidRPr="00FF74F9" w:rsidDel="00A23BDF">
              <w:t xml:space="preserve"> </w:t>
            </w:r>
            <w:r w:rsidRPr="00FF74F9">
              <w:t>(General Information on Relationship and Dependency)</w:t>
            </w:r>
          </w:p>
          <w:p w14:paraId="737EB5B9" w14:textId="62F3D227" w:rsidR="00604334" w:rsidRPr="00FF74F9" w:rsidRDefault="00604334" w:rsidP="00BB7225">
            <w:pPr>
              <w:pStyle w:val="VBAILTbullet1"/>
            </w:pPr>
            <w:r w:rsidRPr="00FF74F9">
              <w:t xml:space="preserve">M21-1 </w:t>
            </w:r>
            <w:r w:rsidR="00A23BDF" w:rsidRPr="00FF74F9">
              <w:rPr>
                <w:rFonts w:cs="Arial"/>
              </w:rPr>
              <w:t>VII.i.2.A</w:t>
            </w:r>
            <w:r w:rsidRPr="00FF74F9">
              <w:t xml:space="preserve"> (Establishing the Validity of a Marriage for</w:t>
            </w:r>
            <w:r w:rsidR="00BF303E" w:rsidRPr="00FF74F9">
              <w:t xml:space="preserve"> Department of Veterans Affairs</w:t>
            </w:r>
            <w:r w:rsidRPr="00FF74F9">
              <w:t xml:space="preserve"> VA Purposes)</w:t>
            </w:r>
          </w:p>
          <w:p w14:paraId="5F0E7F5A" w14:textId="353F92E9" w:rsidR="00604334" w:rsidRPr="00FF74F9" w:rsidRDefault="00604334" w:rsidP="00BB7225">
            <w:pPr>
              <w:pStyle w:val="VBAILTbullet1"/>
            </w:pPr>
            <w:r w:rsidRPr="00FF74F9">
              <w:t>M21-1</w:t>
            </w:r>
            <w:r w:rsidR="009677E9" w:rsidRPr="00FF74F9">
              <w:rPr>
                <w:rFonts w:cs="Arial"/>
              </w:rPr>
              <w:t xml:space="preserve"> VII.i.2.B</w:t>
            </w:r>
            <w:r w:rsidRPr="00FF74F9">
              <w:t xml:space="preserve"> (Establishing Common Law Marriages)</w:t>
            </w:r>
          </w:p>
          <w:p w14:paraId="78135AF7" w14:textId="409E3920" w:rsidR="00604334" w:rsidRPr="00FF74F9" w:rsidRDefault="00604334" w:rsidP="00BB7225">
            <w:pPr>
              <w:pStyle w:val="VBAILTbullet1"/>
            </w:pPr>
            <w:r w:rsidRPr="00FF74F9">
              <w:t xml:space="preserve">M21-1 </w:t>
            </w:r>
            <w:r w:rsidR="009677E9" w:rsidRPr="00FF74F9">
              <w:rPr>
                <w:rFonts w:cs="Arial"/>
              </w:rPr>
              <w:t>VII.i.2.D</w:t>
            </w:r>
            <w:r w:rsidR="009677E9" w:rsidRPr="00FF74F9" w:rsidDel="009677E9">
              <w:t xml:space="preserve"> </w:t>
            </w:r>
            <w:r w:rsidRPr="00FF74F9">
              <w:t>(Establishing Marital Relationship in Survivors Cases)</w:t>
            </w:r>
          </w:p>
          <w:p w14:paraId="53C5FEA8" w14:textId="1102491F" w:rsidR="00604334" w:rsidRPr="00FF74F9" w:rsidRDefault="00604334" w:rsidP="000D6B1C">
            <w:pPr>
              <w:pStyle w:val="VBAILTbullet1"/>
            </w:pPr>
            <w:r w:rsidRPr="00FF74F9">
              <w:t xml:space="preserve">M21-1 </w:t>
            </w:r>
            <w:r w:rsidR="009677E9" w:rsidRPr="00FF74F9">
              <w:rPr>
                <w:rFonts w:cs="Arial"/>
              </w:rPr>
              <w:t>VII.i.2.E</w:t>
            </w:r>
            <w:r w:rsidR="009677E9" w:rsidRPr="00FF74F9" w:rsidDel="009677E9">
              <w:t xml:space="preserve"> </w:t>
            </w:r>
            <w:r w:rsidRPr="00FF74F9">
              <w:t>(Remarriage of a Surviving Spouse)</w:t>
            </w:r>
          </w:p>
        </w:tc>
      </w:tr>
      <w:tr w:rsidR="000D6B1C" w:rsidRPr="00FF74F9" w14:paraId="24996DCD" w14:textId="77777777" w:rsidTr="000D6B1C">
        <w:trPr>
          <w:trHeight w:val="1013"/>
          <w:jc w:val="center"/>
        </w:trPr>
        <w:tc>
          <w:tcPr>
            <w:tcW w:w="4027" w:type="dxa"/>
          </w:tcPr>
          <w:p w14:paraId="5234331E" w14:textId="719A64AC" w:rsidR="000D6B1C" w:rsidRPr="00FF74F9" w:rsidRDefault="000D6B1C" w:rsidP="00C746EB">
            <w:pPr>
              <w:pStyle w:val="VBAILTBody"/>
            </w:pPr>
            <w:r w:rsidRPr="00FF74F9">
              <w:t>Determine dependency eligibility for a child of a Veteran</w:t>
            </w:r>
          </w:p>
        </w:tc>
        <w:tc>
          <w:tcPr>
            <w:tcW w:w="5376" w:type="dxa"/>
          </w:tcPr>
          <w:p w14:paraId="32C76752" w14:textId="45EE9E91" w:rsidR="000D6B1C" w:rsidRPr="00FF74F9" w:rsidRDefault="000D6B1C" w:rsidP="00BA0FD7">
            <w:pPr>
              <w:pStyle w:val="VBAILTbullet1"/>
            </w:pPr>
            <w:r w:rsidRPr="00FF74F9">
              <w:t>38 CFR 3.57 (Child)</w:t>
            </w:r>
          </w:p>
          <w:p w14:paraId="2C32C14B" w14:textId="1FBBE6CE" w:rsidR="000D6B1C" w:rsidRPr="00FF74F9" w:rsidRDefault="000D6B1C" w:rsidP="00BA0FD7">
            <w:pPr>
              <w:pStyle w:val="VBAILTbullet1"/>
            </w:pPr>
            <w:r w:rsidRPr="00FF74F9">
              <w:t>M21-1</w:t>
            </w:r>
            <w:r w:rsidRPr="00FF74F9">
              <w:rPr>
                <w:rFonts w:cs="Arial"/>
              </w:rPr>
              <w:t xml:space="preserve"> VII.i.3.A</w:t>
            </w:r>
            <w:r w:rsidRPr="00FF74F9">
              <w:t xml:space="preserve"> (Establishing a Child’s Age and Relationship) </w:t>
            </w:r>
          </w:p>
          <w:p w14:paraId="275AA1BA" w14:textId="06923DB0" w:rsidR="000D6B1C" w:rsidRDefault="000D6B1C" w:rsidP="00BA0FD7">
            <w:pPr>
              <w:pStyle w:val="VBAILTbullet1"/>
            </w:pPr>
            <w:r w:rsidRPr="00FF74F9">
              <w:t xml:space="preserve">M21-1 </w:t>
            </w:r>
            <w:r w:rsidRPr="00FF74F9">
              <w:rPr>
                <w:rFonts w:cs="Arial"/>
              </w:rPr>
              <w:t>VII.i.3.B</w:t>
            </w:r>
            <w:r w:rsidRPr="00FF74F9" w:rsidDel="009677E9">
              <w:t xml:space="preserve"> </w:t>
            </w:r>
            <w:r w:rsidRPr="00FF74F9">
              <w:t xml:space="preserve">(Biological Children, Adopted Children, and Stepchildren) </w:t>
            </w:r>
          </w:p>
          <w:p w14:paraId="13CCA4C8" w14:textId="7F6BBEB6" w:rsidR="000D6B1C" w:rsidRPr="00FF74F9" w:rsidRDefault="000D6B1C" w:rsidP="00BA0FD7">
            <w:pPr>
              <w:pStyle w:val="VBAILTbullet1"/>
            </w:pPr>
            <w:r>
              <w:t>M21-1 VII.i.3.C (Marriage of a Child)</w:t>
            </w:r>
          </w:p>
          <w:p w14:paraId="69AC25F5" w14:textId="1BB5F297" w:rsidR="000D6B1C" w:rsidRPr="00FF74F9" w:rsidRDefault="000D6B1C" w:rsidP="00BA0FD7">
            <w:pPr>
              <w:pStyle w:val="VBAILTbullet1"/>
            </w:pPr>
            <w:r w:rsidRPr="00FF74F9">
              <w:t>M21-1</w:t>
            </w:r>
            <w:r w:rsidRPr="00FF74F9">
              <w:rPr>
                <w:rFonts w:cs="Arial"/>
              </w:rPr>
              <w:t xml:space="preserve"> VII.ii.1</w:t>
            </w:r>
            <w:r w:rsidRPr="00FF74F9">
              <w:t xml:space="preserve"> (School Attendance) </w:t>
            </w:r>
          </w:p>
          <w:p w14:paraId="3799DBFE" w14:textId="2C13AC51" w:rsidR="000D6B1C" w:rsidRPr="00FF74F9" w:rsidRDefault="000D6B1C" w:rsidP="00855AFF">
            <w:pPr>
              <w:pStyle w:val="VBAILTbullet1"/>
            </w:pPr>
            <w:r w:rsidRPr="00FF74F9">
              <w:t xml:space="preserve">M21-1 </w:t>
            </w:r>
            <w:r w:rsidRPr="00FF74F9">
              <w:rPr>
                <w:rStyle w:val="Strong"/>
                <w:rFonts w:cs="Arial"/>
                <w:b w:val="0"/>
                <w:bCs w:val="0"/>
              </w:rPr>
              <w:t>IX.iii.1.E.4 </w:t>
            </w:r>
            <w:r w:rsidRPr="00FF74F9">
              <w:t>(</w:t>
            </w:r>
            <w:r>
              <w:t>Surviving Child Entitled to Survivors Pension in Their Own Right</w:t>
            </w:r>
            <w:r w:rsidRPr="00FF74F9">
              <w:t>)</w:t>
            </w:r>
          </w:p>
        </w:tc>
      </w:tr>
      <w:tr w:rsidR="000D6B1C" w:rsidRPr="00FF74F9" w14:paraId="7CD9F060" w14:textId="77777777" w:rsidTr="00C746EB">
        <w:trPr>
          <w:trHeight w:val="1012"/>
          <w:jc w:val="center"/>
        </w:trPr>
        <w:tc>
          <w:tcPr>
            <w:tcW w:w="4027" w:type="dxa"/>
          </w:tcPr>
          <w:p w14:paraId="636F4C09" w14:textId="75F3A4C5" w:rsidR="000D6B1C" w:rsidRPr="00FF74F9" w:rsidRDefault="000D6B1C" w:rsidP="000D6B1C">
            <w:pPr>
              <w:pStyle w:val="VBAILTBody"/>
            </w:pPr>
            <w:r w:rsidRPr="00FF74F9">
              <w:t>Determine dependency eligibility for a helpless child of a Veteran</w:t>
            </w:r>
          </w:p>
        </w:tc>
        <w:tc>
          <w:tcPr>
            <w:tcW w:w="5376" w:type="dxa"/>
          </w:tcPr>
          <w:p w14:paraId="41AA85B9" w14:textId="77777777" w:rsidR="000D6B1C" w:rsidRPr="00FF74F9" w:rsidRDefault="000D6B1C" w:rsidP="000D6B1C">
            <w:pPr>
              <w:pStyle w:val="VBAILTbullet1"/>
            </w:pPr>
            <w:r w:rsidRPr="00FF74F9">
              <w:t xml:space="preserve">38 CFR 3.356 (Conditions Which Determine Permanent Incapacity for Self-Support) </w:t>
            </w:r>
          </w:p>
          <w:p w14:paraId="3FC4D2DB" w14:textId="2C752323" w:rsidR="000D6B1C" w:rsidRPr="00FF74F9" w:rsidRDefault="000D6B1C" w:rsidP="000D6B1C">
            <w:pPr>
              <w:pStyle w:val="VBAILTbullet1"/>
            </w:pPr>
            <w:r w:rsidRPr="00FF74F9">
              <w:t>M21-1</w:t>
            </w:r>
            <w:r w:rsidRPr="00FF74F9">
              <w:rPr>
                <w:rFonts w:cs="Arial"/>
                <w:b/>
                <w:bCs/>
              </w:rPr>
              <w:t xml:space="preserve"> </w:t>
            </w:r>
            <w:r w:rsidRPr="00FF74F9">
              <w:rPr>
                <w:rStyle w:val="Strong"/>
                <w:rFonts w:cs="Arial"/>
                <w:b w:val="0"/>
                <w:bCs w:val="0"/>
              </w:rPr>
              <w:t>X.ii.6.B</w:t>
            </w:r>
            <w:r w:rsidRPr="00FF74F9">
              <w:t xml:space="preserve"> (A Child’s Permanent Incapacity for Self-Support)</w:t>
            </w:r>
          </w:p>
        </w:tc>
      </w:tr>
      <w:tr w:rsidR="000D6B1C" w:rsidRPr="00FF74F9" w14:paraId="6A178A7E" w14:textId="77777777" w:rsidTr="00C746EB">
        <w:trPr>
          <w:jc w:val="center"/>
        </w:trPr>
        <w:tc>
          <w:tcPr>
            <w:tcW w:w="4027" w:type="dxa"/>
          </w:tcPr>
          <w:p w14:paraId="25B86F5F" w14:textId="2F9565C1" w:rsidR="000D6B1C" w:rsidRDefault="000D6B1C" w:rsidP="00EF163C">
            <w:pPr>
              <w:pStyle w:val="VBAILTBody"/>
              <w:numPr>
                <w:ilvl w:val="0"/>
                <w:numId w:val="16"/>
              </w:numPr>
            </w:pPr>
            <w:r w:rsidRPr="00FF74F9">
              <w:lastRenderedPageBreak/>
              <w:t>Determine eligibility requirements for Accrued Benefits</w:t>
            </w:r>
          </w:p>
          <w:p w14:paraId="746AD9B9" w14:textId="2489634C" w:rsidR="00EF163C" w:rsidRPr="00FF74F9" w:rsidRDefault="00EF163C" w:rsidP="00EF163C">
            <w:pPr>
              <w:pStyle w:val="VBAILTBody"/>
              <w:numPr>
                <w:ilvl w:val="0"/>
                <w:numId w:val="16"/>
              </w:numPr>
            </w:pPr>
            <w:r>
              <w:t>Determine Substitution Eligibility</w:t>
            </w:r>
          </w:p>
        </w:tc>
        <w:tc>
          <w:tcPr>
            <w:tcW w:w="5376" w:type="dxa"/>
          </w:tcPr>
          <w:p w14:paraId="5F453606" w14:textId="45B32157" w:rsidR="00EF163C" w:rsidRDefault="00EF163C" w:rsidP="000D6B1C">
            <w:pPr>
              <w:pStyle w:val="VBAILTbullet1"/>
            </w:pPr>
            <w:r w:rsidRPr="00EF163C">
              <w:rPr>
                <w:b/>
                <w:bCs/>
              </w:rPr>
              <w:t>Accrued Benefits</w:t>
            </w:r>
            <w:r>
              <w:t xml:space="preserve"> job aid</w:t>
            </w:r>
          </w:p>
          <w:p w14:paraId="0412F26E" w14:textId="31B5F95D" w:rsidR="00EF163C" w:rsidRDefault="00EF163C" w:rsidP="000D6B1C">
            <w:pPr>
              <w:pStyle w:val="VBAILTbullet1"/>
            </w:pPr>
            <w:r w:rsidRPr="00EF163C">
              <w:rPr>
                <w:b/>
                <w:bCs/>
              </w:rPr>
              <w:t>Determine Substitution Eligibility</w:t>
            </w:r>
            <w:r>
              <w:t xml:space="preserve"> job aid</w:t>
            </w:r>
          </w:p>
          <w:p w14:paraId="1011844F" w14:textId="3603378A" w:rsidR="000D6B1C" w:rsidRDefault="000D6B1C" w:rsidP="000D6B1C">
            <w:pPr>
              <w:pStyle w:val="VBAILTbullet1"/>
            </w:pPr>
            <w:r w:rsidRPr="00FF74F9">
              <w:t xml:space="preserve">38 CFR 3.1000 (Entitlement </w:t>
            </w:r>
            <w:r w:rsidR="00EF163C">
              <w:t>U</w:t>
            </w:r>
            <w:r w:rsidRPr="00FF74F9">
              <w:t xml:space="preserve">nder 38 U.S.C. 5121 to </w:t>
            </w:r>
            <w:r w:rsidR="00EF163C">
              <w:t>B</w:t>
            </w:r>
            <w:r w:rsidRPr="00FF74F9">
              <w:t xml:space="preserve">enefits </w:t>
            </w:r>
            <w:r w:rsidR="00EF163C">
              <w:t>D</w:t>
            </w:r>
            <w:r w:rsidRPr="00FF74F9">
              <w:t xml:space="preserve">ue and </w:t>
            </w:r>
            <w:r w:rsidR="00EF163C">
              <w:t>U</w:t>
            </w:r>
            <w:r w:rsidRPr="00FF74F9">
              <w:t xml:space="preserve">npaid </w:t>
            </w:r>
            <w:r w:rsidR="00EF163C">
              <w:t>U</w:t>
            </w:r>
            <w:r w:rsidRPr="00FF74F9">
              <w:t xml:space="preserve">pon </w:t>
            </w:r>
            <w:r w:rsidR="00EF163C">
              <w:t>D</w:t>
            </w:r>
            <w:r w:rsidRPr="00FF74F9">
              <w:t xml:space="preserve">eath of a </w:t>
            </w:r>
            <w:r w:rsidR="00EF163C">
              <w:t>B</w:t>
            </w:r>
            <w:r w:rsidRPr="00FF74F9">
              <w:t xml:space="preserve">eneficiary) </w:t>
            </w:r>
          </w:p>
          <w:p w14:paraId="347669B9" w14:textId="3A95BE22" w:rsidR="00EF163C" w:rsidRPr="00FF74F9" w:rsidRDefault="00EF163C" w:rsidP="000D6B1C">
            <w:pPr>
              <w:pStyle w:val="VBAILTbullet1"/>
            </w:pPr>
            <w:r>
              <w:t>M21-1 XI.ii.3.B (Substitution in Case of Death of Claimant)</w:t>
            </w:r>
          </w:p>
          <w:p w14:paraId="0BA7FF4A" w14:textId="77777777" w:rsidR="000D6B1C" w:rsidRDefault="00EF163C" w:rsidP="000D6B1C">
            <w:pPr>
              <w:pStyle w:val="VBAILTbullet1"/>
            </w:pPr>
            <w:r>
              <w:t>M21-1 XI.ii.3.D (Rating Accrued Claims)</w:t>
            </w:r>
          </w:p>
          <w:p w14:paraId="13136507" w14:textId="0EA39E79" w:rsidR="00EF163C" w:rsidRPr="00FF74F9" w:rsidRDefault="00EF163C" w:rsidP="00EF163C">
            <w:pPr>
              <w:pStyle w:val="VBAILTbullet1"/>
            </w:pPr>
            <w:r>
              <w:t>M21-1 XI.ii.3.E (Accrued Authorization and Notification)</w:t>
            </w:r>
          </w:p>
        </w:tc>
      </w:tr>
      <w:tr w:rsidR="000D6B1C" w:rsidRPr="00FF74F9" w14:paraId="24FA5157" w14:textId="77777777" w:rsidTr="00C746EB">
        <w:trPr>
          <w:jc w:val="center"/>
        </w:trPr>
        <w:tc>
          <w:tcPr>
            <w:tcW w:w="4027" w:type="dxa"/>
          </w:tcPr>
          <w:p w14:paraId="050A0B85" w14:textId="77777777" w:rsidR="000D6B1C" w:rsidRPr="00FF74F9" w:rsidRDefault="000D6B1C" w:rsidP="000D6B1C">
            <w:pPr>
              <w:pStyle w:val="VBAILTBody"/>
            </w:pPr>
            <w:r w:rsidRPr="00FF74F9">
              <w:t>Determine whether the surviving spouse is eligible for MOD benefits</w:t>
            </w:r>
          </w:p>
        </w:tc>
        <w:tc>
          <w:tcPr>
            <w:tcW w:w="5376" w:type="dxa"/>
          </w:tcPr>
          <w:p w14:paraId="66E4DDEC" w14:textId="71DC34BF" w:rsidR="00EF163C" w:rsidRDefault="00EF163C" w:rsidP="000D6B1C">
            <w:pPr>
              <w:pStyle w:val="VBAILTbullet1"/>
            </w:pPr>
            <w:r w:rsidRPr="00EF163C">
              <w:rPr>
                <w:b/>
                <w:bCs/>
              </w:rPr>
              <w:t>Process a Month of Death (MOD)Claim Checklist</w:t>
            </w:r>
            <w:r>
              <w:t xml:space="preserve"> job aid</w:t>
            </w:r>
          </w:p>
          <w:p w14:paraId="604110B0" w14:textId="1DABE7B5" w:rsidR="000D6B1C" w:rsidRPr="00FF74F9" w:rsidRDefault="000D6B1C" w:rsidP="000D6B1C">
            <w:pPr>
              <w:pStyle w:val="VBAILTbullet1"/>
            </w:pPr>
            <w:r w:rsidRPr="00FF74F9">
              <w:t xml:space="preserve">38 CFR 3.20 (Surviving Spouse's Benefit for Month of Veteran's Death) </w:t>
            </w:r>
          </w:p>
          <w:p w14:paraId="56C02939" w14:textId="5BEB3FB2" w:rsidR="000D6B1C" w:rsidRPr="00FF74F9" w:rsidRDefault="000D6B1C" w:rsidP="00874F5D">
            <w:pPr>
              <w:pStyle w:val="VBAILTbullet1"/>
            </w:pPr>
            <w:r w:rsidRPr="00FF74F9">
              <w:t>M21-1</w:t>
            </w:r>
            <w:r w:rsidRPr="00FF74F9">
              <w:rPr>
                <w:rFonts w:cs="Arial"/>
              </w:rPr>
              <w:t xml:space="preserve"> </w:t>
            </w:r>
            <w:r w:rsidRPr="00EF163C">
              <w:rPr>
                <w:rStyle w:val="Strong"/>
                <w:rFonts w:cs="Arial"/>
                <w:b w:val="0"/>
              </w:rPr>
              <w:t>XI.ii.2</w:t>
            </w:r>
            <w:r w:rsidRPr="00FF74F9">
              <w:t xml:space="preserve"> (</w:t>
            </w:r>
            <w:r w:rsidR="00874F5D">
              <w:t>Month of Death (MOD) Benefits</w:t>
            </w:r>
            <w:r w:rsidRPr="00FF74F9">
              <w:t xml:space="preserve">)  </w:t>
            </w:r>
          </w:p>
        </w:tc>
      </w:tr>
      <w:tr w:rsidR="000D6B1C" w:rsidRPr="00FF74F9" w14:paraId="48A2B175" w14:textId="7C5CF7C7" w:rsidTr="00C746EB">
        <w:trPr>
          <w:jc w:val="center"/>
        </w:trPr>
        <w:tc>
          <w:tcPr>
            <w:tcW w:w="4027" w:type="dxa"/>
          </w:tcPr>
          <w:p w14:paraId="44BB13D8" w14:textId="57A03F53" w:rsidR="000D6B1C" w:rsidRPr="00FF74F9" w:rsidRDefault="000D6B1C" w:rsidP="000D6B1C">
            <w:pPr>
              <w:pStyle w:val="VBAILTBody"/>
            </w:pPr>
            <w:r w:rsidRPr="00FF74F9">
              <w:t>Demonstrate how to develop for information/evidence needed to fulfill duty to assist</w:t>
            </w:r>
          </w:p>
        </w:tc>
        <w:tc>
          <w:tcPr>
            <w:tcW w:w="5376" w:type="dxa"/>
          </w:tcPr>
          <w:p w14:paraId="67C983C3" w14:textId="0C100FD8" w:rsidR="000D6B1C" w:rsidRPr="00FF74F9" w:rsidRDefault="000D6B1C" w:rsidP="000D6B1C">
            <w:pPr>
              <w:pStyle w:val="VBAILTbullet1"/>
            </w:pPr>
            <w:r w:rsidRPr="00FF74F9">
              <w:rPr>
                <w:rStyle w:val="Strong"/>
              </w:rPr>
              <w:t>Develop for Missing Information/Evidence</w:t>
            </w:r>
            <w:r w:rsidRPr="00FF74F9">
              <w:t xml:space="preserve"> job aid</w:t>
            </w:r>
          </w:p>
          <w:p w14:paraId="4B982AF9" w14:textId="56FF10D1" w:rsidR="00874F5D" w:rsidRDefault="00874F5D" w:rsidP="00874F5D">
            <w:pPr>
              <w:pStyle w:val="VBAILTbullet1"/>
            </w:pPr>
            <w:r w:rsidRPr="00FF74F9">
              <w:t xml:space="preserve">38 CFR 3.159 (VA Assistance in Developing Claims) </w:t>
            </w:r>
          </w:p>
          <w:p w14:paraId="366CE52C" w14:textId="61D0F08C" w:rsidR="000D6B1C" w:rsidRPr="00FF74F9" w:rsidRDefault="000D6B1C" w:rsidP="000D6B1C">
            <w:pPr>
              <w:pStyle w:val="VBAILTbullet1"/>
            </w:pPr>
            <w:r w:rsidRPr="00FF74F9">
              <w:t>M21-1</w:t>
            </w:r>
            <w:r w:rsidRPr="00FF74F9">
              <w:rPr>
                <w:rFonts w:cs="Arial"/>
              </w:rPr>
              <w:t xml:space="preserve"> III.i.2.D</w:t>
            </w:r>
            <w:r w:rsidRPr="00FF74F9">
              <w:t xml:space="preserve"> (</w:t>
            </w:r>
            <w:r w:rsidR="00874F5D">
              <w:rPr>
                <w:rStyle w:val="Strong"/>
                <w:rFonts w:cs="Arial"/>
                <w:b w:val="0"/>
                <w:bCs w:val="0"/>
              </w:rPr>
              <w:t>Evidence Requested from the Claimant</w:t>
            </w:r>
            <w:r w:rsidRPr="00FF74F9">
              <w:t>)</w:t>
            </w:r>
          </w:p>
          <w:p w14:paraId="4FA1A9AD" w14:textId="3DEFF6CE" w:rsidR="000D6B1C" w:rsidRDefault="000D6B1C" w:rsidP="000D6B1C">
            <w:pPr>
              <w:pStyle w:val="VBAILTbullet1"/>
            </w:pPr>
            <w:r w:rsidRPr="00FF74F9">
              <w:t xml:space="preserve">M21-1 </w:t>
            </w:r>
            <w:r w:rsidRPr="00FF74F9">
              <w:rPr>
                <w:rStyle w:val="Strong"/>
                <w:rFonts w:cs="Arial"/>
                <w:b w:val="0"/>
                <w:bCs w:val="0"/>
              </w:rPr>
              <w:t>I.i.1.A.</w:t>
            </w:r>
            <w:r w:rsidRPr="00FF74F9" w:rsidDel="00B9198C">
              <w:t xml:space="preserve"> </w:t>
            </w:r>
            <w:r w:rsidRPr="00FF74F9">
              <w:t>(Description and General Information on Duty to Notify and Duty to Assist)</w:t>
            </w:r>
          </w:p>
          <w:p w14:paraId="39DC231D" w14:textId="20825E29" w:rsidR="00874F5D" w:rsidRPr="00FF74F9" w:rsidRDefault="00874F5D" w:rsidP="00874F5D">
            <w:pPr>
              <w:pStyle w:val="VBAILTbullet1"/>
            </w:pPr>
            <w:r>
              <w:t>M21-1 III</w:t>
            </w:r>
            <w:r w:rsidR="003D4D29">
              <w:t>.</w:t>
            </w:r>
            <w:r>
              <w:t>i.2.C (Duty to Assist with Obtaining Records)</w:t>
            </w:r>
          </w:p>
          <w:p w14:paraId="32EBD2BC" w14:textId="441E6069" w:rsidR="000D6B1C" w:rsidRPr="00FF74F9" w:rsidRDefault="000D6B1C" w:rsidP="000D6B1C">
            <w:pPr>
              <w:pStyle w:val="VBAILTbullet1"/>
            </w:pPr>
            <w:r w:rsidRPr="00FF74F9">
              <w:t xml:space="preserve">M21-1 </w:t>
            </w:r>
            <w:r w:rsidRPr="00FF74F9">
              <w:rPr>
                <w:rFonts w:cs="Arial"/>
              </w:rPr>
              <w:t>III.i.2.D</w:t>
            </w:r>
            <w:r w:rsidRPr="00FF74F9" w:rsidDel="00B9198C">
              <w:t xml:space="preserve"> </w:t>
            </w:r>
            <w:r w:rsidRPr="00FF74F9">
              <w:t>(</w:t>
            </w:r>
            <w:r w:rsidR="00874F5D">
              <w:t>Evidence Requested from the Claimant</w:t>
            </w:r>
            <w:r w:rsidRPr="00FF74F9">
              <w:t>)</w:t>
            </w:r>
          </w:p>
          <w:p w14:paraId="540EF4E0" w14:textId="38970660" w:rsidR="000D6B1C" w:rsidRDefault="000D6B1C" w:rsidP="000D6B1C">
            <w:pPr>
              <w:pStyle w:val="VBAILTbullet1"/>
            </w:pPr>
            <w:r w:rsidRPr="00FF74F9">
              <w:t xml:space="preserve">M21-1 </w:t>
            </w:r>
            <w:r w:rsidRPr="00FF74F9">
              <w:rPr>
                <w:rFonts w:cs="Arial"/>
              </w:rPr>
              <w:t>III.i.2.D.1.d</w:t>
            </w:r>
            <w:r w:rsidRPr="00FF74F9" w:rsidDel="00B9198C">
              <w:t xml:space="preserve"> </w:t>
            </w:r>
            <w:r w:rsidRPr="00FF74F9">
              <w:t>(</w:t>
            </w:r>
            <w:r w:rsidRPr="00FF74F9">
              <w:rPr>
                <w:rFonts w:cs="Arial"/>
              </w:rPr>
              <w:t>Claims Development by E-Mail, Telephone, and Electronic Means</w:t>
            </w:r>
            <w:r w:rsidRPr="00FF74F9">
              <w:t>)</w:t>
            </w:r>
          </w:p>
          <w:p w14:paraId="57F51138" w14:textId="34C65AD2" w:rsidR="000D6B1C" w:rsidRPr="00FF74F9" w:rsidRDefault="000D6B1C" w:rsidP="00874F5D">
            <w:pPr>
              <w:pStyle w:val="VBAILTbullet1"/>
            </w:pPr>
            <w:r w:rsidRPr="00FF74F9">
              <w:lastRenderedPageBreak/>
              <w:t>M21-1</w:t>
            </w:r>
            <w:r w:rsidRPr="00FF74F9">
              <w:rPr>
                <w:rFonts w:cs="Arial"/>
              </w:rPr>
              <w:t xml:space="preserve"> III.i.2.D.1.e</w:t>
            </w:r>
            <w:bookmarkStart w:id="3" w:name="1e"/>
            <w:r w:rsidRPr="00FF74F9">
              <w:rPr>
                <w:rFonts w:cs="Arial"/>
              </w:rPr>
              <w:t>.</w:t>
            </w:r>
            <w:bookmarkEnd w:id="3"/>
            <w:r w:rsidRPr="00FF74F9">
              <w:t xml:space="preserve"> (Documenting Information Received by Telephone)</w:t>
            </w:r>
          </w:p>
        </w:tc>
      </w:tr>
      <w:tr w:rsidR="000D6B1C" w:rsidRPr="00FF74F9" w14:paraId="444D7A20" w14:textId="77777777" w:rsidTr="00C746EB">
        <w:trPr>
          <w:jc w:val="center"/>
        </w:trPr>
        <w:tc>
          <w:tcPr>
            <w:tcW w:w="4027" w:type="dxa"/>
          </w:tcPr>
          <w:p w14:paraId="247EAA1A" w14:textId="0DC5ED9A" w:rsidR="000D6B1C" w:rsidRPr="00FF74F9" w:rsidRDefault="000D6B1C" w:rsidP="000D6B1C">
            <w:pPr>
              <w:pStyle w:val="VBAILTBody"/>
            </w:pPr>
            <w:r w:rsidRPr="00FF74F9">
              <w:lastRenderedPageBreak/>
              <w:t xml:space="preserve">Decide the award action </w:t>
            </w:r>
          </w:p>
        </w:tc>
        <w:tc>
          <w:tcPr>
            <w:tcW w:w="5376" w:type="dxa"/>
          </w:tcPr>
          <w:p w14:paraId="37DFA4DE" w14:textId="3C9FA5B7" w:rsidR="000D6B1C" w:rsidRPr="00FF74F9" w:rsidRDefault="000D6B1C" w:rsidP="000D6B1C">
            <w:pPr>
              <w:pStyle w:val="VBAILTbullet1"/>
            </w:pPr>
            <w:r w:rsidRPr="00FF74F9">
              <w:rPr>
                <w:rStyle w:val="Strong"/>
              </w:rPr>
              <w:t>Processing a Grant of Benefits</w:t>
            </w:r>
            <w:r w:rsidRPr="00FF74F9">
              <w:t xml:space="preserve"> job aid </w:t>
            </w:r>
          </w:p>
          <w:p w14:paraId="19C4992A" w14:textId="77777777" w:rsidR="000D6B1C" w:rsidRPr="00FF74F9" w:rsidRDefault="000D6B1C" w:rsidP="000D6B1C">
            <w:pPr>
              <w:pStyle w:val="VBAILTbullet1"/>
            </w:pPr>
            <w:r w:rsidRPr="00FF74F9">
              <w:rPr>
                <w:rStyle w:val="Strong"/>
              </w:rPr>
              <w:t>Processing a Denial of Benefits</w:t>
            </w:r>
            <w:r w:rsidRPr="00FF74F9">
              <w:t xml:space="preserve"> job aid </w:t>
            </w:r>
          </w:p>
          <w:p w14:paraId="2119081C" w14:textId="2634A2CC" w:rsidR="000D6B1C" w:rsidRPr="00FF74F9" w:rsidRDefault="000D6B1C" w:rsidP="000D6B1C">
            <w:pPr>
              <w:pStyle w:val="VBAILTbullet1"/>
            </w:pPr>
            <w:r w:rsidRPr="00FF74F9">
              <w:rPr>
                <w:rStyle w:val="Strong"/>
              </w:rPr>
              <w:t>Processing an Award Adjustment</w:t>
            </w:r>
            <w:r w:rsidRPr="00FF74F9">
              <w:t xml:space="preserve"> job aid</w:t>
            </w:r>
          </w:p>
          <w:p w14:paraId="394AEEDB" w14:textId="7B815B9E" w:rsidR="000D6B1C" w:rsidRPr="00FF74F9" w:rsidRDefault="000D6B1C" w:rsidP="000D6B1C">
            <w:pPr>
              <w:pStyle w:val="VBAILTbullet1"/>
            </w:pPr>
            <w:r w:rsidRPr="00FF74F9">
              <w:rPr>
                <w:rStyle w:val="Strong"/>
              </w:rPr>
              <w:t>Time Limits</w:t>
            </w:r>
            <w:r w:rsidRPr="00FF74F9">
              <w:t xml:space="preserve"> job aid</w:t>
            </w:r>
          </w:p>
          <w:p w14:paraId="5B435AA5" w14:textId="178BA691" w:rsidR="000D6B1C" w:rsidRPr="00FF74F9" w:rsidRDefault="000D6B1C" w:rsidP="000D6B1C">
            <w:pPr>
              <w:pStyle w:val="VBAILTbullet1"/>
            </w:pPr>
            <w:r w:rsidRPr="00FF74F9">
              <w:rPr>
                <w:rStyle w:val="Strong"/>
              </w:rPr>
              <w:t>Annotate the Award Checklist</w:t>
            </w:r>
            <w:r w:rsidRPr="00FF74F9">
              <w:t xml:space="preserve"> job aid</w:t>
            </w:r>
          </w:p>
          <w:p w14:paraId="01084A0B" w14:textId="382A510C" w:rsidR="000D6B1C" w:rsidRPr="00FF74F9" w:rsidRDefault="000D6B1C" w:rsidP="000D6B1C">
            <w:pPr>
              <w:pStyle w:val="VBAILTbullet1"/>
            </w:pPr>
            <w:r w:rsidRPr="00FF74F9">
              <w:t xml:space="preserve">M21-1 </w:t>
            </w:r>
            <w:r w:rsidRPr="00FF74F9">
              <w:rPr>
                <w:rFonts w:cs="Arial"/>
              </w:rPr>
              <w:t>VI.i.1.A.</w:t>
            </w:r>
            <w:r w:rsidRPr="00FF74F9" w:rsidDel="0009526C">
              <w:t xml:space="preserve"> </w:t>
            </w:r>
            <w:r w:rsidRPr="00FF74F9">
              <w:t xml:space="preserve">(Decision Authorization) </w:t>
            </w:r>
          </w:p>
          <w:p w14:paraId="2A505DB2" w14:textId="0F8A7F5B" w:rsidR="000D6B1C" w:rsidRPr="00FF74F9" w:rsidRDefault="000D6B1C" w:rsidP="00874F5D">
            <w:pPr>
              <w:pStyle w:val="VBAILTbullet1"/>
            </w:pPr>
            <w:r w:rsidRPr="00FF74F9">
              <w:t xml:space="preserve">M21-1 </w:t>
            </w:r>
            <w:r w:rsidRPr="00FF74F9">
              <w:rPr>
                <w:rFonts w:cs="Arial"/>
              </w:rPr>
              <w:t>VI.i.1.B.</w:t>
            </w:r>
            <w:r w:rsidRPr="00FF74F9" w:rsidDel="0009526C">
              <w:t xml:space="preserve"> </w:t>
            </w:r>
            <w:r w:rsidRPr="00FF74F9">
              <w:t xml:space="preserve">(Decision Notices) </w:t>
            </w:r>
          </w:p>
        </w:tc>
      </w:tr>
      <w:tr w:rsidR="000D6B1C" w:rsidRPr="00FF74F9" w14:paraId="52CEE5C3" w14:textId="77777777" w:rsidTr="00C746EB">
        <w:trPr>
          <w:jc w:val="center"/>
        </w:trPr>
        <w:tc>
          <w:tcPr>
            <w:tcW w:w="4027" w:type="dxa"/>
          </w:tcPr>
          <w:p w14:paraId="4E5E1020" w14:textId="41F9645A" w:rsidR="000D6B1C" w:rsidRPr="00FF74F9" w:rsidRDefault="000D6B1C" w:rsidP="000D6B1C">
            <w:pPr>
              <w:pStyle w:val="VBAILTBody"/>
              <w:keepNext/>
            </w:pPr>
            <w:r w:rsidRPr="00FF74F9">
              <w:t>Determine whether a claim requires a rating decision</w:t>
            </w:r>
          </w:p>
        </w:tc>
        <w:tc>
          <w:tcPr>
            <w:tcW w:w="5376" w:type="dxa"/>
          </w:tcPr>
          <w:p w14:paraId="7BA705C2" w14:textId="4AB43C84" w:rsidR="000D6B1C" w:rsidRDefault="000D6B1C" w:rsidP="000D6B1C">
            <w:pPr>
              <w:pStyle w:val="VBAILTbullet1"/>
              <w:keepNext/>
            </w:pPr>
            <w:r w:rsidRPr="00FF74F9">
              <w:rPr>
                <w:rStyle w:val="Strong"/>
              </w:rPr>
              <w:t>Ready to Rate</w:t>
            </w:r>
            <w:r w:rsidRPr="00FF74F9">
              <w:t xml:space="preserve"> job aid</w:t>
            </w:r>
          </w:p>
          <w:p w14:paraId="7F827402" w14:textId="1685E754" w:rsidR="00B24E53" w:rsidRPr="00FF74F9" w:rsidRDefault="00B24E53" w:rsidP="00B24E53">
            <w:pPr>
              <w:pStyle w:val="VBAILTbullet1"/>
              <w:keepNext/>
            </w:pPr>
            <w:r w:rsidRPr="00FF74F9">
              <w:rPr>
                <w:rStyle w:val="Strong"/>
              </w:rPr>
              <w:t>Accuracy of a Rating Decision</w:t>
            </w:r>
            <w:r w:rsidRPr="00FF74F9">
              <w:t xml:space="preserve"> job aid</w:t>
            </w:r>
          </w:p>
          <w:p w14:paraId="5194D571" w14:textId="5F31F811" w:rsidR="000D6B1C" w:rsidRDefault="000D6B1C" w:rsidP="000D6B1C">
            <w:pPr>
              <w:pStyle w:val="VBAILTbullet1"/>
              <w:keepNext/>
            </w:pPr>
            <w:r w:rsidRPr="00FF74F9">
              <w:t>M21-1</w:t>
            </w:r>
            <w:r w:rsidRPr="00FF74F9">
              <w:rPr>
                <w:rFonts w:cs="Arial"/>
                <w:b/>
                <w:bCs/>
              </w:rPr>
              <w:t xml:space="preserve"> </w:t>
            </w:r>
            <w:r w:rsidRPr="00FF74F9">
              <w:rPr>
                <w:rStyle w:val="Strong"/>
                <w:rFonts w:cs="Arial"/>
                <w:b w:val="0"/>
                <w:bCs w:val="0"/>
              </w:rPr>
              <w:t>V.i.1.B </w:t>
            </w:r>
            <w:r w:rsidRPr="00FF74F9">
              <w:t>(</w:t>
            </w:r>
            <w:r w:rsidR="00B24E53">
              <w:t>Referrals to the Rating Activity</w:t>
            </w:r>
            <w:r w:rsidRPr="00FF74F9">
              <w:t>)</w:t>
            </w:r>
          </w:p>
          <w:p w14:paraId="1B0693E5" w14:textId="16A3C9EF" w:rsidR="00B24E53" w:rsidRPr="00FF74F9" w:rsidRDefault="00B24E53" w:rsidP="000D6B1C">
            <w:pPr>
              <w:pStyle w:val="VBAILTbullet1"/>
              <w:keepNext/>
            </w:pPr>
            <w:r>
              <w:t>M21-1 V.iv.1.E (Reviewing the Rating Decision)</w:t>
            </w:r>
          </w:p>
          <w:p w14:paraId="45A7D623" w14:textId="4F4DB30C" w:rsidR="000D6B1C" w:rsidRPr="00FF74F9" w:rsidRDefault="00B24E53" w:rsidP="000D6B1C">
            <w:pPr>
              <w:pStyle w:val="VBAILTbullet1"/>
              <w:keepNext/>
            </w:pPr>
            <w:r>
              <w:t>M21-1 XII.i.2.A (Ratings for Dependency and Indemnity Compensation (DIC))</w:t>
            </w:r>
          </w:p>
        </w:tc>
      </w:tr>
      <w:tr w:rsidR="000D6B1C" w:rsidRPr="00FF74F9" w14:paraId="2E276F02" w14:textId="77777777" w:rsidTr="00C746EB">
        <w:trPr>
          <w:jc w:val="center"/>
        </w:trPr>
        <w:tc>
          <w:tcPr>
            <w:tcW w:w="4027" w:type="dxa"/>
          </w:tcPr>
          <w:p w14:paraId="6B52F9B6" w14:textId="0CB77F53" w:rsidR="000D6B1C" w:rsidRPr="00FF74F9" w:rsidRDefault="000D6B1C" w:rsidP="000D6B1C">
            <w:pPr>
              <w:pStyle w:val="VBAILTBody"/>
            </w:pPr>
            <w:r w:rsidRPr="00FF74F9">
              <w:t xml:space="preserve">Prepare a decision notification </w:t>
            </w:r>
          </w:p>
        </w:tc>
        <w:tc>
          <w:tcPr>
            <w:tcW w:w="5376" w:type="dxa"/>
          </w:tcPr>
          <w:p w14:paraId="59FAF60D" w14:textId="77777777" w:rsidR="000D6B1C" w:rsidRPr="00FF74F9" w:rsidRDefault="000D6B1C" w:rsidP="000D6B1C">
            <w:pPr>
              <w:pStyle w:val="VBAILTbullet1"/>
            </w:pPr>
            <w:r w:rsidRPr="00FF74F9">
              <w:rPr>
                <w:rStyle w:val="Strong"/>
              </w:rPr>
              <w:t>Processing an Award Adjustment</w:t>
            </w:r>
            <w:r w:rsidRPr="00FF74F9">
              <w:t xml:space="preserve"> job aid</w:t>
            </w:r>
          </w:p>
          <w:p w14:paraId="0BBE31E8" w14:textId="77777777" w:rsidR="000D6B1C" w:rsidRPr="00FF74F9" w:rsidRDefault="000D6B1C" w:rsidP="000D6B1C">
            <w:pPr>
              <w:pStyle w:val="VBAILTbullet1"/>
            </w:pPr>
            <w:r w:rsidRPr="00FF74F9">
              <w:rPr>
                <w:rStyle w:val="Strong"/>
              </w:rPr>
              <w:t>Processing a Grant of Benefits</w:t>
            </w:r>
            <w:r w:rsidRPr="00FF74F9">
              <w:t xml:space="preserve"> job aid </w:t>
            </w:r>
          </w:p>
          <w:p w14:paraId="2D7E7A4C" w14:textId="1A8D5B50" w:rsidR="000D6B1C" w:rsidRPr="00FF74F9" w:rsidRDefault="000D6B1C" w:rsidP="000D6B1C">
            <w:pPr>
              <w:pStyle w:val="VBAILTbullet1"/>
            </w:pPr>
            <w:r w:rsidRPr="00FF74F9">
              <w:rPr>
                <w:rStyle w:val="Strong"/>
              </w:rPr>
              <w:t>Processing a Denial of Benefits</w:t>
            </w:r>
            <w:r w:rsidRPr="00FF74F9">
              <w:t xml:space="preserve"> job aid</w:t>
            </w:r>
          </w:p>
          <w:p w14:paraId="22515DA7" w14:textId="0966C508" w:rsidR="000D6B1C" w:rsidRPr="00FF74F9" w:rsidRDefault="000D6B1C" w:rsidP="000D6B1C">
            <w:pPr>
              <w:pStyle w:val="VBAILTbullet1"/>
            </w:pPr>
            <w:r w:rsidRPr="00FF74F9">
              <w:t xml:space="preserve">M21-1 </w:t>
            </w:r>
            <w:r w:rsidRPr="00FF74F9">
              <w:rPr>
                <w:rFonts w:cs="Arial"/>
              </w:rPr>
              <w:t>VI.i.1.B.1</w:t>
            </w:r>
            <w:r w:rsidRPr="00FF74F9">
              <w:t xml:space="preserve"> (Notification Requirements) </w:t>
            </w:r>
          </w:p>
          <w:p w14:paraId="5C9006A6" w14:textId="5E48407A" w:rsidR="000D6B1C" w:rsidRDefault="000D6B1C" w:rsidP="000D6B1C">
            <w:pPr>
              <w:pStyle w:val="VBAILTbullet1"/>
            </w:pPr>
            <w:r w:rsidRPr="00FF74F9">
              <w:t>M21-1</w:t>
            </w:r>
            <w:r w:rsidRPr="00FF74F9">
              <w:rPr>
                <w:rFonts w:cs="Arial"/>
              </w:rPr>
              <w:t xml:space="preserve"> VI.i.1.B.3 </w:t>
            </w:r>
            <w:r w:rsidRPr="00FF74F9">
              <w:t>(</w:t>
            </w:r>
            <w:r w:rsidR="00B24E53">
              <w:rPr>
                <w:rFonts w:cs="Arial"/>
              </w:rPr>
              <w:t>Decision Notices Containing FTI</w:t>
            </w:r>
            <w:r w:rsidRPr="00FF74F9">
              <w:t xml:space="preserve">) </w:t>
            </w:r>
          </w:p>
          <w:p w14:paraId="69429E05" w14:textId="53601FDC" w:rsidR="00B24E53" w:rsidRPr="00FF74F9" w:rsidRDefault="00B24E53" w:rsidP="000D6B1C">
            <w:pPr>
              <w:pStyle w:val="VBAILTbullet1"/>
            </w:pPr>
            <w:r>
              <w:t>M21-1 X.ii.3.A (Notice of Proposed Adverse Action)</w:t>
            </w:r>
          </w:p>
        </w:tc>
      </w:tr>
    </w:tbl>
    <w:p w14:paraId="0CC4495F" w14:textId="77777777" w:rsidR="004B566A" w:rsidRPr="00FF74F9" w:rsidRDefault="004B566A" w:rsidP="00AD3B2A">
      <w:pPr>
        <w:pStyle w:val="VBAILTBody"/>
      </w:pPr>
    </w:p>
    <w:sectPr w:rsidR="004B566A" w:rsidRPr="00FF74F9" w:rsidSect="006A6A3F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78E4F" w14:textId="77777777" w:rsidR="003F0D6E" w:rsidRDefault="003F0D6E" w:rsidP="00C214A9">
      <w:pPr>
        <w:spacing w:after="0" w:line="240" w:lineRule="auto"/>
      </w:pPr>
      <w:r>
        <w:separator/>
      </w:r>
    </w:p>
  </w:endnote>
  <w:endnote w:type="continuationSeparator" w:id="0">
    <w:p w14:paraId="58B35686" w14:textId="77777777" w:rsidR="003F0D6E" w:rsidRDefault="003F0D6E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B688" w14:textId="3416A0E8" w:rsidR="00C214A9" w:rsidRPr="00D44C02" w:rsidRDefault="00C222E1" w:rsidP="009C2DBE">
    <w:pPr>
      <w:pStyle w:val="VBAILTFooter"/>
    </w:pPr>
    <w:r>
      <w:t>June 2024</w:t>
    </w:r>
    <w:r w:rsidR="00D44C02">
      <w:tab/>
    </w:r>
    <w:r w:rsidR="00D44C02" w:rsidRPr="00C214A9">
      <w:rPr>
        <w:i w:val="0"/>
      </w:rPr>
      <w:fldChar w:fldCharType="begin"/>
    </w:r>
    <w:r w:rsidR="00D44C02" w:rsidRPr="00C214A9">
      <w:instrText xml:space="preserve"> PAGE   \* MERGEFORMAT </w:instrText>
    </w:r>
    <w:r w:rsidR="00D44C02" w:rsidRPr="00C214A9">
      <w:rPr>
        <w:i w:val="0"/>
      </w:rPr>
      <w:fldChar w:fldCharType="separate"/>
    </w:r>
    <w:r w:rsidR="00725B6A" w:rsidRPr="00725B6A">
      <w:rPr>
        <w:b/>
        <w:bCs/>
        <w:noProof/>
      </w:rPr>
      <w:t>10</w:t>
    </w:r>
    <w:r w:rsidR="00D44C02" w:rsidRPr="00C214A9">
      <w:rPr>
        <w:b/>
        <w:bCs/>
        <w:i w:val="0"/>
        <w:noProof/>
      </w:rPr>
      <w:fldChar w:fldCharType="end"/>
    </w:r>
    <w:r w:rsidR="00D44C02" w:rsidRPr="00C214A9">
      <w:rPr>
        <w:b/>
        <w:bCs/>
      </w:rPr>
      <w:t xml:space="preserve"> </w:t>
    </w:r>
    <w:r w:rsidR="00D44C02" w:rsidRPr="00C214A9">
      <w:t>|</w:t>
    </w:r>
    <w:r w:rsidR="00D44C02" w:rsidRPr="00C214A9">
      <w:rPr>
        <w:b/>
        <w:bCs/>
      </w:rPr>
      <w:t xml:space="preserve"> </w:t>
    </w:r>
    <w:r w:rsidR="00D44C02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D443" w14:textId="6369CC82" w:rsidR="00D44C02" w:rsidRPr="008A4E5B" w:rsidRDefault="00C222E1" w:rsidP="008A4E5B">
    <w:pPr>
      <w:pStyle w:val="VBAILTFooter"/>
    </w:pPr>
    <w:r>
      <w:t>June 2024</w:t>
    </w:r>
    <w:r w:rsidR="00D44C02" w:rsidRPr="008A4E5B">
      <w:tab/>
    </w:r>
    <w:r w:rsidR="00D44C02" w:rsidRPr="008A4E5B">
      <w:fldChar w:fldCharType="begin"/>
    </w:r>
    <w:r w:rsidR="00D44C02" w:rsidRPr="008A4E5B">
      <w:instrText xml:space="preserve"> PAGE   \* MERGEFORMAT </w:instrText>
    </w:r>
    <w:r w:rsidR="00D44C02" w:rsidRPr="008A4E5B">
      <w:fldChar w:fldCharType="separate"/>
    </w:r>
    <w:r w:rsidR="00725B6A">
      <w:rPr>
        <w:noProof/>
      </w:rPr>
      <w:t>2</w:t>
    </w:r>
    <w:r w:rsidR="00D44C02" w:rsidRPr="008A4E5B">
      <w:fldChar w:fldCharType="end"/>
    </w:r>
    <w:r w:rsidR="00D44C02" w:rsidRPr="008A4E5B">
      <w:t xml:space="preserve"> | Page</w:t>
    </w:r>
  </w:p>
  <w:p w14:paraId="489EE0F7" w14:textId="77777777" w:rsidR="006C56E6" w:rsidRDefault="006C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EE7D7" w14:textId="77777777" w:rsidR="003F0D6E" w:rsidRDefault="003F0D6E" w:rsidP="00C214A9">
      <w:pPr>
        <w:spacing w:after="0" w:line="240" w:lineRule="auto"/>
      </w:pPr>
      <w:r>
        <w:separator/>
      </w:r>
    </w:p>
  </w:footnote>
  <w:footnote w:type="continuationSeparator" w:id="0">
    <w:p w14:paraId="3EAA1F30" w14:textId="77777777" w:rsidR="003F0D6E" w:rsidRDefault="003F0D6E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DBD1" w14:textId="763AF3B9" w:rsidR="00C214A9" w:rsidRPr="002D1DCE" w:rsidRDefault="00097095" w:rsidP="002D1DCE">
    <w:pPr>
      <w:pStyle w:val="VBAILTHeader"/>
    </w:pPr>
    <w:r>
      <w:t>Appendix A—</w:t>
    </w:r>
    <w:r w:rsidR="004B566A">
      <w:t xml:space="preserve">Process </w:t>
    </w:r>
    <w:r w:rsidR="00C042B5">
      <w:t>DIC</w:t>
    </w:r>
    <w:r w:rsidR="004B566A">
      <w:t xml:space="preserve"> Claims</w:t>
    </w:r>
  </w:p>
  <w:p w14:paraId="084AE554" w14:textId="479D31A3" w:rsidR="002D1DCE" w:rsidRPr="002D1DCE" w:rsidRDefault="002D1DCE" w:rsidP="001262F7">
    <w:pPr>
      <w:pStyle w:val="VBAILT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6E993" w14:textId="3B191270" w:rsidR="00B00EF1" w:rsidRPr="002D1DCE" w:rsidRDefault="00097095" w:rsidP="00B00EF1">
    <w:pPr>
      <w:pStyle w:val="VBAILTHeader"/>
    </w:pPr>
    <w:r>
      <w:t>Appendix A—</w:t>
    </w:r>
    <w:r w:rsidR="00B00EF1">
      <w:t xml:space="preserve">Process </w:t>
    </w:r>
    <w:r w:rsidR="0031023B">
      <w:t>DIC</w:t>
    </w:r>
    <w:r w:rsidR="00B00EF1">
      <w:t xml:space="preserve"> Claims</w:t>
    </w:r>
  </w:p>
  <w:p w14:paraId="4E3B67F8" w14:textId="35965A55" w:rsidR="00B00EF1" w:rsidRPr="002D1DCE" w:rsidRDefault="00B00EF1" w:rsidP="00B00EF1">
    <w:pPr>
      <w:pStyle w:val="VBAILTHeader"/>
      <w:pBdr>
        <w:bottom w:val="single" w:sz="4" w:space="1" w:color="auto"/>
      </w:pBdr>
    </w:pPr>
  </w:p>
  <w:p w14:paraId="77D14522" w14:textId="1844CE37" w:rsidR="006C56E6" w:rsidRDefault="006C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6D238F"/>
    <w:multiLevelType w:val="multilevel"/>
    <w:tmpl w:val="5A3AB502"/>
    <w:numStyleLink w:val="VBAILTNumbering"/>
  </w:abstractNum>
  <w:abstractNum w:abstractNumId="11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6F24128E"/>
    <w:multiLevelType w:val="hybridMultilevel"/>
    <w:tmpl w:val="16983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210915193">
    <w:abstractNumId w:val="2"/>
  </w:num>
  <w:num w:numId="2" w16cid:durableId="705450197">
    <w:abstractNumId w:val="8"/>
  </w:num>
  <w:num w:numId="3" w16cid:durableId="901795370">
    <w:abstractNumId w:val="9"/>
  </w:num>
  <w:num w:numId="4" w16cid:durableId="238027938">
    <w:abstractNumId w:val="5"/>
  </w:num>
  <w:num w:numId="5" w16cid:durableId="269363434">
    <w:abstractNumId w:val="11"/>
  </w:num>
  <w:num w:numId="6" w16cid:durableId="2089301906">
    <w:abstractNumId w:val="13"/>
  </w:num>
  <w:num w:numId="7" w16cid:durableId="742414896">
    <w:abstractNumId w:val="0"/>
  </w:num>
  <w:num w:numId="8" w16cid:durableId="557325065">
    <w:abstractNumId w:val="7"/>
  </w:num>
  <w:num w:numId="9" w16cid:durableId="1942763977">
    <w:abstractNumId w:val="3"/>
  </w:num>
  <w:num w:numId="10" w16cid:durableId="458648847">
    <w:abstractNumId w:val="10"/>
  </w:num>
  <w:num w:numId="11" w16cid:durableId="291207922">
    <w:abstractNumId w:val="6"/>
  </w:num>
  <w:num w:numId="12" w16cid:durableId="1596787957">
    <w:abstractNumId w:val="2"/>
  </w:num>
  <w:num w:numId="13" w16cid:durableId="1760978504">
    <w:abstractNumId w:val="4"/>
  </w:num>
  <w:num w:numId="14" w16cid:durableId="1527906492">
    <w:abstractNumId w:val="1"/>
  </w:num>
  <w:num w:numId="15" w16cid:durableId="1389036969">
    <w:abstractNumId w:val="2"/>
  </w:num>
  <w:num w:numId="16" w16cid:durableId="13237747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03DC7"/>
    <w:rsid w:val="000156A5"/>
    <w:rsid w:val="00056593"/>
    <w:rsid w:val="000565F5"/>
    <w:rsid w:val="00077BE7"/>
    <w:rsid w:val="00083B9D"/>
    <w:rsid w:val="00085A11"/>
    <w:rsid w:val="0009526C"/>
    <w:rsid w:val="00097095"/>
    <w:rsid w:val="000A37FE"/>
    <w:rsid w:val="000C6BFA"/>
    <w:rsid w:val="000D6B1C"/>
    <w:rsid w:val="000F430C"/>
    <w:rsid w:val="000F6A22"/>
    <w:rsid w:val="00116035"/>
    <w:rsid w:val="00124AE7"/>
    <w:rsid w:val="001262F7"/>
    <w:rsid w:val="00134184"/>
    <w:rsid w:val="00143CCF"/>
    <w:rsid w:val="00152249"/>
    <w:rsid w:val="001604CC"/>
    <w:rsid w:val="00171AD6"/>
    <w:rsid w:val="00175040"/>
    <w:rsid w:val="00192E1F"/>
    <w:rsid w:val="001947F4"/>
    <w:rsid w:val="001A573A"/>
    <w:rsid w:val="001B6C57"/>
    <w:rsid w:val="001C51BC"/>
    <w:rsid w:val="001D2E6A"/>
    <w:rsid w:val="001D5A75"/>
    <w:rsid w:val="001D6742"/>
    <w:rsid w:val="001E5136"/>
    <w:rsid w:val="001F290C"/>
    <w:rsid w:val="0024084E"/>
    <w:rsid w:val="00250FEF"/>
    <w:rsid w:val="00267BA2"/>
    <w:rsid w:val="00286798"/>
    <w:rsid w:val="002912BA"/>
    <w:rsid w:val="00291415"/>
    <w:rsid w:val="002C3FE7"/>
    <w:rsid w:val="002D1DCE"/>
    <w:rsid w:val="002E3812"/>
    <w:rsid w:val="002E7FD3"/>
    <w:rsid w:val="002F5039"/>
    <w:rsid w:val="00304566"/>
    <w:rsid w:val="0031023B"/>
    <w:rsid w:val="00313580"/>
    <w:rsid w:val="0033746B"/>
    <w:rsid w:val="00345A39"/>
    <w:rsid w:val="003560D1"/>
    <w:rsid w:val="00360F79"/>
    <w:rsid w:val="00372AE6"/>
    <w:rsid w:val="00384604"/>
    <w:rsid w:val="003B118F"/>
    <w:rsid w:val="003B3180"/>
    <w:rsid w:val="003C3378"/>
    <w:rsid w:val="003C6B4D"/>
    <w:rsid w:val="003D4D29"/>
    <w:rsid w:val="003E3D02"/>
    <w:rsid w:val="003F0D6E"/>
    <w:rsid w:val="00415CED"/>
    <w:rsid w:val="00416682"/>
    <w:rsid w:val="0042467D"/>
    <w:rsid w:val="00443BFF"/>
    <w:rsid w:val="00457980"/>
    <w:rsid w:val="00474E74"/>
    <w:rsid w:val="00494920"/>
    <w:rsid w:val="004B08D7"/>
    <w:rsid w:val="004B2CBF"/>
    <w:rsid w:val="004B566A"/>
    <w:rsid w:val="004E4972"/>
    <w:rsid w:val="004F39FE"/>
    <w:rsid w:val="00502699"/>
    <w:rsid w:val="00510733"/>
    <w:rsid w:val="00512FA6"/>
    <w:rsid w:val="00524F6E"/>
    <w:rsid w:val="005274FC"/>
    <w:rsid w:val="00542CCA"/>
    <w:rsid w:val="00551F78"/>
    <w:rsid w:val="00555821"/>
    <w:rsid w:val="0056768B"/>
    <w:rsid w:val="00573A4F"/>
    <w:rsid w:val="00577665"/>
    <w:rsid w:val="00582577"/>
    <w:rsid w:val="00596BE2"/>
    <w:rsid w:val="005A301F"/>
    <w:rsid w:val="005C683D"/>
    <w:rsid w:val="005F0B86"/>
    <w:rsid w:val="00604334"/>
    <w:rsid w:val="00610D52"/>
    <w:rsid w:val="00622460"/>
    <w:rsid w:val="00622B1E"/>
    <w:rsid w:val="00630540"/>
    <w:rsid w:val="006504B2"/>
    <w:rsid w:val="00661F71"/>
    <w:rsid w:val="00680D4B"/>
    <w:rsid w:val="006A14F0"/>
    <w:rsid w:val="006A6A3F"/>
    <w:rsid w:val="006C56E6"/>
    <w:rsid w:val="006D7FBB"/>
    <w:rsid w:val="006E54AE"/>
    <w:rsid w:val="006F71CF"/>
    <w:rsid w:val="007064FA"/>
    <w:rsid w:val="00710AA0"/>
    <w:rsid w:val="0071438D"/>
    <w:rsid w:val="00720502"/>
    <w:rsid w:val="00725B6A"/>
    <w:rsid w:val="00731C06"/>
    <w:rsid w:val="007359B2"/>
    <w:rsid w:val="00736BC3"/>
    <w:rsid w:val="0074381C"/>
    <w:rsid w:val="007454AC"/>
    <w:rsid w:val="007470D1"/>
    <w:rsid w:val="00752649"/>
    <w:rsid w:val="007C49C5"/>
    <w:rsid w:val="007D13F5"/>
    <w:rsid w:val="007D4140"/>
    <w:rsid w:val="007D483F"/>
    <w:rsid w:val="00813890"/>
    <w:rsid w:val="00855AFF"/>
    <w:rsid w:val="008715F0"/>
    <w:rsid w:val="00874F5D"/>
    <w:rsid w:val="00881482"/>
    <w:rsid w:val="00882DB9"/>
    <w:rsid w:val="00893B23"/>
    <w:rsid w:val="008966B1"/>
    <w:rsid w:val="008A4E5B"/>
    <w:rsid w:val="008B0665"/>
    <w:rsid w:val="008B60E8"/>
    <w:rsid w:val="008C72DB"/>
    <w:rsid w:val="008E4A12"/>
    <w:rsid w:val="008F5C4E"/>
    <w:rsid w:val="008F79A4"/>
    <w:rsid w:val="0091339C"/>
    <w:rsid w:val="00936E46"/>
    <w:rsid w:val="009537FB"/>
    <w:rsid w:val="009677E9"/>
    <w:rsid w:val="009A5590"/>
    <w:rsid w:val="009C142D"/>
    <w:rsid w:val="009C167B"/>
    <w:rsid w:val="009C2DBE"/>
    <w:rsid w:val="009F361E"/>
    <w:rsid w:val="00A03870"/>
    <w:rsid w:val="00A10B66"/>
    <w:rsid w:val="00A23BDF"/>
    <w:rsid w:val="00A336EE"/>
    <w:rsid w:val="00A3668B"/>
    <w:rsid w:val="00A51279"/>
    <w:rsid w:val="00A66DFB"/>
    <w:rsid w:val="00A924C8"/>
    <w:rsid w:val="00AA71BC"/>
    <w:rsid w:val="00AD3B2A"/>
    <w:rsid w:val="00AD7D69"/>
    <w:rsid w:val="00B00EF1"/>
    <w:rsid w:val="00B20653"/>
    <w:rsid w:val="00B22BBA"/>
    <w:rsid w:val="00B24E53"/>
    <w:rsid w:val="00B621D1"/>
    <w:rsid w:val="00B81369"/>
    <w:rsid w:val="00B86275"/>
    <w:rsid w:val="00B9198C"/>
    <w:rsid w:val="00B93C98"/>
    <w:rsid w:val="00B95BC8"/>
    <w:rsid w:val="00B96B7E"/>
    <w:rsid w:val="00BA0FD7"/>
    <w:rsid w:val="00BB2C82"/>
    <w:rsid w:val="00BB7225"/>
    <w:rsid w:val="00BC78BC"/>
    <w:rsid w:val="00BE44CD"/>
    <w:rsid w:val="00BF303E"/>
    <w:rsid w:val="00C042B5"/>
    <w:rsid w:val="00C16E15"/>
    <w:rsid w:val="00C214A9"/>
    <w:rsid w:val="00C222E1"/>
    <w:rsid w:val="00C30F06"/>
    <w:rsid w:val="00C33DFF"/>
    <w:rsid w:val="00C746EB"/>
    <w:rsid w:val="00C76067"/>
    <w:rsid w:val="00C764DB"/>
    <w:rsid w:val="00C83A06"/>
    <w:rsid w:val="00C8779F"/>
    <w:rsid w:val="00C90127"/>
    <w:rsid w:val="00C924EC"/>
    <w:rsid w:val="00C933C0"/>
    <w:rsid w:val="00C94935"/>
    <w:rsid w:val="00CC3EF6"/>
    <w:rsid w:val="00CF50B0"/>
    <w:rsid w:val="00D0028B"/>
    <w:rsid w:val="00D10282"/>
    <w:rsid w:val="00D272EF"/>
    <w:rsid w:val="00D368CB"/>
    <w:rsid w:val="00D446CA"/>
    <w:rsid w:val="00D44C02"/>
    <w:rsid w:val="00D54422"/>
    <w:rsid w:val="00D54DB1"/>
    <w:rsid w:val="00D77B6C"/>
    <w:rsid w:val="00D93448"/>
    <w:rsid w:val="00D94905"/>
    <w:rsid w:val="00D971E4"/>
    <w:rsid w:val="00DB2B5B"/>
    <w:rsid w:val="00DC0A86"/>
    <w:rsid w:val="00DE61D5"/>
    <w:rsid w:val="00DF6115"/>
    <w:rsid w:val="00E22681"/>
    <w:rsid w:val="00E2306B"/>
    <w:rsid w:val="00E43C51"/>
    <w:rsid w:val="00E510F1"/>
    <w:rsid w:val="00E73091"/>
    <w:rsid w:val="00E900B6"/>
    <w:rsid w:val="00E94AEA"/>
    <w:rsid w:val="00EA0A72"/>
    <w:rsid w:val="00EA2F7A"/>
    <w:rsid w:val="00EB6BE1"/>
    <w:rsid w:val="00ED314A"/>
    <w:rsid w:val="00ED78FB"/>
    <w:rsid w:val="00EE46B3"/>
    <w:rsid w:val="00EE6A21"/>
    <w:rsid w:val="00EF0F1E"/>
    <w:rsid w:val="00EF163C"/>
    <w:rsid w:val="00EF4CDB"/>
    <w:rsid w:val="00F03423"/>
    <w:rsid w:val="00F0544B"/>
    <w:rsid w:val="00F169A6"/>
    <w:rsid w:val="00F40DE9"/>
    <w:rsid w:val="00F61A51"/>
    <w:rsid w:val="00FC1AE4"/>
    <w:rsid w:val="00FC359C"/>
    <w:rsid w:val="00FC669E"/>
    <w:rsid w:val="00FD3427"/>
    <w:rsid w:val="00FE1AC6"/>
    <w:rsid w:val="00FE73C7"/>
    <w:rsid w:val="00FE77CB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98F45"/>
  <w15:docId w15:val="{70F4BD67-DB4A-4E2B-9E5E-03CD7028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49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E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2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FB4C7-A464-4AA8-AEA5-890CB87C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4B388-646C-4101-8D65-703385F0D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1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Dependency and Indemnity Compensation (DIC) Claims Appendix A</vt:lpstr>
    </vt:vector>
  </TitlesOfParts>
  <Company>Veterans Benefits Administration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Dependency and Indemnity Compensation (DIC) Claims Appendix A</dc:title>
  <dc:subject/>
  <dc:creator>Department of Veterans Affairs, Veterans Benefits Administration, Pension Service, STAFF</dc:creator>
  <cp:keywords/>
  <dc:description/>
  <cp:lastModifiedBy>Kathy Poole</cp:lastModifiedBy>
  <cp:revision>3</cp:revision>
  <dcterms:created xsi:type="dcterms:W3CDTF">2024-06-12T17:27:00Z</dcterms:created>
  <dcterms:modified xsi:type="dcterms:W3CDTF">2024-06-24T14:12:00Z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GrammarlyDocumentId">
    <vt:lpwstr>6b2309bbc2b0581277a44de74a76b6014fd751506f323019bd17c08f1fe7ed0b</vt:lpwstr>
  </property>
  <property fmtid="{D5CDD505-2E9C-101B-9397-08002B2CF9AE}" pid="6" name="MediaServiceImageTags">
    <vt:lpwstr/>
  </property>
</Properties>
</file>