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C43B6" w14:textId="77777777" w:rsidR="0000682A" w:rsidRPr="001432B7" w:rsidRDefault="0000682A" w:rsidP="00A46091">
      <w:pPr>
        <w:spacing w:before="1440" w:after="1080" w:line="276" w:lineRule="auto"/>
        <w:ind w:left="720" w:firstLine="720"/>
        <w:jc w:val="center"/>
        <w:rPr>
          <w:b/>
          <w:sz w:val="72"/>
          <w:szCs w:val="72"/>
        </w:rPr>
      </w:pPr>
      <w:bookmarkStart w:id="0" w:name="_Toc343007190"/>
      <w:bookmarkStart w:id="1" w:name="_GoBack"/>
      <w:bookmarkEnd w:id="1"/>
      <w:r w:rsidRPr="001432B7">
        <w:rPr>
          <w:b/>
          <w:sz w:val="72"/>
          <w:szCs w:val="72"/>
        </w:rPr>
        <w:t xml:space="preserve">VBA </w:t>
      </w:r>
      <w:r w:rsidR="00BD5476">
        <w:rPr>
          <w:b/>
          <w:sz w:val="72"/>
          <w:szCs w:val="72"/>
        </w:rPr>
        <w:t xml:space="preserve">Federal and Non-Federal </w:t>
      </w:r>
      <w:r>
        <w:rPr>
          <w:b/>
          <w:sz w:val="72"/>
          <w:szCs w:val="72"/>
        </w:rPr>
        <w:t xml:space="preserve">Advances </w:t>
      </w:r>
    </w:p>
    <w:p w14:paraId="545E6E43" w14:textId="77777777" w:rsidR="0000682A" w:rsidRDefault="0000682A" w:rsidP="0000682A">
      <w:pPr>
        <w:spacing w:after="200" w:line="276" w:lineRule="auto"/>
        <w:jc w:val="center"/>
        <w:rPr>
          <w:b/>
          <w:sz w:val="72"/>
          <w:szCs w:val="72"/>
        </w:rPr>
      </w:pPr>
      <w:r>
        <w:rPr>
          <w:b/>
          <w:sz w:val="72"/>
          <w:szCs w:val="72"/>
        </w:rPr>
        <w:t>Webinar</w:t>
      </w:r>
    </w:p>
    <w:p w14:paraId="45B8F5AD" w14:textId="77777777" w:rsidR="0000682A" w:rsidRDefault="0000682A" w:rsidP="0000682A">
      <w:pPr>
        <w:spacing w:after="200" w:line="276" w:lineRule="auto"/>
        <w:jc w:val="center"/>
        <w:rPr>
          <w:b/>
          <w:sz w:val="72"/>
          <w:szCs w:val="72"/>
        </w:rPr>
      </w:pPr>
      <w:r>
        <w:rPr>
          <w:b/>
          <w:sz w:val="72"/>
          <w:szCs w:val="72"/>
        </w:rPr>
        <w:t xml:space="preserve">Question &amp; Answer </w:t>
      </w:r>
    </w:p>
    <w:p w14:paraId="63B5D8EB" w14:textId="77777777" w:rsidR="0000682A" w:rsidRPr="001432B7" w:rsidRDefault="0000682A" w:rsidP="0000682A">
      <w:pPr>
        <w:spacing w:after="200" w:line="276" w:lineRule="auto"/>
        <w:jc w:val="center"/>
        <w:rPr>
          <w:b/>
          <w:sz w:val="72"/>
          <w:szCs w:val="72"/>
        </w:rPr>
      </w:pPr>
      <w:r>
        <w:rPr>
          <w:b/>
          <w:sz w:val="72"/>
          <w:szCs w:val="72"/>
        </w:rPr>
        <w:t>Resource Guide</w:t>
      </w:r>
    </w:p>
    <w:p w14:paraId="524F9EDD" w14:textId="77777777" w:rsidR="0000682A" w:rsidRDefault="001B6C86" w:rsidP="0000682A">
      <w:pPr>
        <w:spacing w:before="1440" w:after="840" w:line="276" w:lineRule="auto"/>
        <w:jc w:val="center"/>
        <w:rPr>
          <w:b/>
          <w:sz w:val="72"/>
          <w:szCs w:val="72"/>
        </w:rPr>
      </w:pPr>
      <w:r>
        <w:rPr>
          <w:b/>
          <w:sz w:val="72"/>
          <w:szCs w:val="72"/>
        </w:rPr>
        <w:t xml:space="preserve">April </w:t>
      </w:r>
      <w:r w:rsidR="006C3A77">
        <w:rPr>
          <w:b/>
          <w:sz w:val="72"/>
          <w:szCs w:val="72"/>
        </w:rPr>
        <w:t>25,</w:t>
      </w:r>
      <w:r w:rsidR="0000682A">
        <w:rPr>
          <w:b/>
          <w:sz w:val="72"/>
          <w:szCs w:val="72"/>
        </w:rPr>
        <w:t xml:space="preserve"> 201</w:t>
      </w:r>
      <w:r>
        <w:rPr>
          <w:b/>
          <w:sz w:val="72"/>
          <w:szCs w:val="72"/>
        </w:rPr>
        <w:t>9</w:t>
      </w:r>
    </w:p>
    <w:p w14:paraId="538E68EA" w14:textId="77777777" w:rsidR="00BD5476" w:rsidRDefault="00BD5476" w:rsidP="0000682A">
      <w:pPr>
        <w:rPr>
          <w:b/>
          <w:sz w:val="32"/>
          <w:szCs w:val="32"/>
        </w:rPr>
      </w:pPr>
    </w:p>
    <w:p w14:paraId="195BB0AD" w14:textId="77777777" w:rsidR="00BD5476" w:rsidRDefault="00BD5476" w:rsidP="0000682A">
      <w:pPr>
        <w:rPr>
          <w:b/>
          <w:sz w:val="32"/>
          <w:szCs w:val="32"/>
        </w:rPr>
      </w:pPr>
    </w:p>
    <w:p w14:paraId="6D95A440" w14:textId="77777777" w:rsidR="0000682A" w:rsidRPr="00296938" w:rsidRDefault="0000682A" w:rsidP="0000682A">
      <w:pPr>
        <w:rPr>
          <w:b/>
          <w:sz w:val="32"/>
          <w:szCs w:val="32"/>
        </w:rPr>
      </w:pPr>
      <w:r w:rsidRPr="00296938">
        <w:rPr>
          <w:b/>
          <w:sz w:val="32"/>
          <w:szCs w:val="32"/>
        </w:rPr>
        <w:lastRenderedPageBreak/>
        <w:t xml:space="preserve">Sponsored by: </w:t>
      </w:r>
    </w:p>
    <w:p w14:paraId="20CB2F6D" w14:textId="77777777" w:rsidR="0000682A" w:rsidRPr="00554514" w:rsidRDefault="0000682A" w:rsidP="0000682A">
      <w:pPr>
        <w:pStyle w:val="ListParagraph"/>
        <w:numPr>
          <w:ilvl w:val="0"/>
          <w:numId w:val="1"/>
        </w:numPr>
        <w:rPr>
          <w:sz w:val="24"/>
          <w:szCs w:val="24"/>
        </w:rPr>
      </w:pPr>
      <w:r w:rsidRPr="00554514">
        <w:rPr>
          <w:sz w:val="24"/>
          <w:szCs w:val="24"/>
        </w:rPr>
        <w:t>Veterans Benefits Administration (VBA)</w:t>
      </w:r>
    </w:p>
    <w:p w14:paraId="2DE72BF6" w14:textId="77777777" w:rsidR="0000682A" w:rsidRDefault="0000682A" w:rsidP="0000682A">
      <w:pPr>
        <w:pStyle w:val="ListParagraph"/>
        <w:numPr>
          <w:ilvl w:val="0"/>
          <w:numId w:val="1"/>
        </w:numPr>
        <w:rPr>
          <w:sz w:val="24"/>
          <w:szCs w:val="24"/>
        </w:rPr>
      </w:pPr>
      <w:r w:rsidRPr="00554514">
        <w:rPr>
          <w:sz w:val="24"/>
          <w:szCs w:val="24"/>
        </w:rPr>
        <w:t xml:space="preserve">Office of </w:t>
      </w:r>
      <w:r>
        <w:rPr>
          <w:sz w:val="24"/>
          <w:szCs w:val="24"/>
        </w:rPr>
        <w:t xml:space="preserve">Financial </w:t>
      </w:r>
      <w:r w:rsidRPr="00554514">
        <w:rPr>
          <w:sz w:val="24"/>
          <w:szCs w:val="24"/>
        </w:rPr>
        <w:t>Management (O</w:t>
      </w:r>
      <w:r>
        <w:rPr>
          <w:sz w:val="24"/>
          <w:szCs w:val="24"/>
        </w:rPr>
        <w:t>F</w:t>
      </w:r>
      <w:r w:rsidRPr="00554514">
        <w:rPr>
          <w:sz w:val="24"/>
          <w:szCs w:val="24"/>
        </w:rPr>
        <w:t>M)</w:t>
      </w:r>
    </w:p>
    <w:p w14:paraId="188E3B29" w14:textId="77777777" w:rsidR="0000682A" w:rsidRPr="00AF118C" w:rsidRDefault="0000682A" w:rsidP="0000682A">
      <w:pPr>
        <w:pStyle w:val="ListParagraph"/>
        <w:numPr>
          <w:ilvl w:val="0"/>
          <w:numId w:val="1"/>
        </w:numPr>
        <w:rPr>
          <w:sz w:val="24"/>
          <w:szCs w:val="24"/>
        </w:rPr>
      </w:pPr>
      <w:r>
        <w:rPr>
          <w:sz w:val="24"/>
          <w:szCs w:val="24"/>
        </w:rPr>
        <w:t>V</w:t>
      </w:r>
      <w:r w:rsidRPr="00AF118C">
        <w:rPr>
          <w:sz w:val="24"/>
          <w:szCs w:val="24"/>
        </w:rPr>
        <w:t>BA Administrative and Loan Accounting Center (ALAC)</w:t>
      </w:r>
    </w:p>
    <w:bookmarkEnd w:id="0"/>
    <w:p w14:paraId="23804F9D" w14:textId="77777777" w:rsidR="00850D80" w:rsidRDefault="00AF54FA"/>
    <w:p w14:paraId="0C7B0AF6" w14:textId="77777777" w:rsidR="0000682A" w:rsidRDefault="0000682A" w:rsidP="0000682A">
      <w:pPr>
        <w:spacing w:line="276" w:lineRule="auto"/>
      </w:pPr>
      <w:r>
        <w:t>This resource guide provides answers to questions asked during the VBA Advances webinar delivered by VBA Administrative Loan and Accounting Center (ALAC) on A</w:t>
      </w:r>
      <w:r w:rsidR="001B6C86">
        <w:t>pril</w:t>
      </w:r>
      <w:r>
        <w:t xml:space="preserve"> 2</w:t>
      </w:r>
      <w:r w:rsidR="001B6C86">
        <w:t>5</w:t>
      </w:r>
      <w:r>
        <w:t>, 201</w:t>
      </w:r>
      <w:r w:rsidR="001B6C86">
        <w:t>9</w:t>
      </w:r>
      <w:r>
        <w:t>.   The questions are listed in the order they were asked during the training.</w:t>
      </w:r>
    </w:p>
    <w:p w14:paraId="6760396F" w14:textId="77777777" w:rsidR="00557071" w:rsidRDefault="00557071" w:rsidP="0000682A">
      <w:pPr>
        <w:spacing w:line="276" w:lineRule="auto"/>
      </w:pPr>
    </w:p>
    <w:tbl>
      <w:tblPr>
        <w:tblStyle w:val="TableGrid"/>
        <w:tblW w:w="0" w:type="auto"/>
        <w:shd w:val="clear" w:color="auto" w:fill="DBE5F1" w:themeFill="accent1" w:themeFillTint="33"/>
        <w:tblLook w:val="04A0" w:firstRow="1" w:lastRow="0" w:firstColumn="1" w:lastColumn="0" w:noHBand="0" w:noVBand="1"/>
      </w:tblPr>
      <w:tblGrid>
        <w:gridCol w:w="3390"/>
        <w:gridCol w:w="5960"/>
      </w:tblGrid>
      <w:tr w:rsidR="0000682A" w:rsidRPr="009D3099" w14:paraId="4A2DDD22" w14:textId="77777777" w:rsidTr="00567B35">
        <w:trPr>
          <w:tblHeader/>
        </w:trPr>
        <w:tc>
          <w:tcPr>
            <w:tcW w:w="4284" w:type="dxa"/>
            <w:shd w:val="clear" w:color="auto" w:fill="DBE5F1" w:themeFill="accent1" w:themeFillTint="33"/>
          </w:tcPr>
          <w:p w14:paraId="71884EC2" w14:textId="77777777" w:rsidR="0000682A" w:rsidRDefault="001B6C86" w:rsidP="00567B35">
            <w:pPr>
              <w:pStyle w:val="TableText"/>
              <w:jc w:val="center"/>
              <w:rPr>
                <w:b/>
              </w:rPr>
            </w:pPr>
            <w:r>
              <w:rPr>
                <w:b/>
              </w:rPr>
              <w:t xml:space="preserve">Federal and Non-Federal </w:t>
            </w:r>
            <w:r w:rsidR="0000682A">
              <w:rPr>
                <w:b/>
              </w:rPr>
              <w:t>Advances</w:t>
            </w:r>
          </w:p>
          <w:p w14:paraId="154256D9" w14:textId="77777777" w:rsidR="0000682A" w:rsidRPr="009D3099" w:rsidRDefault="0000682A" w:rsidP="00567B35">
            <w:pPr>
              <w:pStyle w:val="TableText"/>
              <w:jc w:val="center"/>
              <w:rPr>
                <w:b/>
              </w:rPr>
            </w:pPr>
            <w:r>
              <w:rPr>
                <w:b/>
              </w:rPr>
              <w:t xml:space="preserve"> </w:t>
            </w:r>
            <w:r w:rsidRPr="009D3099">
              <w:rPr>
                <w:b/>
              </w:rPr>
              <w:t>Question</w:t>
            </w:r>
          </w:p>
        </w:tc>
        <w:tc>
          <w:tcPr>
            <w:tcW w:w="5066" w:type="dxa"/>
            <w:shd w:val="clear" w:color="auto" w:fill="DBE5F1" w:themeFill="accent1" w:themeFillTint="33"/>
          </w:tcPr>
          <w:p w14:paraId="2D0A8BBD" w14:textId="77777777" w:rsidR="0000682A" w:rsidRDefault="001B6C86" w:rsidP="00567B35">
            <w:pPr>
              <w:pStyle w:val="TableText"/>
              <w:jc w:val="center"/>
              <w:rPr>
                <w:b/>
              </w:rPr>
            </w:pPr>
            <w:r>
              <w:rPr>
                <w:b/>
              </w:rPr>
              <w:t xml:space="preserve">Federal and Non-Federal </w:t>
            </w:r>
            <w:r w:rsidR="0000682A">
              <w:rPr>
                <w:b/>
              </w:rPr>
              <w:t>Advances</w:t>
            </w:r>
          </w:p>
          <w:p w14:paraId="089FA163" w14:textId="77777777" w:rsidR="0000682A" w:rsidRDefault="0000682A" w:rsidP="00567B35">
            <w:pPr>
              <w:pStyle w:val="TableText"/>
              <w:jc w:val="center"/>
              <w:rPr>
                <w:b/>
              </w:rPr>
            </w:pPr>
            <w:r>
              <w:rPr>
                <w:b/>
              </w:rPr>
              <w:t xml:space="preserve"> Answer</w:t>
            </w:r>
          </w:p>
          <w:p w14:paraId="6EFF10A1" w14:textId="77777777" w:rsidR="0000682A" w:rsidRPr="009D3099" w:rsidRDefault="0000682A" w:rsidP="00567B35">
            <w:pPr>
              <w:pStyle w:val="TableText"/>
              <w:jc w:val="center"/>
              <w:rPr>
                <w:b/>
              </w:rPr>
            </w:pPr>
          </w:p>
        </w:tc>
      </w:tr>
      <w:tr w:rsidR="0000682A" w:rsidRPr="009D3099" w14:paraId="0CF33D07" w14:textId="77777777" w:rsidTr="00C42B9A">
        <w:trPr>
          <w:trHeight w:val="728"/>
        </w:trPr>
        <w:tc>
          <w:tcPr>
            <w:tcW w:w="4284" w:type="dxa"/>
            <w:shd w:val="clear" w:color="auto" w:fill="auto"/>
          </w:tcPr>
          <w:p w14:paraId="5C8949E0" w14:textId="77777777" w:rsidR="0000682A" w:rsidRPr="00D55467" w:rsidRDefault="00D74C1E" w:rsidP="00D55467">
            <w:pPr>
              <w:pStyle w:val="PlainText"/>
            </w:pPr>
            <w:r w:rsidRPr="00D55467">
              <w:t>Is minor construction considered a Federal Advance?</w:t>
            </w:r>
          </w:p>
        </w:tc>
        <w:tc>
          <w:tcPr>
            <w:tcW w:w="5066" w:type="dxa"/>
            <w:shd w:val="clear" w:color="auto" w:fill="auto"/>
          </w:tcPr>
          <w:p w14:paraId="19E3FF21" w14:textId="77777777" w:rsidR="00CF51C4" w:rsidRPr="00092F25" w:rsidRDefault="006B478A" w:rsidP="00C808CC">
            <w:pPr>
              <w:pStyle w:val="PlainText"/>
            </w:pPr>
            <w:r w:rsidRPr="00925CD0">
              <w:t xml:space="preserve">No, minor construction cannot be considered a Federal Advance. There are 2 types of payment methods </w:t>
            </w:r>
            <w:r w:rsidR="00C808CC" w:rsidRPr="00925CD0">
              <w:t>for minor construction</w:t>
            </w:r>
            <w:r w:rsidR="00C808CC" w:rsidRPr="00092F25">
              <w:t xml:space="preserve">, Federal and </w:t>
            </w:r>
            <w:r w:rsidR="008543E1" w:rsidRPr="00092F25">
              <w:t>N</w:t>
            </w:r>
            <w:r w:rsidR="00C808CC" w:rsidRPr="00092F25">
              <w:t xml:space="preserve">on-Federal. Federal construction payments are processed </w:t>
            </w:r>
            <w:r w:rsidR="007260A6" w:rsidRPr="00092F25">
              <w:t xml:space="preserve">in FASPAC with FSC processing an expenditure transfer transaction (ET) </w:t>
            </w:r>
            <w:r w:rsidR="008543E1" w:rsidRPr="00092F25">
              <w:t xml:space="preserve">to expense </w:t>
            </w:r>
            <w:r w:rsidR="007260A6" w:rsidRPr="00092F25">
              <w:t>the construction obligation</w:t>
            </w:r>
            <w:r w:rsidR="008543E1" w:rsidRPr="00092F25">
              <w:t xml:space="preserve"> in FMS.  N</w:t>
            </w:r>
            <w:r w:rsidR="00C808CC" w:rsidRPr="00092F25">
              <w:t>on- Federal</w:t>
            </w:r>
            <w:r w:rsidR="008543E1" w:rsidRPr="00092F25">
              <w:t xml:space="preserve"> payments</w:t>
            </w:r>
            <w:r w:rsidR="00C808CC" w:rsidRPr="00092F25">
              <w:t xml:space="preserve"> are processed </w:t>
            </w:r>
            <w:r w:rsidR="008543E1" w:rsidRPr="00092F25">
              <w:t xml:space="preserve">as certified </w:t>
            </w:r>
            <w:r w:rsidR="00773E4F" w:rsidRPr="00092F25">
              <w:t>payment transaction</w:t>
            </w:r>
            <w:r w:rsidR="008543E1" w:rsidRPr="00092F25">
              <w:t>s (</w:t>
            </w:r>
            <w:r w:rsidR="00C808CC" w:rsidRPr="00092F25">
              <w:t>CT</w:t>
            </w:r>
            <w:r w:rsidR="008543E1" w:rsidRPr="00092F25">
              <w:t>)</w:t>
            </w:r>
            <w:r w:rsidR="00C808CC" w:rsidRPr="00092F25">
              <w:t xml:space="preserve"> </w:t>
            </w:r>
            <w:r w:rsidR="00925CD0" w:rsidRPr="00092F25">
              <w:t xml:space="preserve">in CAATS expensing </w:t>
            </w:r>
            <w:r w:rsidR="008543E1" w:rsidRPr="00092F25">
              <w:t xml:space="preserve">the construction obligation </w:t>
            </w:r>
            <w:r w:rsidR="00C808CC" w:rsidRPr="00092F25">
              <w:t xml:space="preserve">in </w:t>
            </w:r>
            <w:r w:rsidR="00925CD0" w:rsidRPr="00092F25">
              <w:t>FMS</w:t>
            </w:r>
            <w:r w:rsidR="008543E1" w:rsidRPr="00092F25">
              <w:t xml:space="preserve">; the vendor submits </w:t>
            </w:r>
            <w:r w:rsidR="00C808CC" w:rsidRPr="00092F25">
              <w:t xml:space="preserve">invoices </w:t>
            </w:r>
            <w:r w:rsidR="008543E1" w:rsidRPr="00092F25">
              <w:t xml:space="preserve">directly </w:t>
            </w:r>
            <w:r w:rsidR="00C808CC" w:rsidRPr="00092F25">
              <w:t xml:space="preserve">to </w:t>
            </w:r>
            <w:r w:rsidR="008543E1" w:rsidRPr="00092F25">
              <w:t>the Regional Office (RO) for uploading to CAATS</w:t>
            </w:r>
            <w:r w:rsidR="00C808CC" w:rsidRPr="00092F25">
              <w:t>.</w:t>
            </w:r>
          </w:p>
          <w:p w14:paraId="5ABF45EA" w14:textId="77777777" w:rsidR="00CF51C4" w:rsidRPr="00CF51C4" w:rsidRDefault="00CF51C4" w:rsidP="004D4201">
            <w:pPr>
              <w:pStyle w:val="PlainText"/>
              <w:rPr>
                <w:highlight w:val="yellow"/>
              </w:rPr>
            </w:pPr>
          </w:p>
          <w:p w14:paraId="76EA134C" w14:textId="77777777" w:rsidR="0000682A" w:rsidRPr="00CF51C4" w:rsidRDefault="00C808CC" w:rsidP="004D4201">
            <w:pPr>
              <w:pStyle w:val="PlainText"/>
              <w:rPr>
                <w:rFonts w:cs="Segoe UI"/>
                <w:color w:val="000000"/>
                <w:highlight w:val="yellow"/>
              </w:rPr>
            </w:pPr>
            <w:r w:rsidRPr="00925CD0">
              <w:t xml:space="preserve">As an example, </w:t>
            </w:r>
            <w:r w:rsidR="004D4201" w:rsidRPr="00925CD0">
              <w:t xml:space="preserve">Nashville </w:t>
            </w:r>
            <w:r w:rsidR="00C3417F" w:rsidRPr="00925CD0">
              <w:t xml:space="preserve">Regional Office (RO) </w:t>
            </w:r>
            <w:r w:rsidR="004D4201" w:rsidRPr="00925CD0">
              <w:t xml:space="preserve">leases their building from GSA, and GSA exclusively manages all construction projects at all </w:t>
            </w:r>
            <w:r w:rsidR="00C3417F" w:rsidRPr="00925CD0">
              <w:t>RO</w:t>
            </w:r>
            <w:r w:rsidR="004D4201" w:rsidRPr="00925CD0">
              <w:t xml:space="preserve"> GSA leased buildings.  A signed GSA Reimbursable Work Authorization (RWA) 2957 between VBA and GSA for construction services should include the construction obligation for GSA IPAC billing purposes.  When </w:t>
            </w:r>
            <w:r w:rsidR="00CF23BF" w:rsidRPr="00925CD0">
              <w:t xml:space="preserve">the </w:t>
            </w:r>
            <w:r w:rsidR="004D4201" w:rsidRPr="00925CD0">
              <w:t>construction obligation is not referenced; an incorrect construction obligation is referenced; or there is insufficient funding on the construction obligation,</w:t>
            </w:r>
            <w:r w:rsidR="007E45F1" w:rsidRPr="00925CD0">
              <w:t xml:space="preserve"> a federal</w:t>
            </w:r>
            <w:r w:rsidR="00232FB7" w:rsidRPr="00925CD0">
              <w:t>,</w:t>
            </w:r>
            <w:r w:rsidR="00E55B56" w:rsidRPr="00925CD0">
              <w:t xml:space="preserve"> construction </w:t>
            </w:r>
            <w:r w:rsidR="004D4201" w:rsidRPr="00925CD0">
              <w:t>ET</w:t>
            </w:r>
            <w:r w:rsidR="003B0490" w:rsidRPr="00925CD0">
              <w:t xml:space="preserve"> advance</w:t>
            </w:r>
            <w:r w:rsidR="004D4201" w:rsidRPr="00925CD0">
              <w:t xml:space="preserve"> transaction is created by FSC displayed on the RSD F859 Report.  The RO station is responsible for obligating or increasing the construction obligation </w:t>
            </w:r>
            <w:r w:rsidR="003B0490" w:rsidRPr="00925CD0">
              <w:t xml:space="preserve">and for submitting a signed MTF to the ALAC accountant for offset of the </w:t>
            </w:r>
            <w:r w:rsidR="00E55B56" w:rsidRPr="00925CD0">
              <w:t xml:space="preserve">construction </w:t>
            </w:r>
            <w:r w:rsidR="003B0490" w:rsidRPr="00925CD0">
              <w:t>ET Advance transaction in FMS.</w:t>
            </w:r>
          </w:p>
        </w:tc>
      </w:tr>
      <w:tr w:rsidR="0000682A" w:rsidRPr="009D3099" w14:paraId="223CF63F" w14:textId="77777777" w:rsidTr="00B173F1">
        <w:trPr>
          <w:trHeight w:val="827"/>
        </w:trPr>
        <w:tc>
          <w:tcPr>
            <w:tcW w:w="4284" w:type="dxa"/>
            <w:shd w:val="clear" w:color="auto" w:fill="auto"/>
          </w:tcPr>
          <w:p w14:paraId="6A78F71A" w14:textId="77777777" w:rsidR="0000682A" w:rsidRPr="00D55467" w:rsidRDefault="00154A95" w:rsidP="00D55467">
            <w:pPr>
              <w:spacing w:after="200"/>
              <w:rPr>
                <w:rFonts w:ascii="Calibri" w:eastAsiaTheme="minorHAnsi" w:hAnsi="Calibri" w:cstheme="minorBidi"/>
                <w:sz w:val="22"/>
                <w:szCs w:val="21"/>
              </w:rPr>
            </w:pPr>
            <w:r w:rsidRPr="00D55467">
              <w:rPr>
                <w:rFonts w:ascii="Calibri" w:eastAsiaTheme="minorHAnsi" w:hAnsi="Calibri" w:cstheme="minorBidi"/>
                <w:sz w:val="22"/>
                <w:szCs w:val="21"/>
              </w:rPr>
              <w:t>It is my understanding that GSA vehicle bills are not processed through CAATS anymore. We are supposed to do a</w:t>
            </w:r>
            <w:r w:rsidR="003B6D7F" w:rsidRPr="00D55467">
              <w:rPr>
                <w:rFonts w:ascii="Calibri" w:eastAsiaTheme="minorHAnsi" w:hAnsi="Calibri" w:cstheme="minorBidi"/>
                <w:sz w:val="22"/>
                <w:szCs w:val="21"/>
              </w:rPr>
              <w:t>=</w:t>
            </w:r>
            <w:r w:rsidRPr="00D55467">
              <w:rPr>
                <w:rFonts w:ascii="Calibri" w:eastAsiaTheme="minorHAnsi" w:hAnsi="Calibri" w:cstheme="minorBidi"/>
                <w:sz w:val="22"/>
                <w:szCs w:val="21"/>
              </w:rPr>
              <w:t xml:space="preserve"> MISC TRANS FORM in order to clear them. What information is required on this form and where do we find that specific information? Is there an </w:t>
            </w:r>
            <w:r w:rsidRPr="00D55467">
              <w:rPr>
                <w:rFonts w:ascii="Calibri" w:eastAsiaTheme="minorHAnsi" w:hAnsi="Calibri" w:cstheme="minorBidi"/>
                <w:sz w:val="22"/>
                <w:szCs w:val="21"/>
              </w:rPr>
              <w:lastRenderedPageBreak/>
              <w:t>example that can be sent for reference?</w:t>
            </w:r>
          </w:p>
        </w:tc>
        <w:tc>
          <w:tcPr>
            <w:tcW w:w="5066" w:type="dxa"/>
            <w:shd w:val="clear" w:color="auto" w:fill="auto"/>
          </w:tcPr>
          <w:p w14:paraId="3DAC9E2D" w14:textId="77777777" w:rsidR="0000682A" w:rsidRPr="00BA0FBF" w:rsidRDefault="00C542E8" w:rsidP="00B173F1">
            <w:pPr>
              <w:pStyle w:val="PlainText"/>
              <w:rPr>
                <w:rFonts w:cs="Segoe UI"/>
                <w:color w:val="000000"/>
                <w:sz w:val="20"/>
                <w:szCs w:val="20"/>
              </w:rPr>
            </w:pPr>
            <w:r>
              <w:lastRenderedPageBreak/>
              <w:t xml:space="preserve">At the beginning of BFY2019, ALAC provided Financial Services Center (FSC) with a listing of all </w:t>
            </w:r>
            <w:r w:rsidR="00C3417F">
              <w:t>RO</w:t>
            </w:r>
            <w:r>
              <w:t xml:space="preserve"> GSA Motorpool 1358 obligations for monthly billing offsets.  GSA Motorpool IPAC billings do not include the 1358 obligation, and therefore, FSC agreed to process the advance offsets</w:t>
            </w:r>
            <w:r w:rsidR="00B173F1">
              <w:t xml:space="preserve"> for </w:t>
            </w:r>
            <w:r w:rsidR="00C3417F">
              <w:t>all RO</w:t>
            </w:r>
            <w:r w:rsidR="00B173F1">
              <w:t xml:space="preserve"> stations</w:t>
            </w:r>
            <w:r>
              <w:t xml:space="preserve">.  If GSA Motorpool ET Advances are on your station's RSD F859 Report, please notify </w:t>
            </w:r>
            <w:r w:rsidR="00E03C28">
              <w:t>the</w:t>
            </w:r>
            <w:r>
              <w:t xml:space="preserve"> ALAC accountant with your station's BFY2019 1358 obligation for FSC to process future offsets.</w:t>
            </w:r>
            <w:r w:rsidR="00B173F1">
              <w:t xml:space="preserve">  </w:t>
            </w:r>
            <w:r>
              <w:t xml:space="preserve">A signed </w:t>
            </w:r>
            <w:r>
              <w:lastRenderedPageBreak/>
              <w:t>Miscellaneous Tran</w:t>
            </w:r>
            <w:r w:rsidR="00B173F1">
              <w:t>s</w:t>
            </w:r>
            <w:r>
              <w:t>fer Form (MTF) is required to offset GSA Motorpool ET Advance transactions; CAATS does not have all the required fields necessary to reconcile ET Advance transactions from the F859.</w:t>
            </w:r>
            <w:r w:rsidR="00E03C28">
              <w:t xml:space="preserve">  The</w:t>
            </w:r>
            <w:r>
              <w:t xml:space="preserve"> ALAC accountant can assist with providing required accounting information, as well as a</w:t>
            </w:r>
            <w:r w:rsidR="00B173F1">
              <w:t>n</w:t>
            </w:r>
            <w:r>
              <w:t xml:space="preserve"> MTF example, for appropriate offset of GSA Motorpool Advance transactions.</w:t>
            </w:r>
          </w:p>
        </w:tc>
      </w:tr>
      <w:tr w:rsidR="0000682A" w:rsidRPr="009D3099" w14:paraId="0BEA7D0C" w14:textId="77777777" w:rsidTr="00567B35">
        <w:tc>
          <w:tcPr>
            <w:tcW w:w="4284" w:type="dxa"/>
            <w:shd w:val="clear" w:color="auto" w:fill="auto"/>
          </w:tcPr>
          <w:p w14:paraId="17BF96D2" w14:textId="77777777" w:rsidR="0000682A" w:rsidRPr="00BA0FBF" w:rsidRDefault="00154A95" w:rsidP="00567B35">
            <w:pPr>
              <w:spacing w:before="40" w:after="40"/>
            </w:pPr>
            <w:r w:rsidRPr="0013024E">
              <w:rPr>
                <w:rFonts w:ascii="Calibri" w:eastAsiaTheme="minorHAnsi" w:hAnsi="Calibri" w:cstheme="minorBidi"/>
                <w:sz w:val="22"/>
                <w:szCs w:val="21"/>
              </w:rPr>
              <w:lastRenderedPageBreak/>
              <w:t>Is there a future mechanism to clear out our own advances through CAATS (or the new system)?</w:t>
            </w:r>
          </w:p>
        </w:tc>
        <w:tc>
          <w:tcPr>
            <w:tcW w:w="5066" w:type="dxa"/>
            <w:shd w:val="clear" w:color="auto" w:fill="auto"/>
          </w:tcPr>
          <w:p w14:paraId="2C09B827" w14:textId="77777777" w:rsidR="0000682A" w:rsidRPr="00232FB7" w:rsidRDefault="00B173F1" w:rsidP="00B173F1">
            <w:pPr>
              <w:pStyle w:val="PlainText"/>
            </w:pPr>
            <w:r>
              <w:t xml:space="preserve">The CAATS System is no longer managed by ALAC.  There is no earmarked IT funding to enhance CAATS, and the system is only being maintained for current functioning.  Only outstanding CB and DV Advances on the RSD F855 Report can be offset in CAATS.  All other types of </w:t>
            </w:r>
            <w:r w:rsidR="00232FB7" w:rsidRPr="00232FB7">
              <w:t>federal and non-federal</w:t>
            </w:r>
            <w:r w:rsidR="00232FB7">
              <w:t xml:space="preserve"> </w:t>
            </w:r>
            <w:r>
              <w:t xml:space="preserve">advances; ET, Travel, etc. must be submitted </w:t>
            </w:r>
            <w:r w:rsidR="00087C46">
              <w:t>with</w:t>
            </w:r>
            <w:r>
              <w:t xml:space="preserve"> a signed MTF to </w:t>
            </w:r>
            <w:r w:rsidR="00B24DB6">
              <w:t xml:space="preserve">the </w:t>
            </w:r>
            <w:r>
              <w:t>ALAC accountant for offset</w:t>
            </w:r>
            <w:r w:rsidR="00087C46">
              <w:t xml:space="preserve"> in FMS</w:t>
            </w:r>
            <w:r>
              <w:t>.</w:t>
            </w:r>
          </w:p>
        </w:tc>
      </w:tr>
      <w:tr w:rsidR="0000682A" w:rsidRPr="009D3099" w14:paraId="0517FA0C" w14:textId="77777777" w:rsidTr="0000682A">
        <w:tblPrEx>
          <w:shd w:val="clear" w:color="auto" w:fill="auto"/>
        </w:tblPrEx>
        <w:tc>
          <w:tcPr>
            <w:tcW w:w="4284" w:type="dxa"/>
          </w:tcPr>
          <w:p w14:paraId="3DCBF6C6" w14:textId="77777777" w:rsidR="0000682A" w:rsidRPr="00D55467" w:rsidRDefault="00887F73" w:rsidP="00C808CC">
            <w:pPr>
              <w:rPr>
                <w:rFonts w:ascii="Calibri" w:eastAsiaTheme="minorHAnsi" w:hAnsi="Calibri" w:cstheme="minorBidi"/>
                <w:sz w:val="22"/>
                <w:szCs w:val="21"/>
              </w:rPr>
            </w:pPr>
            <w:r w:rsidRPr="00D55467">
              <w:rPr>
                <w:rFonts w:ascii="Calibri" w:eastAsiaTheme="minorHAnsi" w:hAnsi="Calibri" w:cstheme="minorBidi"/>
                <w:sz w:val="22"/>
                <w:szCs w:val="21"/>
              </w:rPr>
              <w:t>I</w:t>
            </w:r>
            <w:r w:rsidR="00C808CC" w:rsidRPr="00D55467">
              <w:rPr>
                <w:rFonts w:ascii="Calibri" w:eastAsiaTheme="minorHAnsi" w:hAnsi="Calibri" w:cstheme="minorBidi"/>
                <w:sz w:val="22"/>
                <w:szCs w:val="21"/>
              </w:rPr>
              <w:t>s there a set policy for collecting a travel debt from an employee? When collected, do we need to put the funds in suspense then process an MTF to offset?</w:t>
            </w:r>
          </w:p>
          <w:p w14:paraId="54C6D35C" w14:textId="77777777" w:rsidR="00196394" w:rsidRPr="00D55467" w:rsidRDefault="00196394" w:rsidP="00567B35">
            <w:pPr>
              <w:rPr>
                <w:rFonts w:ascii="Calibri" w:eastAsiaTheme="minorHAnsi" w:hAnsi="Calibri" w:cstheme="minorBidi"/>
                <w:b/>
                <w:bCs/>
                <w:sz w:val="22"/>
                <w:szCs w:val="21"/>
              </w:rPr>
            </w:pPr>
          </w:p>
          <w:p w14:paraId="6AA74A8F" w14:textId="77777777" w:rsidR="00196394" w:rsidRPr="00C42B9A" w:rsidRDefault="00196394" w:rsidP="00567B35">
            <w:pPr>
              <w:rPr>
                <w:rStyle w:val="imsender1"/>
                <w:rFonts w:asciiTheme="minorHAnsi" w:hAnsiTheme="minorHAnsi"/>
                <w:b w:val="0"/>
                <w:sz w:val="24"/>
                <w:szCs w:val="24"/>
              </w:rPr>
            </w:pPr>
          </w:p>
        </w:tc>
        <w:tc>
          <w:tcPr>
            <w:tcW w:w="5066" w:type="dxa"/>
          </w:tcPr>
          <w:p w14:paraId="2EE43D7F" w14:textId="77777777" w:rsidR="0000682A" w:rsidRPr="003D0535" w:rsidRDefault="00887F73" w:rsidP="00B173F1">
            <w:pPr>
              <w:pStyle w:val="PlainText"/>
              <w:rPr>
                <w:rFonts w:cs="Segoe UI"/>
                <w:color w:val="000000"/>
              </w:rPr>
            </w:pPr>
            <w:r>
              <w:t xml:space="preserve">According to </w:t>
            </w:r>
            <w:hyperlink r:id="rId8" w:history="1">
              <w:r w:rsidRPr="00887F73">
                <w:rPr>
                  <w:rStyle w:val="Hyperlink"/>
                </w:rPr>
                <w:t>VA Policy Volume XII Ch 4 Employee Debts,</w:t>
              </w:r>
            </w:hyperlink>
            <w:r>
              <w:t xml:space="preserve"> employee debts are due immediately. </w:t>
            </w:r>
            <w:r w:rsidR="00B173F1">
              <w:t xml:space="preserve">When an employee is overpaid with a travel advance, a Bill of Collection needs to be processed in CAATS for the overpayment and provided to the employee for collection.  </w:t>
            </w:r>
            <w:r w:rsidR="00232FB7" w:rsidRPr="00232FB7">
              <w:t>This action generates a BD transaction in FMS.</w:t>
            </w:r>
            <w:r w:rsidR="00232FB7">
              <w:t xml:space="preserve">  </w:t>
            </w:r>
            <w:r w:rsidR="00B173F1">
              <w:t>The employee</w:t>
            </w:r>
            <w:r w:rsidR="00286468">
              <w:t xml:space="preserve"> </w:t>
            </w:r>
            <w:r w:rsidR="00B173F1">
              <w:t>reimburse</w:t>
            </w:r>
            <w:r w:rsidR="00286468">
              <w:t>s</w:t>
            </w:r>
            <w:r w:rsidR="00B173F1">
              <w:t xml:space="preserve"> the VA with a check payable to the Agent Cashier, processed in Suspense Fund 3875.  The station liaison submi</w:t>
            </w:r>
            <w:r w:rsidR="00286468">
              <w:t>ts</w:t>
            </w:r>
            <w:r w:rsidR="00B173F1">
              <w:t xml:space="preserve"> </w:t>
            </w:r>
            <w:r w:rsidR="00B173F1" w:rsidRPr="00232FB7">
              <w:t>a</w:t>
            </w:r>
            <w:r w:rsidR="00A46091" w:rsidRPr="00232FB7">
              <w:t xml:space="preserve"> signed</w:t>
            </w:r>
            <w:r w:rsidR="00B173F1">
              <w:t xml:space="preserve"> MTF to the ALAC accountant with reference to the outstanding travel advance and the funds in Suspense Fund 3875 for the offset</w:t>
            </w:r>
            <w:r w:rsidR="00087C46">
              <w:t xml:space="preserve"> in FMS</w:t>
            </w:r>
            <w:r w:rsidR="00B173F1">
              <w:t>.  When the travel advance offset is complete, the Bill of Collection created in CAATS needs to be cancelled, as it's not possible for the BD transaction in FMS to be referenced for the offset.</w:t>
            </w:r>
          </w:p>
        </w:tc>
      </w:tr>
      <w:tr w:rsidR="0000682A" w:rsidRPr="009D3099" w14:paraId="12E7F4A9" w14:textId="77777777" w:rsidTr="0000682A">
        <w:tblPrEx>
          <w:shd w:val="clear" w:color="auto" w:fill="auto"/>
        </w:tblPrEx>
        <w:tc>
          <w:tcPr>
            <w:tcW w:w="4284" w:type="dxa"/>
          </w:tcPr>
          <w:p w14:paraId="03E047B9" w14:textId="77777777" w:rsidR="0000682A" w:rsidRPr="00BA0FBF" w:rsidRDefault="00016CBB" w:rsidP="00567B35">
            <w:r w:rsidRPr="00D55467">
              <w:rPr>
                <w:rFonts w:ascii="Calibri" w:eastAsiaTheme="minorHAnsi" w:hAnsi="Calibri" w:cstheme="minorBidi"/>
                <w:sz w:val="22"/>
                <w:szCs w:val="21"/>
              </w:rPr>
              <w:t xml:space="preserve">When </w:t>
            </w:r>
            <w:r w:rsidR="00653745" w:rsidRPr="00D55467">
              <w:rPr>
                <w:rFonts w:ascii="Calibri" w:eastAsiaTheme="minorHAnsi" w:hAnsi="Calibri" w:cstheme="minorBidi"/>
                <w:sz w:val="22"/>
                <w:szCs w:val="21"/>
              </w:rPr>
              <w:t xml:space="preserve">are </w:t>
            </w:r>
            <w:r w:rsidRPr="00D55467">
              <w:rPr>
                <w:rFonts w:ascii="Calibri" w:eastAsiaTheme="minorHAnsi" w:hAnsi="Calibri" w:cstheme="minorBidi"/>
                <w:sz w:val="22"/>
                <w:szCs w:val="21"/>
              </w:rPr>
              <w:t xml:space="preserve">Travel advances </w:t>
            </w:r>
            <w:r w:rsidR="00653745" w:rsidRPr="00D55467">
              <w:rPr>
                <w:rFonts w:ascii="Calibri" w:eastAsiaTheme="minorHAnsi" w:hAnsi="Calibri" w:cstheme="minorBidi"/>
                <w:sz w:val="22"/>
                <w:szCs w:val="21"/>
              </w:rPr>
              <w:t>cleared by</w:t>
            </w:r>
            <w:r w:rsidRPr="00D55467">
              <w:rPr>
                <w:rFonts w:ascii="Calibri" w:eastAsiaTheme="minorHAnsi" w:hAnsi="Calibri" w:cstheme="minorBidi"/>
                <w:sz w:val="22"/>
                <w:szCs w:val="21"/>
              </w:rPr>
              <w:t xml:space="preserve"> MTF?</w:t>
            </w:r>
          </w:p>
        </w:tc>
        <w:tc>
          <w:tcPr>
            <w:tcW w:w="5066" w:type="dxa"/>
          </w:tcPr>
          <w:p w14:paraId="4E2C41DF" w14:textId="77777777" w:rsidR="0000682A" w:rsidRPr="00BA0FBF" w:rsidRDefault="00B173F1" w:rsidP="00B173F1">
            <w:pPr>
              <w:pStyle w:val="PlainText"/>
            </w:pPr>
            <w:r>
              <w:t>When funds are collected from an employee for a travel advance overpayment and placed in Suspense Fund 3875, the station submit</w:t>
            </w:r>
            <w:r w:rsidR="00E03C28">
              <w:t>s</w:t>
            </w:r>
            <w:r>
              <w:t xml:space="preserve"> </w:t>
            </w:r>
            <w:r w:rsidR="00A46091" w:rsidRPr="00232FB7">
              <w:t>a signed</w:t>
            </w:r>
            <w:r>
              <w:t xml:space="preserve"> MTF to the ALAC accountant </w:t>
            </w:r>
            <w:r w:rsidR="00E03C28">
              <w:t xml:space="preserve">for </w:t>
            </w:r>
            <w:r>
              <w:t>offset</w:t>
            </w:r>
            <w:r w:rsidR="00E03C28">
              <w:t xml:space="preserve"> of</w:t>
            </w:r>
            <w:r>
              <w:t xml:space="preserve"> the outstanding travel advance with the collected funds</w:t>
            </w:r>
            <w:r w:rsidR="00087C46">
              <w:t xml:space="preserve"> in FMS</w:t>
            </w:r>
            <w:r>
              <w:t>.</w:t>
            </w:r>
            <w:r w:rsidR="00FC7F7F">
              <w:t xml:space="preserve"> However, the traveler would need to repay all overpayments immediately.</w:t>
            </w:r>
          </w:p>
        </w:tc>
      </w:tr>
      <w:tr w:rsidR="0000682A" w:rsidRPr="009D3099" w14:paraId="77A797C0" w14:textId="77777777" w:rsidTr="00B173F1">
        <w:tblPrEx>
          <w:shd w:val="clear" w:color="auto" w:fill="auto"/>
        </w:tblPrEx>
        <w:trPr>
          <w:trHeight w:val="1358"/>
        </w:trPr>
        <w:tc>
          <w:tcPr>
            <w:tcW w:w="4284" w:type="dxa"/>
          </w:tcPr>
          <w:p w14:paraId="67A1B967" w14:textId="77777777" w:rsidR="0000682A" w:rsidRPr="00BA0FBF" w:rsidRDefault="00016CBB" w:rsidP="00567B35">
            <w:r w:rsidRPr="00D55467">
              <w:rPr>
                <w:rFonts w:ascii="Calibri" w:eastAsiaTheme="minorHAnsi" w:hAnsi="Calibri" w:cstheme="minorBidi"/>
                <w:sz w:val="22"/>
                <w:szCs w:val="21"/>
              </w:rPr>
              <w:t>If we have access to FMS doesn’t that generally mean we have access to the web based RSD reports? Does FMS have the same login as RSD?</w:t>
            </w:r>
          </w:p>
        </w:tc>
        <w:tc>
          <w:tcPr>
            <w:tcW w:w="5066" w:type="dxa"/>
          </w:tcPr>
          <w:p w14:paraId="4252A598" w14:textId="77777777" w:rsidR="0000682A" w:rsidRPr="00BA0FBF" w:rsidRDefault="00B173F1" w:rsidP="00567B35">
            <w:r w:rsidRPr="00B173F1">
              <w:rPr>
                <w:rFonts w:ascii="Calibri" w:eastAsiaTheme="minorHAnsi" w:hAnsi="Calibri" w:cstheme="minorBidi"/>
                <w:sz w:val="22"/>
                <w:szCs w:val="21"/>
              </w:rPr>
              <w:t xml:space="preserve">Although the same User ID and Password are used to </w:t>
            </w:r>
            <w:r w:rsidR="00E03C28">
              <w:rPr>
                <w:rFonts w:ascii="Calibri" w:eastAsiaTheme="minorHAnsi" w:hAnsi="Calibri" w:cstheme="minorBidi"/>
                <w:sz w:val="22"/>
                <w:szCs w:val="21"/>
              </w:rPr>
              <w:t xml:space="preserve">access </w:t>
            </w:r>
            <w:r w:rsidRPr="00B173F1">
              <w:rPr>
                <w:rFonts w:ascii="Calibri" w:eastAsiaTheme="minorHAnsi" w:hAnsi="Calibri" w:cstheme="minorBidi"/>
                <w:sz w:val="22"/>
                <w:szCs w:val="21"/>
              </w:rPr>
              <w:t>both Financial Management System (FMS) and Roger Software Development (RSD), a separate entr</w:t>
            </w:r>
            <w:r>
              <w:rPr>
                <w:rFonts w:ascii="Calibri" w:eastAsiaTheme="minorHAnsi" w:hAnsi="Calibri" w:cstheme="minorBidi"/>
                <w:sz w:val="22"/>
                <w:szCs w:val="21"/>
              </w:rPr>
              <w:t>y</w:t>
            </w:r>
            <w:r w:rsidRPr="00B173F1">
              <w:rPr>
                <w:rFonts w:ascii="Calibri" w:eastAsiaTheme="minorHAnsi" w:hAnsi="Calibri" w:cstheme="minorBidi"/>
                <w:sz w:val="22"/>
                <w:szCs w:val="21"/>
              </w:rPr>
              <w:t xml:space="preserve"> </w:t>
            </w:r>
            <w:r w:rsidR="00C3417F">
              <w:rPr>
                <w:rFonts w:ascii="Calibri" w:eastAsiaTheme="minorHAnsi" w:hAnsi="Calibri" w:cstheme="minorBidi"/>
                <w:sz w:val="22"/>
                <w:szCs w:val="21"/>
              </w:rPr>
              <w:t xml:space="preserve">to obtain access to each </w:t>
            </w:r>
            <w:r w:rsidRPr="00B173F1">
              <w:rPr>
                <w:rFonts w:ascii="Calibri" w:eastAsiaTheme="minorHAnsi" w:hAnsi="Calibri" w:cstheme="minorBidi"/>
                <w:sz w:val="22"/>
                <w:szCs w:val="21"/>
              </w:rPr>
              <w:t>on</w:t>
            </w:r>
            <w:r w:rsidR="00C3417F">
              <w:rPr>
                <w:rFonts w:ascii="Calibri" w:eastAsiaTheme="minorHAnsi" w:hAnsi="Calibri" w:cstheme="minorBidi"/>
                <w:sz w:val="22"/>
                <w:szCs w:val="21"/>
              </w:rPr>
              <w:t xml:space="preserve"> a</w:t>
            </w:r>
            <w:r w:rsidRPr="00B173F1">
              <w:rPr>
                <w:rFonts w:ascii="Calibri" w:eastAsiaTheme="minorHAnsi" w:hAnsi="Calibri" w:cstheme="minorBidi"/>
                <w:sz w:val="22"/>
                <w:szCs w:val="21"/>
              </w:rPr>
              <w:t xml:space="preserve"> signed VA Form 9957</w:t>
            </w:r>
            <w:r w:rsidR="00286468">
              <w:rPr>
                <w:rFonts w:ascii="Calibri" w:eastAsiaTheme="minorHAnsi" w:hAnsi="Calibri" w:cstheme="minorBidi"/>
                <w:sz w:val="22"/>
                <w:szCs w:val="21"/>
              </w:rPr>
              <w:t xml:space="preserve"> </w:t>
            </w:r>
            <w:r w:rsidRPr="00B173F1">
              <w:rPr>
                <w:rFonts w:ascii="Calibri" w:eastAsiaTheme="minorHAnsi" w:hAnsi="Calibri" w:cstheme="minorBidi"/>
                <w:sz w:val="22"/>
                <w:szCs w:val="21"/>
              </w:rPr>
              <w:t>is required</w:t>
            </w:r>
            <w:r w:rsidR="00286468">
              <w:rPr>
                <w:rFonts w:ascii="Calibri" w:eastAsiaTheme="minorHAnsi" w:hAnsi="Calibri" w:cstheme="minorBidi"/>
                <w:sz w:val="22"/>
                <w:szCs w:val="21"/>
              </w:rPr>
              <w:t>.</w:t>
            </w:r>
          </w:p>
        </w:tc>
      </w:tr>
      <w:tr w:rsidR="0000682A" w:rsidRPr="009D3099" w14:paraId="27995D1F" w14:textId="77777777" w:rsidTr="0000682A">
        <w:tblPrEx>
          <w:shd w:val="clear" w:color="auto" w:fill="auto"/>
        </w:tblPrEx>
        <w:tc>
          <w:tcPr>
            <w:tcW w:w="4284" w:type="dxa"/>
          </w:tcPr>
          <w:p w14:paraId="7375914A" w14:textId="77777777" w:rsidR="0000682A" w:rsidRPr="00C42B9A" w:rsidRDefault="00C42B9A" w:rsidP="00567B35">
            <w:r w:rsidRPr="00D55467">
              <w:rPr>
                <w:rFonts w:ascii="Calibri" w:eastAsiaTheme="minorHAnsi" w:hAnsi="Calibri" w:cstheme="minorBidi"/>
                <w:sz w:val="22"/>
                <w:szCs w:val="21"/>
              </w:rPr>
              <w:t>What do the codes CB and DV stand for?</w:t>
            </w:r>
          </w:p>
        </w:tc>
        <w:tc>
          <w:tcPr>
            <w:tcW w:w="5066" w:type="dxa"/>
          </w:tcPr>
          <w:p w14:paraId="0053BD7F" w14:textId="77777777" w:rsidR="0000682A" w:rsidRPr="00BA0FBF" w:rsidRDefault="00B173F1" w:rsidP="00B173F1">
            <w:pPr>
              <w:pStyle w:val="PlainText"/>
            </w:pPr>
            <w:r>
              <w:t xml:space="preserve">CB is the Transaction Type assigned to </w:t>
            </w:r>
            <w:r w:rsidR="00915832">
              <w:t xml:space="preserve">US Bank </w:t>
            </w:r>
            <w:r>
              <w:t>Convenience Check</w:t>
            </w:r>
            <w:r w:rsidR="00915832">
              <w:t>s</w:t>
            </w:r>
            <w:r>
              <w:t xml:space="preserve"> transactions, and DV is the Transaction Type assigned to Direct Disbursement Advance transactions in FMS.  They are both advance type transactions</w:t>
            </w:r>
            <w:r w:rsidR="00232FB7">
              <w:t xml:space="preserve"> </w:t>
            </w:r>
            <w:r w:rsidR="00B67D2C">
              <w:t xml:space="preserve">displayed </w:t>
            </w:r>
            <w:r w:rsidR="00A46091" w:rsidRPr="00232FB7">
              <w:t>on the</w:t>
            </w:r>
            <w:r w:rsidR="00A46091">
              <w:t xml:space="preserve"> </w:t>
            </w:r>
            <w:r>
              <w:t>RSD F855 Report.</w:t>
            </w:r>
          </w:p>
        </w:tc>
      </w:tr>
      <w:tr w:rsidR="0000682A" w:rsidRPr="009D3099" w14:paraId="74866D8E" w14:textId="77777777" w:rsidTr="0000682A">
        <w:tblPrEx>
          <w:shd w:val="clear" w:color="auto" w:fill="auto"/>
        </w:tblPrEx>
        <w:tc>
          <w:tcPr>
            <w:tcW w:w="4284" w:type="dxa"/>
          </w:tcPr>
          <w:p w14:paraId="419639A4" w14:textId="77777777" w:rsidR="0000682A" w:rsidRPr="00BA0FBF" w:rsidRDefault="00C42B9A" w:rsidP="00567B35">
            <w:r w:rsidRPr="00D55467">
              <w:rPr>
                <w:rFonts w:ascii="Calibri" w:eastAsiaTheme="minorHAnsi" w:hAnsi="Calibri" w:cstheme="minorBidi"/>
                <w:sz w:val="22"/>
                <w:szCs w:val="21"/>
              </w:rPr>
              <w:lastRenderedPageBreak/>
              <w:t>Are all transactions available for view in FASPAC?</w:t>
            </w:r>
          </w:p>
        </w:tc>
        <w:tc>
          <w:tcPr>
            <w:tcW w:w="5066" w:type="dxa"/>
          </w:tcPr>
          <w:p w14:paraId="3B2E2677" w14:textId="77777777" w:rsidR="0000682A" w:rsidRPr="00BA0FBF" w:rsidRDefault="00B173F1" w:rsidP="00B173F1">
            <w:pPr>
              <w:pStyle w:val="PlainText"/>
            </w:pPr>
            <w:r>
              <w:t xml:space="preserve">The IPAC document and associated billing documents </w:t>
            </w:r>
            <w:r w:rsidR="00E03C28">
              <w:t>are</w:t>
            </w:r>
            <w:r>
              <w:t xml:space="preserve"> accessed and downloaded from FASPAC. The transactions associated with the billing documents are in FMS.</w:t>
            </w:r>
          </w:p>
        </w:tc>
      </w:tr>
      <w:tr w:rsidR="0000682A" w:rsidRPr="009D3099" w14:paraId="0E8F2D51" w14:textId="77777777" w:rsidTr="00C42B9A">
        <w:tblPrEx>
          <w:shd w:val="clear" w:color="auto" w:fill="auto"/>
        </w:tblPrEx>
        <w:trPr>
          <w:trHeight w:val="485"/>
        </w:trPr>
        <w:tc>
          <w:tcPr>
            <w:tcW w:w="4284" w:type="dxa"/>
          </w:tcPr>
          <w:p w14:paraId="6425E7FB" w14:textId="77777777" w:rsidR="00C42B9A" w:rsidRPr="00D55467" w:rsidRDefault="00C42B9A" w:rsidP="00567B35">
            <w:pPr>
              <w:rPr>
                <w:rFonts w:ascii="Calibri" w:eastAsiaTheme="minorHAnsi" w:hAnsi="Calibri" w:cstheme="minorBidi"/>
                <w:sz w:val="22"/>
                <w:szCs w:val="21"/>
              </w:rPr>
            </w:pPr>
            <w:r w:rsidRPr="00D55467">
              <w:rPr>
                <w:rFonts w:ascii="Calibri" w:eastAsiaTheme="minorHAnsi" w:hAnsi="Calibri" w:cstheme="minorBidi"/>
                <w:sz w:val="22"/>
                <w:szCs w:val="21"/>
              </w:rPr>
              <w:t>Is there a listing of the codes used in CAATS/FMS? Where are they located?</w:t>
            </w:r>
          </w:p>
          <w:p w14:paraId="1D416AB7" w14:textId="77777777" w:rsidR="0000682A" w:rsidRPr="00C42B9A" w:rsidRDefault="00C42B9A" w:rsidP="00C42B9A">
            <w:pPr>
              <w:tabs>
                <w:tab w:val="left" w:pos="449"/>
              </w:tabs>
            </w:pPr>
            <w:r>
              <w:tab/>
            </w:r>
          </w:p>
        </w:tc>
        <w:tc>
          <w:tcPr>
            <w:tcW w:w="5066" w:type="dxa"/>
          </w:tcPr>
          <w:p w14:paraId="71A7C2D9" w14:textId="77777777" w:rsidR="00FC51B7" w:rsidRDefault="00B173F1" w:rsidP="00FC51B7">
            <w:pPr>
              <w:pStyle w:val="PlainText"/>
            </w:pPr>
            <w:r>
              <w:t xml:space="preserve">A listing of FMS transaction codes </w:t>
            </w:r>
            <w:r w:rsidR="00E03C28">
              <w:t xml:space="preserve">are </w:t>
            </w:r>
            <w:r>
              <w:t xml:space="preserve">found in the </w:t>
            </w:r>
            <w:r w:rsidR="00915832">
              <w:t xml:space="preserve">Financial Management System (FMS) </w:t>
            </w:r>
            <w:r>
              <w:t>Basic</w:t>
            </w:r>
            <w:r w:rsidR="00FC51B7">
              <w:t xml:space="preserve"> Manual - </w:t>
            </w:r>
            <w:hyperlink r:id="rId9" w:history="1">
              <w:r w:rsidR="00FC51B7" w:rsidRPr="00C84294">
                <w:rPr>
                  <w:rStyle w:val="Hyperlink"/>
                </w:rPr>
                <w:t>https://vaww.fsccollaboration.fsc.va.gov/training/Documents/ Financial%20Management%20System%20Basic%20Handout.pdf</w:t>
              </w:r>
            </w:hyperlink>
            <w:r>
              <w:t xml:space="preserve"> </w:t>
            </w:r>
          </w:p>
          <w:p w14:paraId="4BEAECE7" w14:textId="77777777" w:rsidR="0000682A" w:rsidRPr="00BA0FBF" w:rsidRDefault="00FC51B7" w:rsidP="00FC51B7">
            <w:pPr>
              <w:pStyle w:val="PlainText"/>
            </w:pPr>
            <w:r>
              <w:t xml:space="preserve">For CAATS, the FMS transaction codes are hard coded </w:t>
            </w:r>
            <w:r w:rsidR="00E03C28">
              <w:t xml:space="preserve">and </w:t>
            </w:r>
            <w:r>
              <w:t>dependent upon on the module/sub module select</w:t>
            </w:r>
            <w:r w:rsidR="00E03C28">
              <w:t>ed</w:t>
            </w:r>
            <w:r w:rsidR="00B173F1">
              <w:t xml:space="preserve"> </w:t>
            </w:r>
            <w:r>
              <w:t xml:space="preserve">for processing. </w:t>
            </w:r>
          </w:p>
        </w:tc>
      </w:tr>
      <w:tr w:rsidR="0000682A" w:rsidRPr="009D3099" w14:paraId="24ABDCF4" w14:textId="77777777" w:rsidTr="0000682A">
        <w:tblPrEx>
          <w:shd w:val="clear" w:color="auto" w:fill="auto"/>
        </w:tblPrEx>
        <w:tc>
          <w:tcPr>
            <w:tcW w:w="4284" w:type="dxa"/>
          </w:tcPr>
          <w:p w14:paraId="25CA3646" w14:textId="77777777" w:rsidR="0000682A" w:rsidRPr="00BA0FBF" w:rsidRDefault="0000682A" w:rsidP="00567B35">
            <w:r w:rsidRPr="00BA0FBF">
              <w:t>How do I get FASPAC access?</w:t>
            </w:r>
          </w:p>
        </w:tc>
        <w:tc>
          <w:tcPr>
            <w:tcW w:w="5066" w:type="dxa"/>
          </w:tcPr>
          <w:p w14:paraId="5990D799" w14:textId="77777777" w:rsidR="0000682A" w:rsidRPr="00BA0FBF" w:rsidRDefault="0000682A" w:rsidP="00567B35">
            <w:r w:rsidRPr="00FC51B7">
              <w:rPr>
                <w:rFonts w:ascii="Calibri" w:eastAsiaTheme="minorHAnsi" w:hAnsi="Calibri" w:cstheme="minorBidi"/>
                <w:sz w:val="22"/>
                <w:szCs w:val="21"/>
              </w:rPr>
              <w:t>A VA Form 9957 is required for access to the FASPAC System.  Regional Offices may contact the</w:t>
            </w:r>
            <w:r>
              <w:t xml:space="preserve"> </w:t>
            </w:r>
            <w:hyperlink r:id="rId10" w:history="1">
              <w:r w:rsidRPr="00C3417F">
                <w:rPr>
                  <w:rStyle w:val="Hyperlink"/>
                  <w:rFonts w:ascii="Calibri" w:eastAsiaTheme="minorHAnsi" w:hAnsi="Calibri" w:cstheme="minorBidi"/>
                  <w:sz w:val="22"/>
                  <w:szCs w:val="21"/>
                </w:rPr>
                <w:t>VAFSC IPAC Processing Group</w:t>
              </w:r>
            </w:hyperlink>
            <w:r>
              <w:t xml:space="preserve"> </w:t>
            </w:r>
            <w:r w:rsidRPr="00FC51B7">
              <w:rPr>
                <w:rFonts w:ascii="Calibri" w:eastAsiaTheme="minorHAnsi" w:hAnsi="Calibri" w:cstheme="minorBidi"/>
                <w:sz w:val="22"/>
                <w:szCs w:val="21"/>
              </w:rPr>
              <w:t>or the CUPS personnel at your station for specific instructions on completing the access form.</w:t>
            </w:r>
            <w:r>
              <w:t xml:space="preserve"> </w:t>
            </w:r>
          </w:p>
        </w:tc>
      </w:tr>
    </w:tbl>
    <w:p w14:paraId="70484458" w14:textId="77777777" w:rsidR="0000682A" w:rsidRDefault="0000682A"/>
    <w:p w14:paraId="1F72DDA8" w14:textId="77777777" w:rsidR="0000682A" w:rsidRDefault="0000682A"/>
    <w:p w14:paraId="14AE28E9" w14:textId="77777777" w:rsidR="0000682A" w:rsidRDefault="0000682A"/>
    <w:sectPr w:rsidR="0000682A" w:rsidSect="00383304">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BC27E" w14:textId="77777777" w:rsidR="00AF54FA" w:rsidRDefault="00AF54FA" w:rsidP="0000682A">
      <w:r>
        <w:separator/>
      </w:r>
    </w:p>
  </w:endnote>
  <w:endnote w:type="continuationSeparator" w:id="0">
    <w:p w14:paraId="47657DFB" w14:textId="77777777" w:rsidR="00AF54FA" w:rsidRDefault="00AF54FA" w:rsidP="0000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119C" w14:textId="77777777" w:rsidR="00383304" w:rsidRDefault="00383304">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F17092">
      <w:rPr>
        <w:noProof/>
        <w:color w:val="17365D" w:themeColor="text2" w:themeShade="BF"/>
      </w:rPr>
      <w:t>4</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F17092">
      <w:rPr>
        <w:noProof/>
        <w:color w:val="17365D" w:themeColor="text2" w:themeShade="BF"/>
      </w:rPr>
      <w:t>4</w:t>
    </w:r>
    <w:r>
      <w:rPr>
        <w:color w:val="17365D" w:themeColor="text2" w:themeShade="BF"/>
      </w:rPr>
      <w:fldChar w:fldCharType="end"/>
    </w:r>
  </w:p>
  <w:p w14:paraId="5F5B96CA" w14:textId="77777777" w:rsidR="00383304" w:rsidRDefault="00383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9979D" w14:textId="77777777" w:rsidR="00AF54FA" w:rsidRDefault="00AF54FA" w:rsidP="0000682A">
      <w:r>
        <w:separator/>
      </w:r>
    </w:p>
  </w:footnote>
  <w:footnote w:type="continuationSeparator" w:id="0">
    <w:p w14:paraId="2E357F1C" w14:textId="77777777" w:rsidR="00AF54FA" w:rsidRDefault="00AF54FA" w:rsidP="00006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4A7B" w14:textId="77777777" w:rsidR="00383304" w:rsidRPr="00253E68" w:rsidRDefault="00383304" w:rsidP="00383304">
    <w:pPr>
      <w:pStyle w:val="Title"/>
      <w:pBdr>
        <w:bottom w:val="single" w:sz="8" w:space="4" w:color="C0504D" w:themeColor="accent2"/>
      </w:pBdr>
      <w:spacing w:after="240"/>
      <w:jc w:val="center"/>
      <w:rPr>
        <w:b/>
        <w:sz w:val="32"/>
        <w:szCs w:val="32"/>
      </w:rPr>
    </w:pPr>
    <w:r>
      <w:rPr>
        <w:noProof/>
      </w:rPr>
      <w:drawing>
        <wp:inline distT="0" distB="0" distL="0" distR="0" wp14:anchorId="5BDBBB50" wp14:editId="17ADD2F1">
          <wp:extent cx="1554480" cy="530225"/>
          <wp:effectExtent l="0" t="0" r="7620" b="3175"/>
          <wp:docPr id="5" name="Picture 5" descr="U.S. Department of Veterans Affairs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US Department of VA Affairs.jpg"/>
                  <pic:cNvPicPr/>
                </pic:nvPicPr>
                <pic:blipFill>
                  <a:blip r:embed="rId1">
                    <a:extLst>
                      <a:ext uri="{28A0092B-C50C-407E-A947-70E740481C1C}">
                        <a14:useLocalDpi xmlns:a14="http://schemas.microsoft.com/office/drawing/2010/main" val="0"/>
                      </a:ext>
                    </a:extLst>
                  </a:blip>
                  <a:stretch>
                    <a:fillRect/>
                  </a:stretch>
                </pic:blipFill>
                <pic:spPr>
                  <a:xfrm>
                    <a:off x="0" y="0"/>
                    <a:ext cx="1554480" cy="530225"/>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0E741CE4" w14:textId="77777777" w:rsidR="0000682A" w:rsidRDefault="00006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6780A"/>
    <w:multiLevelType w:val="hybridMultilevel"/>
    <w:tmpl w:val="EF182E8C"/>
    <w:lvl w:ilvl="0" w:tplc="310876B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FE28F0"/>
    <w:multiLevelType w:val="hybridMultilevel"/>
    <w:tmpl w:val="6DB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2A"/>
    <w:rsid w:val="0000682A"/>
    <w:rsid w:val="00016CBB"/>
    <w:rsid w:val="00023289"/>
    <w:rsid w:val="00087C46"/>
    <w:rsid w:val="00092F25"/>
    <w:rsid w:val="00122D83"/>
    <w:rsid w:val="0013024E"/>
    <w:rsid w:val="00154A95"/>
    <w:rsid w:val="00196394"/>
    <w:rsid w:val="001B6C86"/>
    <w:rsid w:val="00232FB7"/>
    <w:rsid w:val="00286468"/>
    <w:rsid w:val="00317F1E"/>
    <w:rsid w:val="00383304"/>
    <w:rsid w:val="003B0490"/>
    <w:rsid w:val="003B6D7F"/>
    <w:rsid w:val="004D4201"/>
    <w:rsid w:val="00557071"/>
    <w:rsid w:val="00653745"/>
    <w:rsid w:val="006731C4"/>
    <w:rsid w:val="00676BF5"/>
    <w:rsid w:val="006B478A"/>
    <w:rsid w:val="006C3A77"/>
    <w:rsid w:val="00722DB0"/>
    <w:rsid w:val="007260A6"/>
    <w:rsid w:val="00773E4F"/>
    <w:rsid w:val="007E45F1"/>
    <w:rsid w:val="00844920"/>
    <w:rsid w:val="008543E1"/>
    <w:rsid w:val="00887F73"/>
    <w:rsid w:val="00915832"/>
    <w:rsid w:val="00925CD0"/>
    <w:rsid w:val="00931FAA"/>
    <w:rsid w:val="00A12504"/>
    <w:rsid w:val="00A46091"/>
    <w:rsid w:val="00AF54FA"/>
    <w:rsid w:val="00B173F1"/>
    <w:rsid w:val="00B24DB6"/>
    <w:rsid w:val="00B67D2C"/>
    <w:rsid w:val="00BD5476"/>
    <w:rsid w:val="00C3417F"/>
    <w:rsid w:val="00C41A75"/>
    <w:rsid w:val="00C42B9A"/>
    <w:rsid w:val="00C4364D"/>
    <w:rsid w:val="00C542E8"/>
    <w:rsid w:val="00C808CC"/>
    <w:rsid w:val="00CF23BF"/>
    <w:rsid w:val="00CF51C4"/>
    <w:rsid w:val="00D17973"/>
    <w:rsid w:val="00D5252F"/>
    <w:rsid w:val="00D55467"/>
    <w:rsid w:val="00D66366"/>
    <w:rsid w:val="00D74C1E"/>
    <w:rsid w:val="00DA7E87"/>
    <w:rsid w:val="00E03C28"/>
    <w:rsid w:val="00E25EA4"/>
    <w:rsid w:val="00E40B1B"/>
    <w:rsid w:val="00E55B56"/>
    <w:rsid w:val="00EA4C50"/>
    <w:rsid w:val="00EB6190"/>
    <w:rsid w:val="00F17092"/>
    <w:rsid w:val="00F304B5"/>
    <w:rsid w:val="00FC51B7"/>
    <w:rsid w:val="00FC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57338"/>
  <w15:chartTrackingRefBased/>
  <w15:docId w15:val="{8D4B6C12-16F1-4E8F-A625-E628BA95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82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682A"/>
    <w:pPr>
      <w:numPr>
        <w:numId w:val="2"/>
      </w:numPr>
      <w:contextualSpacing/>
    </w:pPr>
    <w:rPr>
      <w:rFonts w:ascii="Calibri" w:eastAsiaTheme="minorHAnsi" w:hAnsi="Calibri"/>
      <w:b/>
      <w:sz w:val="22"/>
      <w:szCs w:val="22"/>
    </w:rPr>
  </w:style>
  <w:style w:type="character" w:customStyle="1" w:styleId="ListParagraphChar">
    <w:name w:val="List Paragraph Char"/>
    <w:basedOn w:val="DefaultParagraphFont"/>
    <w:link w:val="ListParagraph"/>
    <w:uiPriority w:val="34"/>
    <w:rsid w:val="0000682A"/>
    <w:rPr>
      <w:rFonts w:ascii="Calibri" w:hAnsi="Calibri" w:cs="Times New Roman"/>
      <w:b/>
    </w:rPr>
  </w:style>
  <w:style w:type="table" w:styleId="TableGrid">
    <w:name w:val="Table Grid"/>
    <w:basedOn w:val="TableNormal"/>
    <w:uiPriority w:val="59"/>
    <w:rsid w:val="0000682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00682A"/>
    <w:pPr>
      <w:spacing w:before="40" w:after="40"/>
    </w:pPr>
  </w:style>
  <w:style w:type="character" w:styleId="Hyperlink">
    <w:name w:val="Hyperlink"/>
    <w:basedOn w:val="DefaultParagraphFont"/>
    <w:uiPriority w:val="99"/>
    <w:unhideWhenUsed/>
    <w:rsid w:val="0000682A"/>
    <w:rPr>
      <w:color w:val="0000FF" w:themeColor="hyperlink"/>
      <w:u w:val="single"/>
    </w:rPr>
  </w:style>
  <w:style w:type="character" w:customStyle="1" w:styleId="TableTextChar">
    <w:name w:val="Table Text Char"/>
    <w:basedOn w:val="DefaultParagraphFont"/>
    <w:link w:val="TableText"/>
    <w:rsid w:val="0000682A"/>
    <w:rPr>
      <w:rFonts w:eastAsia="Times New Roman" w:cs="Times New Roman"/>
      <w:sz w:val="24"/>
      <w:szCs w:val="24"/>
    </w:rPr>
  </w:style>
  <w:style w:type="character" w:customStyle="1" w:styleId="imsender1">
    <w:name w:val="im_sender1"/>
    <w:basedOn w:val="DefaultParagraphFont"/>
    <w:rsid w:val="0000682A"/>
    <w:rPr>
      <w:rFonts w:ascii="Segoe UI" w:hAnsi="Segoe UI" w:cs="Segoe UI" w:hint="default"/>
      <w:b/>
      <w:bCs/>
      <w:i w:val="0"/>
      <w:iCs w:val="0"/>
      <w:caps w:val="0"/>
      <w:smallCaps w:val="0"/>
      <w:strike w:val="0"/>
      <w:dstrike w:val="0"/>
      <w:color w:val="666666"/>
      <w:sz w:val="17"/>
      <w:szCs w:val="17"/>
      <w:u w:val="none"/>
      <w:effect w:val="none"/>
    </w:rPr>
  </w:style>
  <w:style w:type="character" w:styleId="FollowedHyperlink">
    <w:name w:val="FollowedHyperlink"/>
    <w:basedOn w:val="DefaultParagraphFont"/>
    <w:uiPriority w:val="99"/>
    <w:semiHidden/>
    <w:unhideWhenUsed/>
    <w:rsid w:val="0000682A"/>
    <w:rPr>
      <w:color w:val="800080" w:themeColor="followedHyperlink"/>
      <w:u w:val="single"/>
    </w:rPr>
  </w:style>
  <w:style w:type="paragraph" w:styleId="Header">
    <w:name w:val="header"/>
    <w:basedOn w:val="Normal"/>
    <w:link w:val="HeaderChar"/>
    <w:uiPriority w:val="99"/>
    <w:unhideWhenUsed/>
    <w:rsid w:val="0000682A"/>
    <w:pPr>
      <w:tabs>
        <w:tab w:val="center" w:pos="4680"/>
        <w:tab w:val="right" w:pos="9360"/>
      </w:tabs>
    </w:pPr>
  </w:style>
  <w:style w:type="character" w:customStyle="1" w:styleId="HeaderChar">
    <w:name w:val="Header Char"/>
    <w:basedOn w:val="DefaultParagraphFont"/>
    <w:link w:val="Header"/>
    <w:uiPriority w:val="99"/>
    <w:rsid w:val="0000682A"/>
    <w:rPr>
      <w:rFonts w:eastAsia="Times New Roman" w:cs="Times New Roman"/>
      <w:sz w:val="24"/>
      <w:szCs w:val="24"/>
    </w:rPr>
  </w:style>
  <w:style w:type="paragraph" w:styleId="Footer">
    <w:name w:val="footer"/>
    <w:basedOn w:val="Normal"/>
    <w:link w:val="FooterChar"/>
    <w:uiPriority w:val="99"/>
    <w:unhideWhenUsed/>
    <w:rsid w:val="0000682A"/>
    <w:pPr>
      <w:tabs>
        <w:tab w:val="center" w:pos="4680"/>
        <w:tab w:val="right" w:pos="9360"/>
      </w:tabs>
    </w:pPr>
  </w:style>
  <w:style w:type="character" w:customStyle="1" w:styleId="FooterChar">
    <w:name w:val="Footer Char"/>
    <w:basedOn w:val="DefaultParagraphFont"/>
    <w:link w:val="Footer"/>
    <w:uiPriority w:val="99"/>
    <w:rsid w:val="0000682A"/>
    <w:rPr>
      <w:rFonts w:eastAsia="Times New Roman" w:cs="Times New Roman"/>
      <w:sz w:val="24"/>
      <w:szCs w:val="24"/>
    </w:rPr>
  </w:style>
  <w:style w:type="paragraph" w:styleId="Title">
    <w:name w:val="Title"/>
    <w:basedOn w:val="Normal"/>
    <w:next w:val="Normal"/>
    <w:link w:val="TitleChar"/>
    <w:uiPriority w:val="10"/>
    <w:qFormat/>
    <w:rsid w:val="0000682A"/>
    <w:pPr>
      <w:pBdr>
        <w:bottom w:val="single" w:sz="8" w:space="4" w:color="39888C"/>
      </w:pBdr>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00682A"/>
    <w:rPr>
      <w:rFonts w:eastAsiaTheme="majorEastAsia" w:cstheme="majorBidi"/>
      <w:spacing w:val="5"/>
      <w:kern w:val="28"/>
      <w:sz w:val="36"/>
      <w:szCs w:val="52"/>
    </w:rPr>
  </w:style>
  <w:style w:type="paragraph" w:styleId="PlainText">
    <w:name w:val="Plain Text"/>
    <w:basedOn w:val="Normal"/>
    <w:link w:val="PlainTextChar"/>
    <w:uiPriority w:val="99"/>
    <w:unhideWhenUsed/>
    <w:rsid w:val="004D420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D4201"/>
    <w:rPr>
      <w:rFonts w:ascii="Calibri" w:hAnsi="Calibri"/>
      <w:szCs w:val="21"/>
    </w:rPr>
  </w:style>
  <w:style w:type="character" w:styleId="UnresolvedMention">
    <w:name w:val="Unresolved Mention"/>
    <w:basedOn w:val="DefaultParagraphFont"/>
    <w:uiPriority w:val="99"/>
    <w:semiHidden/>
    <w:unhideWhenUsed/>
    <w:rsid w:val="00915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052743">
      <w:bodyDiv w:val="1"/>
      <w:marLeft w:val="0"/>
      <w:marRight w:val="0"/>
      <w:marTop w:val="0"/>
      <w:marBottom w:val="0"/>
      <w:divBdr>
        <w:top w:val="none" w:sz="0" w:space="0" w:color="auto"/>
        <w:left w:val="none" w:sz="0" w:space="0" w:color="auto"/>
        <w:bottom w:val="none" w:sz="0" w:space="0" w:color="auto"/>
        <w:right w:val="none" w:sz="0" w:space="0" w:color="auto"/>
      </w:divBdr>
    </w:div>
    <w:div w:id="1299218145">
      <w:bodyDiv w:val="1"/>
      <w:marLeft w:val="0"/>
      <w:marRight w:val="0"/>
      <w:marTop w:val="0"/>
      <w:marBottom w:val="0"/>
      <w:divBdr>
        <w:top w:val="none" w:sz="0" w:space="0" w:color="auto"/>
        <w:left w:val="none" w:sz="0" w:space="0" w:color="auto"/>
        <w:bottom w:val="none" w:sz="0" w:space="0" w:color="auto"/>
        <w:right w:val="none" w:sz="0" w:space="0" w:color="auto"/>
      </w:divBdr>
    </w:div>
    <w:div w:id="1337000071">
      <w:bodyDiv w:val="1"/>
      <w:marLeft w:val="0"/>
      <w:marRight w:val="0"/>
      <w:marTop w:val="0"/>
      <w:marBottom w:val="0"/>
      <w:divBdr>
        <w:top w:val="none" w:sz="0" w:space="0" w:color="auto"/>
        <w:left w:val="none" w:sz="0" w:space="0" w:color="auto"/>
        <w:bottom w:val="none" w:sz="0" w:space="0" w:color="auto"/>
        <w:right w:val="none" w:sz="0" w:space="0" w:color="auto"/>
      </w:divBdr>
    </w:div>
    <w:div w:id="1793402442">
      <w:bodyDiv w:val="1"/>
      <w:marLeft w:val="0"/>
      <w:marRight w:val="0"/>
      <w:marTop w:val="0"/>
      <w:marBottom w:val="0"/>
      <w:divBdr>
        <w:top w:val="none" w:sz="0" w:space="0" w:color="auto"/>
        <w:left w:val="none" w:sz="0" w:space="0" w:color="auto"/>
        <w:bottom w:val="none" w:sz="0" w:space="0" w:color="auto"/>
        <w:right w:val="none" w:sz="0" w:space="0" w:color="auto"/>
      </w:divBdr>
    </w:div>
    <w:div w:id="1868640464">
      <w:bodyDiv w:val="1"/>
      <w:marLeft w:val="0"/>
      <w:marRight w:val="0"/>
      <w:marTop w:val="0"/>
      <w:marBottom w:val="0"/>
      <w:divBdr>
        <w:top w:val="none" w:sz="0" w:space="0" w:color="auto"/>
        <w:left w:val="none" w:sz="0" w:space="0" w:color="auto"/>
        <w:bottom w:val="none" w:sz="0" w:space="0" w:color="auto"/>
        <w:right w:val="none" w:sz="0" w:space="0" w:color="auto"/>
      </w:divBdr>
    </w:div>
    <w:div w:id="1878274034">
      <w:bodyDiv w:val="1"/>
      <w:marLeft w:val="0"/>
      <w:marRight w:val="0"/>
      <w:marTop w:val="0"/>
      <w:marBottom w:val="0"/>
      <w:divBdr>
        <w:top w:val="none" w:sz="0" w:space="0" w:color="auto"/>
        <w:left w:val="none" w:sz="0" w:space="0" w:color="auto"/>
        <w:bottom w:val="none" w:sz="0" w:space="0" w:color="auto"/>
        <w:right w:val="none" w:sz="0" w:space="0" w:color="auto"/>
      </w:divBdr>
    </w:div>
    <w:div w:id="2121298736">
      <w:bodyDiv w:val="1"/>
      <w:marLeft w:val="0"/>
      <w:marRight w:val="0"/>
      <w:marTop w:val="0"/>
      <w:marBottom w:val="0"/>
      <w:divBdr>
        <w:top w:val="none" w:sz="0" w:space="0" w:color="auto"/>
        <w:left w:val="none" w:sz="0" w:space="0" w:color="auto"/>
        <w:bottom w:val="none" w:sz="0" w:space="0" w:color="auto"/>
        <w:right w:val="none" w:sz="0" w:space="0" w:color="auto"/>
      </w:divBdr>
    </w:div>
    <w:div w:id="21409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gov/finance/docs/VA-FinancialPolicyVolumeXIIChapter0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fscipacprocessing@va.gov" TargetMode="External"/><Relationship Id="rId4" Type="http://schemas.openxmlformats.org/officeDocument/2006/relationships/settings" Target="settings.xml"/><Relationship Id="rId9" Type="http://schemas.openxmlformats.org/officeDocument/2006/relationships/hyperlink" Target="https://vaww.fsccollaboration.fsc.va.gov/training/Documents/%20Financial%20Management%20System%20Basic%20Handou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C2078-2F0F-4BA8-BACF-C9DEC17A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VBA FY19 Federal &amp; Non-Federal Advances Webinar - Recorded FAQ</vt:lpstr>
    </vt:vector>
  </TitlesOfParts>
  <Company>Veterans Benefits Administration</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VBA FY19 Federal &amp; Non-Federal Advances Webinar - Recorded FAQ</dc:title>
  <dc:subject/>
  <dc:creator>Department of Veterans Affairs, Veterans Benefits Administration, STAFF</dc:creator>
  <cp:keywords/>
  <dc:description>In this webinar, participants will identify federal or non-federal advances for goods and services. Participants will also utilitze CAATS modules to process transactions and use FMS table for research.</dc:description>
  <cp:lastModifiedBy>Kathy Poole</cp:lastModifiedBy>
  <cp:revision>3</cp:revision>
  <dcterms:created xsi:type="dcterms:W3CDTF">2019-05-09T11:33:00Z</dcterms:created>
  <dcterms:modified xsi:type="dcterms:W3CDTF">2019-05-09T13:44:00Z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