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1E4E" w14:textId="77777777" w:rsidR="0065448C" w:rsidRPr="0065448C" w:rsidRDefault="00B14D33" w:rsidP="0065448C">
      <w:pPr>
        <w:jc w:val="center"/>
        <w:rPr>
          <w:rFonts w:asciiTheme="minorHAnsi" w:hAnsiTheme="minorHAnsi"/>
          <w:i/>
          <w:color w:val="FFFFFF" w:themeColor="background1"/>
          <w:sz w:val="96"/>
          <w:szCs w:val="80"/>
        </w:rPr>
      </w:pPr>
      <w:bookmarkStart w:id="0" w:name="_GoBack"/>
      <w:r w:rsidRPr="0065448C">
        <w:rPr>
          <w:rFonts w:asciiTheme="minorHAnsi" w:hAnsiTheme="minorHAnsi"/>
          <w:i/>
          <w:noProof/>
          <w:color w:val="FFFFFF" w:themeColor="background1"/>
          <w:sz w:val="96"/>
          <w:szCs w:val="8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452F7C" wp14:editId="203B8E1A">
                <wp:simplePos x="0" y="0"/>
                <wp:positionH relativeFrom="column">
                  <wp:posOffset>-1166446</wp:posOffset>
                </wp:positionH>
                <wp:positionV relativeFrom="paragraph">
                  <wp:posOffset>-914400</wp:posOffset>
                </wp:positionV>
                <wp:extent cx="8023958" cy="1581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958" cy="1581150"/>
                        </a:xfrm>
                        <a:prstGeom prst="rect">
                          <a:avLst/>
                        </a:prstGeom>
                        <a:solidFill>
                          <a:srgbClr val="003F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C39D5" id="Rectangle 2" o:spid="_x0000_s1026" style="position:absolute;margin-left:-91.85pt;margin-top:-1in;width:631.8pt;height:1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" fillcolor="#003f72" stroked="f" strokeweight="2pt"/>
            </w:pict>
          </mc:Fallback>
        </mc:AlternateContent>
      </w:r>
      <w:r w:rsidRPr="0065448C">
        <w:rPr>
          <w:rFonts w:asciiTheme="minorHAnsi" w:hAnsiTheme="minorHAnsi"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C73E0F" wp14:editId="21A48B49">
                <wp:simplePos x="0" y="0"/>
                <wp:positionH relativeFrom="column">
                  <wp:posOffset>-1137285</wp:posOffset>
                </wp:positionH>
                <wp:positionV relativeFrom="paragraph">
                  <wp:posOffset>668020</wp:posOffset>
                </wp:positionV>
                <wp:extent cx="7994650" cy="365760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0" cy="365760"/>
                        </a:xfrm>
                        <a:prstGeom prst="rect">
                          <a:avLst/>
                        </a:prstGeom>
                        <a:solidFill>
                          <a:srgbClr val="008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2EF8" id="Rectangle 6" o:spid="_x0000_s1026" style="position:absolute;margin-left:-89.55pt;margin-top:52.6pt;width:629.5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" fillcolor="#0083be" stroked="f" strokeweight="2pt"/>
            </w:pict>
          </mc:Fallback>
        </mc:AlternateContent>
      </w:r>
      <w:r w:rsidR="0065448C" w:rsidRPr="0065448C">
        <w:rPr>
          <w:rFonts w:asciiTheme="minorHAnsi" w:hAnsiTheme="minorHAnsi" w:cs="Arial"/>
          <w:i/>
          <w:noProof/>
          <w:sz w:val="28"/>
        </w:rPr>
        <w:drawing>
          <wp:anchor distT="0" distB="0" distL="114300" distR="114300" simplePos="0" relativeHeight="251662336" behindDoc="0" locked="0" layoutInCell="1" allowOverlap="1" wp14:anchorId="40802E16" wp14:editId="1074CF2C">
            <wp:simplePos x="0" y="0"/>
            <wp:positionH relativeFrom="column">
              <wp:posOffset>-1091565</wp:posOffset>
            </wp:positionH>
            <wp:positionV relativeFrom="paragraph">
              <wp:posOffset>-885825</wp:posOffset>
            </wp:positionV>
            <wp:extent cx="3128720" cy="904875"/>
            <wp:effectExtent l="0" t="0" r="0" b="0"/>
            <wp:wrapNone/>
            <wp:docPr id="9" name="Picture 9" title="U.S. Department of Veterans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-PRIMARY-HORIZONTAL-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7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8C" w:rsidRPr="0065448C">
        <w:rPr>
          <w:rFonts w:asciiTheme="minorHAnsi" w:hAnsiTheme="minorHAnsi" w:cs="Arial"/>
          <w:i/>
          <w:noProof/>
          <w:sz w:val="28"/>
        </w:rPr>
        <w:drawing>
          <wp:anchor distT="0" distB="0" distL="114300" distR="114300" simplePos="0" relativeHeight="251661312" behindDoc="0" locked="0" layoutInCell="1" allowOverlap="1" wp14:anchorId="6C3C81E8" wp14:editId="68508097">
            <wp:simplePos x="0" y="0"/>
            <wp:positionH relativeFrom="column">
              <wp:posOffset>4839335</wp:posOffset>
            </wp:positionH>
            <wp:positionV relativeFrom="paragraph">
              <wp:posOffset>-733425</wp:posOffset>
            </wp:positionV>
            <wp:extent cx="1790700" cy="581912"/>
            <wp:effectExtent l="0" t="0" r="0" b="0"/>
            <wp:wrapNone/>
            <wp:docPr id="5" name="Picture 5" title="FSC Financial Servic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C-Logo-Master-White-with-Out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8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48C" w:rsidRPr="0065448C">
        <w:rPr>
          <w:rFonts w:asciiTheme="minorHAnsi" w:hAnsiTheme="minorHAnsi"/>
          <w:i/>
          <w:color w:val="FFFFFF" w:themeColor="background1"/>
          <w:sz w:val="96"/>
          <w:szCs w:val="80"/>
        </w:rPr>
        <w:t>FSC News Flash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2969"/>
        <w:gridCol w:w="2943"/>
      </w:tblGrid>
      <w:tr w:rsidR="0065448C" w14:paraId="5EFE9EB0" w14:textId="77777777" w:rsidTr="00402CD1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715A5C64" w14:textId="77777777" w:rsidR="0065448C" w:rsidRPr="0065448C" w:rsidRDefault="0065448C" w:rsidP="001101CF">
            <w:pPr>
              <w:tabs>
                <w:tab w:val="center" w:pos="0"/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65448C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FY 2017 Issue</w:t>
            </w:r>
            <w:r w:rsidR="00EF7659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 xml:space="preserve"> 21</w:t>
            </w:r>
            <w:r w:rsidRPr="0065448C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 xml:space="preserve">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297622A" w14:textId="77777777" w:rsidR="0065448C" w:rsidRPr="0065448C" w:rsidRDefault="0065448C" w:rsidP="00402CD1">
            <w:pPr>
              <w:tabs>
                <w:tab w:val="center" w:pos="0"/>
                <w:tab w:val="center" w:pos="4320"/>
                <w:tab w:val="right" w:pos="8640"/>
              </w:tabs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65448C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 xml:space="preserve">Austin, Texas                           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49DA638" w14:textId="77777777" w:rsidR="0065448C" w:rsidRPr="0065448C" w:rsidRDefault="00EF7659" w:rsidP="001101CF">
            <w:pPr>
              <w:tabs>
                <w:tab w:val="center" w:pos="0"/>
                <w:tab w:val="center" w:pos="4320"/>
                <w:tab w:val="right" w:pos="8640"/>
              </w:tabs>
              <w:jc w:val="right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 xml:space="preserve">May 11, </w:t>
            </w:r>
            <w:r w:rsidR="001101CF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2</w:t>
            </w:r>
            <w:r w:rsidR="0065448C" w:rsidRPr="0065448C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01</w:t>
            </w:r>
            <w:r w:rsidR="00AE2C25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7</w:t>
            </w:r>
          </w:p>
        </w:tc>
      </w:tr>
    </w:tbl>
    <w:p w14:paraId="691AB8F3" w14:textId="77777777" w:rsidR="00AB3450" w:rsidRDefault="00AB3450" w:rsidP="00977115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41363B83" w14:textId="77777777" w:rsidR="0065448C" w:rsidRDefault="0065448C" w:rsidP="000F3A84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5895E662" w14:textId="77777777" w:rsidR="000F3A84" w:rsidRPr="00B134AF" w:rsidRDefault="000E3D4C" w:rsidP="000F3A84">
      <w:pPr>
        <w:autoSpaceDE w:val="0"/>
        <w:autoSpaceDN w:val="0"/>
        <w:jc w:val="center"/>
        <w:rPr>
          <w:rFonts w:ascii="Arial" w:hAnsi="Arial" w:cs="Arial"/>
          <w:b/>
        </w:rPr>
      </w:pPr>
      <w:r w:rsidRPr="00B134AF">
        <w:rPr>
          <w:rFonts w:ascii="Arial" w:hAnsi="Arial" w:cs="Arial"/>
          <w:b/>
        </w:rPr>
        <w:t>Clearing (</w:t>
      </w:r>
      <w:r w:rsidR="00A24F1F" w:rsidRPr="00B134AF">
        <w:rPr>
          <w:rFonts w:ascii="Arial" w:hAnsi="Arial" w:cs="Arial"/>
          <w:b/>
        </w:rPr>
        <w:t>Suspense</w:t>
      </w:r>
      <w:r w:rsidRPr="00B134AF">
        <w:rPr>
          <w:rFonts w:ascii="Arial" w:hAnsi="Arial" w:cs="Arial"/>
          <w:b/>
        </w:rPr>
        <w:t>) Account</w:t>
      </w:r>
      <w:r w:rsidR="00A24F1F" w:rsidRPr="00B134AF">
        <w:rPr>
          <w:rFonts w:ascii="Arial" w:hAnsi="Arial" w:cs="Arial"/>
          <w:b/>
        </w:rPr>
        <w:t xml:space="preserve"> Payments</w:t>
      </w:r>
    </w:p>
    <w:p w14:paraId="09B4169F" w14:textId="77777777" w:rsidR="00A24F1F" w:rsidRDefault="00E043C5" w:rsidP="0099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D47D25" w14:textId="77777777" w:rsidR="005D3D15" w:rsidRDefault="005D3D15" w:rsidP="0099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 uses clearing (suspense) accounts to temporarily hold </w:t>
      </w:r>
      <w:r w:rsidRPr="00D56C1E">
        <w:rPr>
          <w:rFonts w:ascii="Arial" w:hAnsi="Arial" w:cs="Arial"/>
          <w:u w:val="single"/>
        </w:rPr>
        <w:t>unidentifiable</w:t>
      </w:r>
      <w:r>
        <w:rPr>
          <w:rFonts w:ascii="Arial" w:hAnsi="Arial" w:cs="Arial"/>
        </w:rPr>
        <w:t xml:space="preserve"> general, special or trust fund collections.  Funds in the clearing accounts </w:t>
      </w:r>
      <w:r w:rsidR="00123107">
        <w:rPr>
          <w:rFonts w:ascii="Arial" w:hAnsi="Arial" w:cs="Arial"/>
        </w:rPr>
        <w:t>must be</w:t>
      </w:r>
      <w:r>
        <w:rPr>
          <w:rFonts w:ascii="Arial" w:hAnsi="Arial" w:cs="Arial"/>
        </w:rPr>
        <w:t xml:space="preserve"> classified to the proper receipt or expenditure account</w:t>
      </w:r>
      <w:r w:rsidR="00617295">
        <w:rPr>
          <w:rFonts w:ascii="Arial" w:hAnsi="Arial" w:cs="Arial"/>
        </w:rPr>
        <w:t xml:space="preserve"> once they are identified</w:t>
      </w:r>
      <w:r>
        <w:rPr>
          <w:rFonts w:ascii="Arial" w:hAnsi="Arial" w:cs="Arial"/>
        </w:rPr>
        <w:t>.</w:t>
      </w:r>
    </w:p>
    <w:p w14:paraId="5ED1D4CC" w14:textId="77777777" w:rsidR="005D3D15" w:rsidRDefault="005D3D15" w:rsidP="00995A4F">
      <w:pPr>
        <w:rPr>
          <w:rFonts w:ascii="Arial" w:hAnsi="Arial" w:cs="Arial"/>
        </w:rPr>
      </w:pPr>
    </w:p>
    <w:p w14:paraId="32DD8694" w14:textId="77777777" w:rsidR="00B134AF" w:rsidRDefault="00E56D23" w:rsidP="0099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Collections should be moved out of </w:t>
      </w:r>
      <w:r w:rsidR="00B134AF">
        <w:rPr>
          <w:rFonts w:ascii="Arial" w:hAnsi="Arial" w:cs="Arial"/>
        </w:rPr>
        <w:t>3875</w:t>
      </w:r>
      <w:r w:rsidR="00F6389D">
        <w:rPr>
          <w:rFonts w:ascii="Arial" w:hAnsi="Arial" w:cs="Arial"/>
        </w:rPr>
        <w:t xml:space="preserve"> </w:t>
      </w:r>
      <w:r w:rsidR="00130EEE">
        <w:rPr>
          <w:rFonts w:ascii="Arial" w:hAnsi="Arial" w:cs="Arial"/>
        </w:rPr>
        <w:t xml:space="preserve">and 3885 </w:t>
      </w:r>
      <w:r w:rsidR="0056492F">
        <w:rPr>
          <w:rFonts w:ascii="Arial" w:hAnsi="Arial" w:cs="Arial"/>
        </w:rPr>
        <w:t>no</w:t>
      </w:r>
      <w:r w:rsidR="00F6389D">
        <w:rPr>
          <w:rFonts w:ascii="Arial" w:hAnsi="Arial" w:cs="Arial"/>
        </w:rPr>
        <w:t xml:space="preserve"> </w:t>
      </w:r>
      <w:r w:rsidR="001E515B">
        <w:rPr>
          <w:rFonts w:ascii="Arial" w:hAnsi="Arial" w:cs="Arial"/>
        </w:rPr>
        <w:t>later than 60 days from</w:t>
      </w:r>
      <w:r w:rsidR="0056492F">
        <w:rPr>
          <w:rFonts w:ascii="Arial" w:hAnsi="Arial" w:cs="Arial"/>
        </w:rPr>
        <w:t xml:space="preserve"> </w:t>
      </w:r>
      <w:r w:rsidR="006C2FB6">
        <w:rPr>
          <w:rFonts w:ascii="Arial" w:hAnsi="Arial" w:cs="Arial"/>
        </w:rPr>
        <w:t xml:space="preserve">the </w:t>
      </w:r>
      <w:r w:rsidR="0056492F">
        <w:rPr>
          <w:rFonts w:ascii="Arial" w:hAnsi="Arial" w:cs="Arial"/>
        </w:rPr>
        <w:t>time of initial recording.</w:t>
      </w:r>
      <w:r w:rsidR="006B6A65">
        <w:rPr>
          <w:rFonts w:ascii="Arial" w:hAnsi="Arial" w:cs="Arial"/>
        </w:rPr>
        <w:t xml:space="preserve">  </w:t>
      </w:r>
      <w:r w:rsidR="00D56C1E">
        <w:rPr>
          <w:rFonts w:ascii="Arial" w:hAnsi="Arial" w:cs="Arial"/>
          <w:b/>
        </w:rPr>
        <w:t>No payments are permitted</w:t>
      </w:r>
      <w:r w:rsidR="0002767B" w:rsidRPr="0002767B">
        <w:rPr>
          <w:rFonts w:ascii="Arial" w:hAnsi="Arial" w:cs="Arial"/>
          <w:b/>
        </w:rPr>
        <w:t xml:space="preserve"> </w:t>
      </w:r>
      <w:r w:rsidR="00D56C1E">
        <w:rPr>
          <w:rFonts w:ascii="Arial" w:hAnsi="Arial" w:cs="Arial"/>
          <w:b/>
        </w:rPr>
        <w:t>from</w:t>
      </w:r>
      <w:r w:rsidR="0002767B" w:rsidRPr="0002767B">
        <w:rPr>
          <w:rFonts w:ascii="Arial" w:hAnsi="Arial" w:cs="Arial"/>
          <w:b/>
        </w:rPr>
        <w:t xml:space="preserve"> </w:t>
      </w:r>
      <w:r w:rsidR="00B134AF">
        <w:rPr>
          <w:rFonts w:ascii="Arial" w:hAnsi="Arial" w:cs="Arial"/>
          <w:b/>
        </w:rPr>
        <w:t>3875</w:t>
      </w:r>
      <w:r w:rsidR="00130EEE">
        <w:rPr>
          <w:rFonts w:ascii="Arial" w:hAnsi="Arial" w:cs="Arial"/>
          <w:b/>
        </w:rPr>
        <w:t xml:space="preserve"> and 3885</w:t>
      </w:r>
      <w:r w:rsidR="00D56C1E">
        <w:rPr>
          <w:rFonts w:ascii="Arial" w:hAnsi="Arial" w:cs="Arial"/>
          <w:b/>
        </w:rPr>
        <w:t xml:space="preserve">.  </w:t>
      </w:r>
      <w:r w:rsidR="00D56C1E" w:rsidRPr="00D56C1E">
        <w:rPr>
          <w:rFonts w:ascii="Arial" w:hAnsi="Arial" w:cs="Arial"/>
        </w:rPr>
        <w:t>The only exception is</w:t>
      </w:r>
      <w:r w:rsidR="00C6122E" w:rsidRPr="00D56C1E">
        <w:rPr>
          <w:rFonts w:ascii="Arial" w:hAnsi="Arial" w:cs="Arial"/>
        </w:rPr>
        <w:t xml:space="preserve"> for</w:t>
      </w:r>
      <w:r w:rsidRPr="00D56C1E">
        <w:rPr>
          <w:rFonts w:ascii="Arial" w:hAnsi="Arial" w:cs="Arial"/>
        </w:rPr>
        <w:t xml:space="preserve"> refunds of collections which do not belong to VA.</w:t>
      </w:r>
      <w:r w:rsidR="0002767B" w:rsidRPr="0002767B">
        <w:rPr>
          <w:rFonts w:ascii="Arial" w:hAnsi="Arial" w:cs="Arial"/>
          <w:b/>
        </w:rPr>
        <w:t xml:space="preserve"> </w:t>
      </w:r>
      <w:r w:rsidR="001E515B" w:rsidRPr="000276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</w:t>
      </w:r>
      <w:r w:rsidR="000D02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="000D0219">
        <w:rPr>
          <w:rFonts w:ascii="Arial" w:hAnsi="Arial" w:cs="Arial"/>
        </w:rPr>
        <w:t xml:space="preserve">auditors </w:t>
      </w:r>
      <w:r>
        <w:rPr>
          <w:rFonts w:ascii="Arial" w:hAnsi="Arial" w:cs="Arial"/>
        </w:rPr>
        <w:t xml:space="preserve">identified </w:t>
      </w:r>
      <w:r w:rsidR="00000DA9">
        <w:rPr>
          <w:rFonts w:ascii="Arial" w:hAnsi="Arial" w:cs="Arial"/>
        </w:rPr>
        <w:t>invalid</w:t>
      </w:r>
      <w:r>
        <w:rPr>
          <w:rFonts w:ascii="Arial" w:hAnsi="Arial" w:cs="Arial"/>
        </w:rPr>
        <w:t xml:space="preserve"> disbursements being processed against </w:t>
      </w:r>
      <w:r w:rsidR="00B134AF">
        <w:rPr>
          <w:rFonts w:ascii="Arial" w:hAnsi="Arial" w:cs="Arial"/>
        </w:rPr>
        <w:t>3875</w:t>
      </w:r>
      <w:r>
        <w:rPr>
          <w:rFonts w:ascii="Arial" w:hAnsi="Arial" w:cs="Arial"/>
        </w:rPr>
        <w:t xml:space="preserve"> in </w:t>
      </w:r>
      <w:r w:rsidR="000D0219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list of FY 16 </w:t>
      </w:r>
      <w:r w:rsidR="000D0219">
        <w:rPr>
          <w:rFonts w:ascii="Arial" w:hAnsi="Arial" w:cs="Arial"/>
        </w:rPr>
        <w:t xml:space="preserve">audit </w:t>
      </w:r>
      <w:r>
        <w:rPr>
          <w:rFonts w:ascii="Arial" w:hAnsi="Arial" w:cs="Arial"/>
        </w:rPr>
        <w:t>exceptions.  This is not permitted under VA financial policy Volume II, Chapter 2C, 020201D and 020205.</w:t>
      </w:r>
      <w:r w:rsidR="00A8651B">
        <w:rPr>
          <w:rFonts w:ascii="Arial" w:hAnsi="Arial" w:cs="Arial"/>
        </w:rPr>
        <w:t xml:space="preserve">  </w:t>
      </w:r>
      <w:r w:rsidR="00000DA9">
        <w:rPr>
          <w:rFonts w:ascii="Arial" w:hAnsi="Arial" w:cs="Arial"/>
        </w:rPr>
        <w:t>Program and operating</w:t>
      </w:r>
      <w:r w:rsidR="00A8651B">
        <w:rPr>
          <w:rFonts w:ascii="Arial" w:hAnsi="Arial" w:cs="Arial"/>
        </w:rPr>
        <w:t xml:space="preserve"> disbursements must be processed from the appropriation or fund </w:t>
      </w:r>
      <w:r w:rsidR="00000DA9">
        <w:rPr>
          <w:rFonts w:ascii="Arial" w:hAnsi="Arial" w:cs="Arial"/>
        </w:rPr>
        <w:t>established for those activities</w:t>
      </w:r>
      <w:r w:rsidR="00A8651B">
        <w:rPr>
          <w:rFonts w:ascii="Arial" w:hAnsi="Arial" w:cs="Arial"/>
        </w:rPr>
        <w:t>.</w:t>
      </w:r>
    </w:p>
    <w:p w14:paraId="7780A7E4" w14:textId="77777777" w:rsidR="006B6A65" w:rsidRDefault="006B6A65" w:rsidP="00995A4F">
      <w:pPr>
        <w:rPr>
          <w:rFonts w:ascii="Arial" w:hAnsi="Arial" w:cs="Arial"/>
        </w:rPr>
      </w:pPr>
    </w:p>
    <w:p w14:paraId="1DB5C4A6" w14:textId="77777777" w:rsidR="006B6A65" w:rsidRDefault="00CC29A3" w:rsidP="00995A4F">
      <w:pPr>
        <w:rPr>
          <w:rFonts w:ascii="Arial" w:hAnsi="Arial" w:cs="Arial"/>
        </w:rPr>
      </w:pPr>
      <w:r>
        <w:rPr>
          <w:rFonts w:ascii="Arial" w:hAnsi="Arial" w:cs="Arial"/>
        </w:rPr>
        <w:t>Clearing account</w:t>
      </w:r>
      <w:r w:rsidR="006B6A65">
        <w:rPr>
          <w:rFonts w:ascii="Arial" w:hAnsi="Arial" w:cs="Arial"/>
        </w:rPr>
        <w:t xml:space="preserve"> 3845</w:t>
      </w:r>
      <w:r>
        <w:rPr>
          <w:rFonts w:ascii="Arial" w:hAnsi="Arial" w:cs="Arial"/>
        </w:rPr>
        <w:t xml:space="preserve"> is used for proceeds from sales of personal property.  </w:t>
      </w:r>
      <w:r w:rsidR="00C25084">
        <w:rPr>
          <w:rFonts w:ascii="Arial" w:hAnsi="Arial" w:cs="Arial"/>
        </w:rPr>
        <w:t>Since t</w:t>
      </w:r>
      <w:r>
        <w:rPr>
          <w:rFonts w:ascii="Arial" w:hAnsi="Arial" w:cs="Arial"/>
        </w:rPr>
        <w:t>he</w:t>
      </w:r>
      <w:r w:rsidR="005C6AF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proceeds are available to VA for the fiscal year of sale and one fiscal year thereafter for purchase of replacement equipment</w:t>
      </w:r>
      <w:r w:rsidR="00C25084">
        <w:rPr>
          <w:rFonts w:ascii="Arial" w:hAnsi="Arial" w:cs="Arial"/>
        </w:rPr>
        <w:t>, c</w:t>
      </w:r>
      <w:r w:rsidR="005D3D15">
        <w:rPr>
          <w:rFonts w:ascii="Arial" w:hAnsi="Arial" w:cs="Arial"/>
        </w:rPr>
        <w:t xml:space="preserve">ollections in 3845 do not have to be moved </w:t>
      </w:r>
      <w:r w:rsidR="00C25084">
        <w:rPr>
          <w:rFonts w:ascii="Arial" w:hAnsi="Arial" w:cs="Arial"/>
        </w:rPr>
        <w:t xml:space="preserve">out of that fund </w:t>
      </w:r>
      <w:r w:rsidR="005D3D15">
        <w:rPr>
          <w:rFonts w:ascii="Arial" w:hAnsi="Arial" w:cs="Arial"/>
        </w:rPr>
        <w:t>within 60 days</w:t>
      </w:r>
      <w:r w:rsidR="00C25084">
        <w:rPr>
          <w:rFonts w:ascii="Arial" w:hAnsi="Arial" w:cs="Arial"/>
        </w:rPr>
        <w:t xml:space="preserve">.  </w:t>
      </w:r>
      <w:r w:rsidR="00D56C1E" w:rsidRPr="00D56C1E">
        <w:rPr>
          <w:rFonts w:ascii="Arial" w:hAnsi="Arial" w:cs="Arial"/>
          <w:b/>
        </w:rPr>
        <w:t>No p</w:t>
      </w:r>
      <w:r w:rsidRPr="00D56C1E">
        <w:rPr>
          <w:rFonts w:ascii="Arial" w:hAnsi="Arial" w:cs="Arial"/>
          <w:b/>
        </w:rPr>
        <w:t>ayments</w:t>
      </w:r>
      <w:r w:rsidRPr="00CC29A3">
        <w:rPr>
          <w:rFonts w:ascii="Arial" w:hAnsi="Arial" w:cs="Arial"/>
          <w:b/>
        </w:rPr>
        <w:t xml:space="preserve"> are permitted from </w:t>
      </w:r>
      <w:r w:rsidR="00C25084">
        <w:rPr>
          <w:rFonts w:ascii="Arial" w:hAnsi="Arial" w:cs="Arial"/>
          <w:b/>
        </w:rPr>
        <w:t>3845</w:t>
      </w:r>
      <w:r>
        <w:rPr>
          <w:rFonts w:ascii="Arial" w:hAnsi="Arial" w:cs="Arial"/>
        </w:rPr>
        <w:t xml:space="preserve">, so proceeds must be transferred to an expenditure fund for the purchase.  </w:t>
      </w:r>
    </w:p>
    <w:p w14:paraId="6145E0A8" w14:textId="77777777" w:rsidR="006B6A65" w:rsidRDefault="006B6A65" w:rsidP="00995A4F">
      <w:pPr>
        <w:rPr>
          <w:rFonts w:ascii="Arial" w:hAnsi="Arial" w:cs="Arial"/>
        </w:rPr>
      </w:pPr>
    </w:p>
    <w:p w14:paraId="50C86A64" w14:textId="77777777" w:rsidR="00CD51F4" w:rsidRDefault="00CD51F4" w:rsidP="00CD51F4">
      <w:pPr>
        <w:rPr>
          <w:rStyle w:val="Hyperlink"/>
          <w:rFonts w:ascii="Arial" w:hAnsi="Arial" w:cs="Arial"/>
          <w:color w:val="auto"/>
          <w:u w:val="none"/>
        </w:rPr>
      </w:pPr>
      <w:r w:rsidRPr="003612D1">
        <w:rPr>
          <w:rFonts w:ascii="Arial" w:hAnsi="Arial" w:cs="Arial"/>
        </w:rPr>
        <w:t xml:space="preserve">If you have any questions regarding this News Flash, please contact the </w:t>
      </w:r>
      <w:r w:rsidR="0017544C">
        <w:rPr>
          <w:rFonts w:ascii="Arial" w:hAnsi="Arial" w:cs="Arial"/>
        </w:rPr>
        <w:t xml:space="preserve">VAFSC </w:t>
      </w:r>
      <w:r w:rsidR="00C36F55">
        <w:rPr>
          <w:rFonts w:ascii="Arial" w:hAnsi="Arial" w:cs="Arial"/>
        </w:rPr>
        <w:t xml:space="preserve">Nationwide Accounting </w:t>
      </w:r>
      <w:r w:rsidR="00846D6E">
        <w:rPr>
          <w:rFonts w:ascii="Arial" w:hAnsi="Arial" w:cs="Arial"/>
        </w:rPr>
        <w:t>Section</w:t>
      </w:r>
      <w:r w:rsidRPr="003612D1">
        <w:rPr>
          <w:rFonts w:ascii="Arial" w:hAnsi="Arial" w:cs="Arial"/>
        </w:rPr>
        <w:t xml:space="preserve"> at</w:t>
      </w:r>
      <w:r w:rsidR="005A0000">
        <w:rPr>
          <w:rFonts w:ascii="Arial" w:hAnsi="Arial" w:cs="Arial"/>
        </w:rPr>
        <w:t xml:space="preserve"> </w:t>
      </w:r>
      <w:hyperlink r:id="rId10" w:history="1">
        <w:r w:rsidR="001C756F" w:rsidRPr="00E5550C">
          <w:rPr>
            <w:rStyle w:val="Hyperlink"/>
            <w:rFonts w:ascii="Arial" w:hAnsi="Arial" w:cs="Arial"/>
          </w:rPr>
          <w:t>VAFSCNWAccounting@va.gov</w:t>
        </w:r>
      </w:hyperlink>
      <w:r w:rsidR="001C756F">
        <w:rPr>
          <w:rFonts w:ascii="Arial" w:hAnsi="Arial" w:cs="Arial"/>
        </w:rPr>
        <w:t xml:space="preserve">. </w:t>
      </w:r>
    </w:p>
    <w:p w14:paraId="33A6649B" w14:textId="77777777" w:rsidR="00AE2C25" w:rsidRDefault="00AE2C25" w:rsidP="00CD51F4">
      <w:pPr>
        <w:rPr>
          <w:rStyle w:val="Hyperlink"/>
          <w:rFonts w:ascii="Arial" w:hAnsi="Arial" w:cs="Arial"/>
          <w:color w:val="auto"/>
          <w:u w:val="none"/>
        </w:rPr>
      </w:pPr>
    </w:p>
    <w:p w14:paraId="116E65D4" w14:textId="77777777" w:rsidR="00AE2C25" w:rsidRDefault="00AE2C25" w:rsidP="00CD51F4">
      <w:pPr>
        <w:rPr>
          <w:rStyle w:val="Hyperlink"/>
          <w:rFonts w:ascii="Arial" w:hAnsi="Arial" w:cs="Arial"/>
          <w:color w:val="auto"/>
          <w:u w:val="none"/>
        </w:rPr>
      </w:pPr>
    </w:p>
    <w:sectPr w:rsidR="00AE2C25" w:rsidSect="00167CE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34DF" w14:textId="77777777" w:rsidR="00D84C75" w:rsidRDefault="00D84C75" w:rsidP="00244F3A">
      <w:r>
        <w:separator/>
      </w:r>
    </w:p>
  </w:endnote>
  <w:endnote w:type="continuationSeparator" w:id="0">
    <w:p w14:paraId="36BD0A0B" w14:textId="77777777" w:rsidR="00D84C75" w:rsidRDefault="00D84C75" w:rsidP="002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CFA08" w14:textId="77777777" w:rsidR="001E515B" w:rsidRDefault="001E515B" w:rsidP="00457379">
    <w:pPr>
      <w:rPr>
        <w:rFonts w:ascii="Arial" w:hAnsi="Arial" w:cs="Arial"/>
        <w:b/>
        <w:bCs/>
        <w:sz w:val="14"/>
        <w:szCs w:val="14"/>
      </w:rPr>
    </w:pPr>
  </w:p>
  <w:p w14:paraId="1850CA5E" w14:textId="77777777" w:rsidR="001E515B" w:rsidRDefault="001E515B" w:rsidP="00457379">
    <w:pPr>
      <w:pStyle w:val="Footer"/>
    </w:pPr>
    <w:r w:rsidRPr="00D51930">
      <w:rPr>
        <w:rFonts w:ascii="Arial" w:hAnsi="Arial" w:cs="Arial"/>
        <w:b/>
        <w:bCs/>
        <w:sz w:val="14"/>
        <w:szCs w:val="14"/>
      </w:rPr>
      <w:t>PLEASE PRODUCE LOCALLY FOR ALL THOSE WHO DO NOT ROUTINELY ACCESS EMAIL DUE TO THEIR SPECIALTIES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DD74" w14:textId="77777777" w:rsidR="00D84C75" w:rsidRDefault="00D84C75" w:rsidP="00244F3A">
      <w:r>
        <w:separator/>
      </w:r>
    </w:p>
  </w:footnote>
  <w:footnote w:type="continuationSeparator" w:id="0">
    <w:p w14:paraId="407F07A4" w14:textId="77777777" w:rsidR="00D84C75" w:rsidRDefault="00D84C75" w:rsidP="0024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ACB"/>
    <w:multiLevelType w:val="hybridMultilevel"/>
    <w:tmpl w:val="9016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CCA"/>
    <w:multiLevelType w:val="hybridMultilevel"/>
    <w:tmpl w:val="6896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A67"/>
    <w:multiLevelType w:val="hybridMultilevel"/>
    <w:tmpl w:val="6480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D6167"/>
    <w:multiLevelType w:val="hybridMultilevel"/>
    <w:tmpl w:val="CE40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0A87"/>
    <w:multiLevelType w:val="hybridMultilevel"/>
    <w:tmpl w:val="FE4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0BDB"/>
    <w:multiLevelType w:val="hybridMultilevel"/>
    <w:tmpl w:val="0330A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D0FD0"/>
    <w:multiLevelType w:val="hybridMultilevel"/>
    <w:tmpl w:val="8FC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59A9"/>
    <w:multiLevelType w:val="hybridMultilevel"/>
    <w:tmpl w:val="3F3EA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F6ED9"/>
    <w:multiLevelType w:val="hybridMultilevel"/>
    <w:tmpl w:val="76C4D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1E0DC6"/>
    <w:multiLevelType w:val="hybridMultilevel"/>
    <w:tmpl w:val="C5F6F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756102"/>
    <w:multiLevelType w:val="hybridMultilevel"/>
    <w:tmpl w:val="96EE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D4C86"/>
    <w:multiLevelType w:val="hybridMultilevel"/>
    <w:tmpl w:val="9036FEE4"/>
    <w:lvl w:ilvl="0" w:tplc="7CCAB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D2E4B"/>
    <w:multiLevelType w:val="hybridMultilevel"/>
    <w:tmpl w:val="9DBE1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139E9"/>
    <w:multiLevelType w:val="hybridMultilevel"/>
    <w:tmpl w:val="BFA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6FD"/>
    <w:multiLevelType w:val="hybridMultilevel"/>
    <w:tmpl w:val="C0F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A7"/>
    <w:rsid w:val="00000DA9"/>
    <w:rsid w:val="00011B86"/>
    <w:rsid w:val="0002767B"/>
    <w:rsid w:val="000456F1"/>
    <w:rsid w:val="0004738A"/>
    <w:rsid w:val="000519C7"/>
    <w:rsid w:val="00053B7F"/>
    <w:rsid w:val="00056D10"/>
    <w:rsid w:val="000711E3"/>
    <w:rsid w:val="00071E40"/>
    <w:rsid w:val="00080A3C"/>
    <w:rsid w:val="00086EC9"/>
    <w:rsid w:val="000937C6"/>
    <w:rsid w:val="000A0779"/>
    <w:rsid w:val="000A46DC"/>
    <w:rsid w:val="000B1B76"/>
    <w:rsid w:val="000C0074"/>
    <w:rsid w:val="000C67D8"/>
    <w:rsid w:val="000D0219"/>
    <w:rsid w:val="000E2411"/>
    <w:rsid w:val="000E36A6"/>
    <w:rsid w:val="000E3D4C"/>
    <w:rsid w:val="000E5A83"/>
    <w:rsid w:val="000E68EF"/>
    <w:rsid w:val="000F3A84"/>
    <w:rsid w:val="000F4B1D"/>
    <w:rsid w:val="001101CF"/>
    <w:rsid w:val="00115AD1"/>
    <w:rsid w:val="001170CD"/>
    <w:rsid w:val="00123107"/>
    <w:rsid w:val="001255EE"/>
    <w:rsid w:val="00127963"/>
    <w:rsid w:val="001279EC"/>
    <w:rsid w:val="00130EEE"/>
    <w:rsid w:val="00131280"/>
    <w:rsid w:val="00140743"/>
    <w:rsid w:val="001526DD"/>
    <w:rsid w:val="00153559"/>
    <w:rsid w:val="001547C1"/>
    <w:rsid w:val="0016205B"/>
    <w:rsid w:val="0016618D"/>
    <w:rsid w:val="00167CE5"/>
    <w:rsid w:val="001727E9"/>
    <w:rsid w:val="0017544C"/>
    <w:rsid w:val="00190A0E"/>
    <w:rsid w:val="00193C9B"/>
    <w:rsid w:val="001942CB"/>
    <w:rsid w:val="001A0FC6"/>
    <w:rsid w:val="001C752C"/>
    <w:rsid w:val="001C756F"/>
    <w:rsid w:val="001C7F63"/>
    <w:rsid w:val="001D2F06"/>
    <w:rsid w:val="001E515B"/>
    <w:rsid w:val="001F5287"/>
    <w:rsid w:val="001F5C99"/>
    <w:rsid w:val="002022BB"/>
    <w:rsid w:val="00210811"/>
    <w:rsid w:val="002325B0"/>
    <w:rsid w:val="00235350"/>
    <w:rsid w:val="00242A42"/>
    <w:rsid w:val="00244F3A"/>
    <w:rsid w:val="0025026F"/>
    <w:rsid w:val="0026646D"/>
    <w:rsid w:val="00270078"/>
    <w:rsid w:val="00271B17"/>
    <w:rsid w:val="002740FB"/>
    <w:rsid w:val="00280354"/>
    <w:rsid w:val="00284BEE"/>
    <w:rsid w:val="0028677A"/>
    <w:rsid w:val="0029152F"/>
    <w:rsid w:val="002A0E54"/>
    <w:rsid w:val="002A5136"/>
    <w:rsid w:val="002C50AE"/>
    <w:rsid w:val="002D0CB0"/>
    <w:rsid w:val="002E26E0"/>
    <w:rsid w:val="002F0CA9"/>
    <w:rsid w:val="002F3FD4"/>
    <w:rsid w:val="0030313C"/>
    <w:rsid w:val="00311F96"/>
    <w:rsid w:val="00316556"/>
    <w:rsid w:val="00332F80"/>
    <w:rsid w:val="0033713E"/>
    <w:rsid w:val="00355A32"/>
    <w:rsid w:val="00360B1E"/>
    <w:rsid w:val="003612D1"/>
    <w:rsid w:val="00366488"/>
    <w:rsid w:val="003678DA"/>
    <w:rsid w:val="0038013C"/>
    <w:rsid w:val="003837F2"/>
    <w:rsid w:val="00385ACC"/>
    <w:rsid w:val="003945EA"/>
    <w:rsid w:val="003952C4"/>
    <w:rsid w:val="00396126"/>
    <w:rsid w:val="003A2DF4"/>
    <w:rsid w:val="003A3E55"/>
    <w:rsid w:val="003B42DA"/>
    <w:rsid w:val="003B5154"/>
    <w:rsid w:val="003B63C0"/>
    <w:rsid w:val="003C5691"/>
    <w:rsid w:val="003E14EA"/>
    <w:rsid w:val="003F0297"/>
    <w:rsid w:val="003F5AA0"/>
    <w:rsid w:val="0040134A"/>
    <w:rsid w:val="00402CD1"/>
    <w:rsid w:val="00404224"/>
    <w:rsid w:val="004049B2"/>
    <w:rsid w:val="00415AC8"/>
    <w:rsid w:val="00422B44"/>
    <w:rsid w:val="00440299"/>
    <w:rsid w:val="00441A28"/>
    <w:rsid w:val="00443FB6"/>
    <w:rsid w:val="00451A4E"/>
    <w:rsid w:val="00457379"/>
    <w:rsid w:val="00461401"/>
    <w:rsid w:val="004854B7"/>
    <w:rsid w:val="00495528"/>
    <w:rsid w:val="004A20F6"/>
    <w:rsid w:val="004A3A2A"/>
    <w:rsid w:val="004B0EEC"/>
    <w:rsid w:val="004B2754"/>
    <w:rsid w:val="004B3EAE"/>
    <w:rsid w:val="004C72BE"/>
    <w:rsid w:val="004D4210"/>
    <w:rsid w:val="004D45C0"/>
    <w:rsid w:val="004D65BE"/>
    <w:rsid w:val="004D77B8"/>
    <w:rsid w:val="004E4B6D"/>
    <w:rsid w:val="004E625F"/>
    <w:rsid w:val="004E6926"/>
    <w:rsid w:val="004E6B3D"/>
    <w:rsid w:val="004E70EC"/>
    <w:rsid w:val="00514B1D"/>
    <w:rsid w:val="0052152B"/>
    <w:rsid w:val="00521AE1"/>
    <w:rsid w:val="00523439"/>
    <w:rsid w:val="005265F7"/>
    <w:rsid w:val="005325AF"/>
    <w:rsid w:val="00546140"/>
    <w:rsid w:val="00546356"/>
    <w:rsid w:val="00562C54"/>
    <w:rsid w:val="005634AD"/>
    <w:rsid w:val="005639EA"/>
    <w:rsid w:val="0056492F"/>
    <w:rsid w:val="005745D6"/>
    <w:rsid w:val="005806B7"/>
    <w:rsid w:val="00580B49"/>
    <w:rsid w:val="005817EA"/>
    <w:rsid w:val="00590FBA"/>
    <w:rsid w:val="005936C8"/>
    <w:rsid w:val="00594B1C"/>
    <w:rsid w:val="005A0000"/>
    <w:rsid w:val="005A6399"/>
    <w:rsid w:val="005A7BF7"/>
    <w:rsid w:val="005A7DBD"/>
    <w:rsid w:val="005B2AE0"/>
    <w:rsid w:val="005B5686"/>
    <w:rsid w:val="005C0106"/>
    <w:rsid w:val="005C6AF7"/>
    <w:rsid w:val="005D3311"/>
    <w:rsid w:val="005D3D15"/>
    <w:rsid w:val="005E2D23"/>
    <w:rsid w:val="005F6D9D"/>
    <w:rsid w:val="00611C02"/>
    <w:rsid w:val="00617295"/>
    <w:rsid w:val="006240E0"/>
    <w:rsid w:val="006264A4"/>
    <w:rsid w:val="00630C47"/>
    <w:rsid w:val="00644F46"/>
    <w:rsid w:val="0065448C"/>
    <w:rsid w:val="00661ADF"/>
    <w:rsid w:val="00665E48"/>
    <w:rsid w:val="00670F8F"/>
    <w:rsid w:val="006824B0"/>
    <w:rsid w:val="00682DB7"/>
    <w:rsid w:val="00696188"/>
    <w:rsid w:val="006A3C75"/>
    <w:rsid w:val="006A3D1D"/>
    <w:rsid w:val="006A42A2"/>
    <w:rsid w:val="006A6047"/>
    <w:rsid w:val="006B22EF"/>
    <w:rsid w:val="006B2D44"/>
    <w:rsid w:val="006B6A65"/>
    <w:rsid w:val="006C2FB6"/>
    <w:rsid w:val="006C5E24"/>
    <w:rsid w:val="006E0F4C"/>
    <w:rsid w:val="006E63C7"/>
    <w:rsid w:val="006F0C13"/>
    <w:rsid w:val="007144FF"/>
    <w:rsid w:val="00724DD3"/>
    <w:rsid w:val="00740A46"/>
    <w:rsid w:val="00741548"/>
    <w:rsid w:val="0077112C"/>
    <w:rsid w:val="0077263D"/>
    <w:rsid w:val="0077764F"/>
    <w:rsid w:val="007A1AB6"/>
    <w:rsid w:val="007B0AF5"/>
    <w:rsid w:val="007B4E1B"/>
    <w:rsid w:val="007B6A33"/>
    <w:rsid w:val="007B78C7"/>
    <w:rsid w:val="007C4E0A"/>
    <w:rsid w:val="007D5E6F"/>
    <w:rsid w:val="007E5537"/>
    <w:rsid w:val="00807BB0"/>
    <w:rsid w:val="00810E8C"/>
    <w:rsid w:val="00813C6B"/>
    <w:rsid w:val="008168B3"/>
    <w:rsid w:val="00817BC9"/>
    <w:rsid w:val="00840F7C"/>
    <w:rsid w:val="00842560"/>
    <w:rsid w:val="00844587"/>
    <w:rsid w:val="008465B2"/>
    <w:rsid w:val="00846D6E"/>
    <w:rsid w:val="00847419"/>
    <w:rsid w:val="0085262D"/>
    <w:rsid w:val="00852874"/>
    <w:rsid w:val="008662A7"/>
    <w:rsid w:val="00873C5B"/>
    <w:rsid w:val="00874159"/>
    <w:rsid w:val="00883B7F"/>
    <w:rsid w:val="0089684F"/>
    <w:rsid w:val="008A571E"/>
    <w:rsid w:val="008B2BF1"/>
    <w:rsid w:val="008C0C99"/>
    <w:rsid w:val="008C26DB"/>
    <w:rsid w:val="008D150A"/>
    <w:rsid w:val="008D155C"/>
    <w:rsid w:val="008D2028"/>
    <w:rsid w:val="008D63F2"/>
    <w:rsid w:val="008F5C74"/>
    <w:rsid w:val="009002D8"/>
    <w:rsid w:val="009179CA"/>
    <w:rsid w:val="00931568"/>
    <w:rsid w:val="00934016"/>
    <w:rsid w:val="00941D07"/>
    <w:rsid w:val="00950659"/>
    <w:rsid w:val="00953BB2"/>
    <w:rsid w:val="009627B1"/>
    <w:rsid w:val="0096505E"/>
    <w:rsid w:val="00965C96"/>
    <w:rsid w:val="0096609E"/>
    <w:rsid w:val="0096635F"/>
    <w:rsid w:val="00973B6D"/>
    <w:rsid w:val="00976CC8"/>
    <w:rsid w:val="00976F2C"/>
    <w:rsid w:val="00977115"/>
    <w:rsid w:val="00981BCA"/>
    <w:rsid w:val="00987F47"/>
    <w:rsid w:val="00992C3D"/>
    <w:rsid w:val="00995A4F"/>
    <w:rsid w:val="00997197"/>
    <w:rsid w:val="009C569C"/>
    <w:rsid w:val="009D1A5D"/>
    <w:rsid w:val="009D6B54"/>
    <w:rsid w:val="009E1EB1"/>
    <w:rsid w:val="009E52E2"/>
    <w:rsid w:val="009F57F6"/>
    <w:rsid w:val="00A03F46"/>
    <w:rsid w:val="00A04DC6"/>
    <w:rsid w:val="00A1134F"/>
    <w:rsid w:val="00A1237F"/>
    <w:rsid w:val="00A13BAB"/>
    <w:rsid w:val="00A1446B"/>
    <w:rsid w:val="00A16BBA"/>
    <w:rsid w:val="00A24F1F"/>
    <w:rsid w:val="00A31FB0"/>
    <w:rsid w:val="00A3226A"/>
    <w:rsid w:val="00A50435"/>
    <w:rsid w:val="00A57D2C"/>
    <w:rsid w:val="00A70A4D"/>
    <w:rsid w:val="00A8651B"/>
    <w:rsid w:val="00A90FF2"/>
    <w:rsid w:val="00A970AF"/>
    <w:rsid w:val="00AA2221"/>
    <w:rsid w:val="00AA5B7E"/>
    <w:rsid w:val="00AB3367"/>
    <w:rsid w:val="00AB3450"/>
    <w:rsid w:val="00AC1DE0"/>
    <w:rsid w:val="00AC2CC6"/>
    <w:rsid w:val="00AC3336"/>
    <w:rsid w:val="00AE2C25"/>
    <w:rsid w:val="00AE7D69"/>
    <w:rsid w:val="00B00495"/>
    <w:rsid w:val="00B0740F"/>
    <w:rsid w:val="00B134AF"/>
    <w:rsid w:val="00B14D33"/>
    <w:rsid w:val="00B1701B"/>
    <w:rsid w:val="00B23924"/>
    <w:rsid w:val="00B24D96"/>
    <w:rsid w:val="00B2500D"/>
    <w:rsid w:val="00B442F7"/>
    <w:rsid w:val="00B4507D"/>
    <w:rsid w:val="00B46C70"/>
    <w:rsid w:val="00B539EC"/>
    <w:rsid w:val="00B60538"/>
    <w:rsid w:val="00B67EA1"/>
    <w:rsid w:val="00B70D80"/>
    <w:rsid w:val="00B7309E"/>
    <w:rsid w:val="00B752DE"/>
    <w:rsid w:val="00B834B2"/>
    <w:rsid w:val="00B83FE5"/>
    <w:rsid w:val="00BA3FC2"/>
    <w:rsid w:val="00BA5757"/>
    <w:rsid w:val="00BB2159"/>
    <w:rsid w:val="00BD4A3D"/>
    <w:rsid w:val="00BE65FC"/>
    <w:rsid w:val="00BF2871"/>
    <w:rsid w:val="00BF602C"/>
    <w:rsid w:val="00BF7006"/>
    <w:rsid w:val="00C22452"/>
    <w:rsid w:val="00C246F2"/>
    <w:rsid w:val="00C25084"/>
    <w:rsid w:val="00C27A88"/>
    <w:rsid w:val="00C31D0A"/>
    <w:rsid w:val="00C36F55"/>
    <w:rsid w:val="00C42FBF"/>
    <w:rsid w:val="00C44D33"/>
    <w:rsid w:val="00C55C61"/>
    <w:rsid w:val="00C6122E"/>
    <w:rsid w:val="00C63685"/>
    <w:rsid w:val="00C65087"/>
    <w:rsid w:val="00C715CB"/>
    <w:rsid w:val="00C71822"/>
    <w:rsid w:val="00C74402"/>
    <w:rsid w:val="00C82010"/>
    <w:rsid w:val="00C946B9"/>
    <w:rsid w:val="00CA6688"/>
    <w:rsid w:val="00CC1625"/>
    <w:rsid w:val="00CC29A3"/>
    <w:rsid w:val="00CD51F4"/>
    <w:rsid w:val="00CE385A"/>
    <w:rsid w:val="00CE520B"/>
    <w:rsid w:val="00CE5715"/>
    <w:rsid w:val="00CF4182"/>
    <w:rsid w:val="00D03284"/>
    <w:rsid w:val="00D11172"/>
    <w:rsid w:val="00D22CCB"/>
    <w:rsid w:val="00D5627C"/>
    <w:rsid w:val="00D56C1E"/>
    <w:rsid w:val="00D611B1"/>
    <w:rsid w:val="00D61B34"/>
    <w:rsid w:val="00D84C75"/>
    <w:rsid w:val="00D85437"/>
    <w:rsid w:val="00DA0FE3"/>
    <w:rsid w:val="00DA5C05"/>
    <w:rsid w:val="00DC1644"/>
    <w:rsid w:val="00DD2A7B"/>
    <w:rsid w:val="00DE16B5"/>
    <w:rsid w:val="00DE49A4"/>
    <w:rsid w:val="00DE6B7C"/>
    <w:rsid w:val="00DF4DE8"/>
    <w:rsid w:val="00E043C5"/>
    <w:rsid w:val="00E07714"/>
    <w:rsid w:val="00E126C4"/>
    <w:rsid w:val="00E167E9"/>
    <w:rsid w:val="00E31325"/>
    <w:rsid w:val="00E377C0"/>
    <w:rsid w:val="00E406B4"/>
    <w:rsid w:val="00E43F1E"/>
    <w:rsid w:val="00E45516"/>
    <w:rsid w:val="00E469FF"/>
    <w:rsid w:val="00E47A88"/>
    <w:rsid w:val="00E517B7"/>
    <w:rsid w:val="00E523A8"/>
    <w:rsid w:val="00E56D23"/>
    <w:rsid w:val="00E61A36"/>
    <w:rsid w:val="00E6595B"/>
    <w:rsid w:val="00E70AC9"/>
    <w:rsid w:val="00E73C21"/>
    <w:rsid w:val="00E74016"/>
    <w:rsid w:val="00E76977"/>
    <w:rsid w:val="00E76A68"/>
    <w:rsid w:val="00E87A1A"/>
    <w:rsid w:val="00E87D24"/>
    <w:rsid w:val="00E92E4C"/>
    <w:rsid w:val="00E94D0C"/>
    <w:rsid w:val="00EA01D4"/>
    <w:rsid w:val="00EA077A"/>
    <w:rsid w:val="00EA70F0"/>
    <w:rsid w:val="00EC6596"/>
    <w:rsid w:val="00ED2740"/>
    <w:rsid w:val="00ED5BF1"/>
    <w:rsid w:val="00ED7C16"/>
    <w:rsid w:val="00EE537B"/>
    <w:rsid w:val="00EE7704"/>
    <w:rsid w:val="00EF65C1"/>
    <w:rsid w:val="00EF6C15"/>
    <w:rsid w:val="00EF7659"/>
    <w:rsid w:val="00F00E38"/>
    <w:rsid w:val="00F058FD"/>
    <w:rsid w:val="00F05B52"/>
    <w:rsid w:val="00F15964"/>
    <w:rsid w:val="00F33F89"/>
    <w:rsid w:val="00F44857"/>
    <w:rsid w:val="00F549BE"/>
    <w:rsid w:val="00F560ED"/>
    <w:rsid w:val="00F634F2"/>
    <w:rsid w:val="00F6389D"/>
    <w:rsid w:val="00F712F0"/>
    <w:rsid w:val="00F946F2"/>
    <w:rsid w:val="00FC52EB"/>
    <w:rsid w:val="00FF190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70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2A7"/>
    <w:rPr>
      <w:sz w:val="24"/>
      <w:szCs w:val="24"/>
    </w:rPr>
  </w:style>
  <w:style w:type="paragraph" w:styleId="Heading1">
    <w:name w:val="heading 1"/>
    <w:basedOn w:val="Normal"/>
    <w:next w:val="Normal"/>
    <w:qFormat/>
    <w:rsid w:val="008662A7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62A7"/>
    <w:rPr>
      <w:color w:val="0000FF"/>
      <w:u w:val="single"/>
    </w:rPr>
  </w:style>
  <w:style w:type="paragraph" w:styleId="BalloonText">
    <w:name w:val="Balloon Text"/>
    <w:basedOn w:val="Normal"/>
    <w:semiHidden/>
    <w:rsid w:val="004A20F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94D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E45516"/>
    <w:rPr>
      <w:color w:val="800080"/>
      <w:u w:val="single"/>
    </w:rPr>
  </w:style>
  <w:style w:type="character" w:styleId="CommentReference">
    <w:name w:val="annotation reference"/>
    <w:rsid w:val="004B3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3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EAE"/>
  </w:style>
  <w:style w:type="paragraph" w:styleId="CommentSubject">
    <w:name w:val="annotation subject"/>
    <w:basedOn w:val="CommentText"/>
    <w:next w:val="CommentText"/>
    <w:link w:val="CommentSubjectChar"/>
    <w:rsid w:val="004B3EA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B3EA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93C9B"/>
    <w:rPr>
      <w:rFonts w:ascii="Arial" w:eastAsia="Calibri" w:hAnsi="Arial"/>
      <w:color w:val="0000FF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193C9B"/>
    <w:rPr>
      <w:rFonts w:ascii="Arial" w:eastAsia="Calibri" w:hAnsi="Arial" w:cs="Arial"/>
      <w:color w:val="0000FF"/>
      <w:sz w:val="22"/>
      <w:szCs w:val="22"/>
    </w:rPr>
  </w:style>
  <w:style w:type="paragraph" w:styleId="ListParagraph">
    <w:name w:val="List Paragraph"/>
    <w:basedOn w:val="Normal"/>
    <w:uiPriority w:val="34"/>
    <w:qFormat/>
    <w:rsid w:val="003B42DA"/>
    <w:pPr>
      <w:ind w:left="720"/>
      <w:contextualSpacing/>
    </w:pPr>
  </w:style>
  <w:style w:type="paragraph" w:styleId="Header">
    <w:name w:val="header"/>
    <w:basedOn w:val="Normal"/>
    <w:link w:val="HeaderChar"/>
    <w:rsid w:val="00244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4F3A"/>
    <w:rPr>
      <w:sz w:val="24"/>
      <w:szCs w:val="24"/>
    </w:rPr>
  </w:style>
  <w:style w:type="paragraph" w:styleId="Footer">
    <w:name w:val="footer"/>
    <w:basedOn w:val="Normal"/>
    <w:link w:val="FooterChar"/>
    <w:rsid w:val="00244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4F3A"/>
    <w:rPr>
      <w:sz w:val="24"/>
      <w:szCs w:val="24"/>
    </w:rPr>
  </w:style>
  <w:style w:type="table" w:styleId="TableGrid">
    <w:name w:val="Table Grid"/>
    <w:basedOn w:val="TableNormal"/>
    <w:uiPriority w:val="59"/>
    <w:rsid w:val="0074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AE2C25"/>
    <w:rPr>
      <w:rFonts w:cs="Calibri"/>
      <w:color w:val="000000"/>
      <w:sz w:val="20"/>
      <w:szCs w:val="20"/>
    </w:rPr>
  </w:style>
  <w:style w:type="character" w:customStyle="1" w:styleId="A15">
    <w:name w:val="A15"/>
    <w:uiPriority w:val="99"/>
    <w:rsid w:val="00AE2C25"/>
    <w:rPr>
      <w:rFonts w:cs="Calibri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FSCNWAccounting@v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7126-6224-458E-A288-24613F8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FSC NewsFlash FY17 Issue 21</vt:lpstr>
    </vt:vector>
  </TitlesOfParts>
  <Manager/>
  <Company/>
  <LinksUpToDate>false</LinksUpToDate>
  <CharactersWithSpaces>1543</CharactersWithSpaces>
  <SharedDoc>false</SharedDoc>
  <HLinks>
    <vt:vector size="12" baseType="variant">
      <vt:variant>
        <vt:i4>5308514</vt:i4>
      </vt:variant>
      <vt:variant>
        <vt:i4>3</vt:i4>
      </vt:variant>
      <vt:variant>
        <vt:i4>0</vt:i4>
      </vt:variant>
      <vt:variant>
        <vt:i4>5</vt:i4>
      </vt:variant>
      <vt:variant>
        <vt:lpwstr>mailto:vafscetravel@va.gov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http://www.gsa.gov/portal/content/100715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 NewsFlash FY17 Issue 21</dc:title>
  <dc:creator/>
  <cp:keywords>Department of Veterans Affairs, Veterans Benefits Administration, STAFF</cp:keywords>
  <cp:lastModifiedBy/>
  <cp:revision>1</cp:revision>
  <dcterms:created xsi:type="dcterms:W3CDTF">2019-03-05T15:10:00Z</dcterms:created>
  <dcterms:modified xsi:type="dcterms:W3CDTF">2019-03-13T16:39:00Z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