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6143E" w14:textId="77777777" w:rsidR="0000682A" w:rsidRPr="00770FDF" w:rsidRDefault="0000682A" w:rsidP="0000682A">
      <w:pPr>
        <w:spacing w:before="1440" w:after="1080" w:line="276" w:lineRule="auto"/>
        <w:jc w:val="center"/>
        <w:rPr>
          <w:b/>
          <w:sz w:val="72"/>
          <w:szCs w:val="72"/>
        </w:rPr>
      </w:pPr>
      <w:bookmarkStart w:id="0" w:name="_Toc343007190"/>
      <w:bookmarkStart w:id="1" w:name="_GoBack"/>
      <w:bookmarkEnd w:id="1"/>
      <w:r w:rsidRPr="00770FDF">
        <w:rPr>
          <w:b/>
          <w:sz w:val="72"/>
          <w:szCs w:val="72"/>
        </w:rPr>
        <w:t xml:space="preserve">VBA </w:t>
      </w:r>
      <w:r w:rsidR="00EC50F1" w:rsidRPr="00770FDF">
        <w:rPr>
          <w:b/>
          <w:sz w:val="72"/>
          <w:szCs w:val="72"/>
        </w:rPr>
        <w:t>Accounts Receivable</w:t>
      </w:r>
      <w:r w:rsidRPr="00770FDF">
        <w:rPr>
          <w:b/>
          <w:sz w:val="72"/>
          <w:szCs w:val="72"/>
        </w:rPr>
        <w:t xml:space="preserve"> </w:t>
      </w:r>
    </w:p>
    <w:p w14:paraId="32936777" w14:textId="77777777" w:rsidR="0000682A" w:rsidRPr="00770FDF" w:rsidRDefault="0000682A" w:rsidP="0000682A">
      <w:pPr>
        <w:spacing w:after="200" w:line="276" w:lineRule="auto"/>
        <w:jc w:val="center"/>
        <w:rPr>
          <w:b/>
          <w:sz w:val="72"/>
          <w:szCs w:val="72"/>
        </w:rPr>
      </w:pPr>
      <w:r w:rsidRPr="00770FDF">
        <w:rPr>
          <w:b/>
          <w:sz w:val="72"/>
          <w:szCs w:val="72"/>
        </w:rPr>
        <w:t>Webinar</w:t>
      </w:r>
    </w:p>
    <w:p w14:paraId="5BF50B02" w14:textId="77777777" w:rsidR="0000682A" w:rsidRPr="00770FDF" w:rsidRDefault="0000682A" w:rsidP="0000682A">
      <w:pPr>
        <w:spacing w:after="200" w:line="276" w:lineRule="auto"/>
        <w:jc w:val="center"/>
        <w:rPr>
          <w:b/>
          <w:sz w:val="72"/>
          <w:szCs w:val="72"/>
        </w:rPr>
      </w:pPr>
      <w:r w:rsidRPr="00770FDF">
        <w:rPr>
          <w:b/>
          <w:sz w:val="72"/>
          <w:szCs w:val="72"/>
        </w:rPr>
        <w:t xml:space="preserve">Question &amp; Answer </w:t>
      </w:r>
    </w:p>
    <w:p w14:paraId="62B43034" w14:textId="77777777" w:rsidR="0000682A" w:rsidRPr="00770FDF" w:rsidRDefault="0000682A" w:rsidP="0000682A">
      <w:pPr>
        <w:spacing w:after="200" w:line="276" w:lineRule="auto"/>
        <w:jc w:val="center"/>
        <w:rPr>
          <w:b/>
          <w:sz w:val="72"/>
          <w:szCs w:val="72"/>
        </w:rPr>
      </w:pPr>
      <w:r w:rsidRPr="00770FDF">
        <w:rPr>
          <w:b/>
          <w:sz w:val="72"/>
          <w:szCs w:val="72"/>
        </w:rPr>
        <w:t>Resource Guide</w:t>
      </w:r>
    </w:p>
    <w:p w14:paraId="35AA2AFC" w14:textId="77777777" w:rsidR="0000682A" w:rsidRPr="00770FDF" w:rsidRDefault="00EC50F1" w:rsidP="0000682A">
      <w:pPr>
        <w:spacing w:before="1440" w:after="840" w:line="276" w:lineRule="auto"/>
        <w:jc w:val="center"/>
        <w:rPr>
          <w:b/>
          <w:sz w:val="72"/>
          <w:szCs w:val="72"/>
        </w:rPr>
      </w:pPr>
      <w:r w:rsidRPr="00770FDF">
        <w:rPr>
          <w:b/>
          <w:sz w:val="72"/>
          <w:szCs w:val="72"/>
        </w:rPr>
        <w:t>November</w:t>
      </w:r>
      <w:r w:rsidR="0000682A" w:rsidRPr="00770FDF">
        <w:rPr>
          <w:b/>
          <w:sz w:val="72"/>
          <w:szCs w:val="72"/>
        </w:rPr>
        <w:t xml:space="preserve"> </w:t>
      </w:r>
      <w:r w:rsidR="00CC2364">
        <w:rPr>
          <w:b/>
          <w:sz w:val="72"/>
          <w:szCs w:val="72"/>
        </w:rPr>
        <w:t>2019</w:t>
      </w:r>
    </w:p>
    <w:p w14:paraId="5C3FD532" w14:textId="77777777" w:rsidR="0000682A" w:rsidRPr="00770FDF" w:rsidRDefault="0000682A" w:rsidP="0000682A">
      <w:pPr>
        <w:rPr>
          <w:b/>
          <w:sz w:val="32"/>
          <w:szCs w:val="32"/>
        </w:rPr>
      </w:pPr>
      <w:r w:rsidRPr="00770FDF">
        <w:rPr>
          <w:b/>
          <w:sz w:val="32"/>
          <w:szCs w:val="32"/>
        </w:rPr>
        <w:t xml:space="preserve">Sponsored by: </w:t>
      </w:r>
    </w:p>
    <w:p w14:paraId="17E2BC3A" w14:textId="77777777" w:rsidR="0000682A" w:rsidRPr="00770FDF" w:rsidRDefault="0000682A" w:rsidP="0000682A">
      <w:pPr>
        <w:pStyle w:val="ListParagraph"/>
        <w:numPr>
          <w:ilvl w:val="0"/>
          <w:numId w:val="1"/>
        </w:numPr>
        <w:rPr>
          <w:sz w:val="24"/>
          <w:szCs w:val="24"/>
        </w:rPr>
      </w:pPr>
      <w:r w:rsidRPr="00770FDF">
        <w:rPr>
          <w:sz w:val="24"/>
          <w:szCs w:val="24"/>
        </w:rPr>
        <w:t>Veterans Benefits Administration (VBA)</w:t>
      </w:r>
    </w:p>
    <w:p w14:paraId="705BC779" w14:textId="77777777" w:rsidR="0000682A" w:rsidRPr="00770FDF" w:rsidRDefault="0000682A" w:rsidP="0000682A">
      <w:pPr>
        <w:pStyle w:val="ListParagraph"/>
        <w:numPr>
          <w:ilvl w:val="0"/>
          <w:numId w:val="1"/>
        </w:numPr>
        <w:rPr>
          <w:sz w:val="24"/>
          <w:szCs w:val="24"/>
        </w:rPr>
      </w:pPr>
      <w:r w:rsidRPr="00770FDF">
        <w:rPr>
          <w:sz w:val="24"/>
          <w:szCs w:val="24"/>
        </w:rPr>
        <w:t>Office of Financial Management (OFM)</w:t>
      </w:r>
    </w:p>
    <w:p w14:paraId="0C0054F6" w14:textId="77777777" w:rsidR="0000682A" w:rsidRPr="00770FDF" w:rsidRDefault="0000682A" w:rsidP="0000682A">
      <w:pPr>
        <w:pStyle w:val="ListParagraph"/>
        <w:numPr>
          <w:ilvl w:val="0"/>
          <w:numId w:val="1"/>
        </w:numPr>
        <w:rPr>
          <w:sz w:val="24"/>
          <w:szCs w:val="24"/>
        </w:rPr>
      </w:pPr>
      <w:r w:rsidRPr="00770FDF">
        <w:rPr>
          <w:sz w:val="24"/>
          <w:szCs w:val="24"/>
        </w:rPr>
        <w:t>VBA Administrative and Loan Accounting Center (ALAC)</w:t>
      </w:r>
    </w:p>
    <w:bookmarkEnd w:id="0"/>
    <w:p w14:paraId="03C81958" w14:textId="77777777" w:rsidR="00850D80" w:rsidRPr="00770FDF" w:rsidRDefault="002E3D91"/>
    <w:p w14:paraId="2E80EC62" w14:textId="77777777" w:rsidR="0000682A" w:rsidRPr="00770FDF" w:rsidRDefault="0000682A"/>
    <w:p w14:paraId="22F933E9" w14:textId="77777777" w:rsidR="0000682A" w:rsidRPr="00770FDF" w:rsidRDefault="0000682A" w:rsidP="0000682A">
      <w:pPr>
        <w:spacing w:line="276" w:lineRule="auto"/>
      </w:pPr>
      <w:r w:rsidRPr="00770FDF">
        <w:lastRenderedPageBreak/>
        <w:t xml:space="preserve">This resource guide provides answers to questions asked during the VBA </w:t>
      </w:r>
      <w:r w:rsidR="00EC50F1" w:rsidRPr="00770FDF">
        <w:t xml:space="preserve">Accounts </w:t>
      </w:r>
      <w:r w:rsidR="00697A27" w:rsidRPr="00770FDF">
        <w:t>Receivable webinar</w:t>
      </w:r>
      <w:r w:rsidRPr="00770FDF">
        <w:t xml:space="preserve"> delivered by VBA Administrative Loan and Accounting Center (ALAC) on </w:t>
      </w:r>
      <w:r w:rsidR="00EC50F1" w:rsidRPr="00770FDF">
        <w:t>November 29</w:t>
      </w:r>
      <w:r w:rsidR="00834983" w:rsidRPr="00770FDF">
        <w:t>, 2018</w:t>
      </w:r>
      <w:r w:rsidRPr="00770FDF">
        <w:t>.   The questions are listed in the order they were asked during the training.</w:t>
      </w:r>
    </w:p>
    <w:tbl>
      <w:tblPr>
        <w:tblStyle w:val="TableGrid"/>
        <w:tblW w:w="10710" w:type="dxa"/>
        <w:tblInd w:w="-5" w:type="dxa"/>
        <w:shd w:val="clear" w:color="auto" w:fill="DBE5F1" w:themeFill="accent1" w:themeFillTint="33"/>
        <w:tblLayout w:type="fixed"/>
        <w:tblLook w:val="04A0" w:firstRow="1" w:lastRow="0" w:firstColumn="1" w:lastColumn="0" w:noHBand="0" w:noVBand="1"/>
      </w:tblPr>
      <w:tblGrid>
        <w:gridCol w:w="3675"/>
        <w:gridCol w:w="7035"/>
      </w:tblGrid>
      <w:tr w:rsidR="00697A27" w:rsidRPr="00770FDF" w14:paraId="3D53FC23" w14:textId="77777777" w:rsidTr="000E349C">
        <w:trPr>
          <w:tblHeader/>
        </w:trPr>
        <w:tc>
          <w:tcPr>
            <w:tcW w:w="3675" w:type="dxa"/>
            <w:shd w:val="clear" w:color="auto" w:fill="DBE5F1" w:themeFill="accent1" w:themeFillTint="33"/>
          </w:tcPr>
          <w:p w14:paraId="4D492FFC" w14:textId="77777777" w:rsidR="0000682A" w:rsidRPr="00770FDF" w:rsidRDefault="00EC50F1" w:rsidP="00567B35">
            <w:pPr>
              <w:pStyle w:val="TableText"/>
              <w:jc w:val="center"/>
              <w:rPr>
                <w:b/>
              </w:rPr>
            </w:pPr>
            <w:r w:rsidRPr="00770FDF">
              <w:rPr>
                <w:b/>
              </w:rPr>
              <w:t>Account</w:t>
            </w:r>
            <w:r w:rsidR="00683872">
              <w:rPr>
                <w:b/>
              </w:rPr>
              <w:t>s</w:t>
            </w:r>
            <w:r w:rsidRPr="00770FDF">
              <w:rPr>
                <w:b/>
              </w:rPr>
              <w:t xml:space="preserve"> Receivable</w:t>
            </w:r>
          </w:p>
          <w:p w14:paraId="0BC2B52F" w14:textId="77777777" w:rsidR="0000682A" w:rsidRPr="00770FDF" w:rsidRDefault="0000682A" w:rsidP="00567B35">
            <w:pPr>
              <w:pStyle w:val="TableText"/>
              <w:jc w:val="center"/>
              <w:rPr>
                <w:b/>
              </w:rPr>
            </w:pPr>
            <w:r w:rsidRPr="00770FDF">
              <w:rPr>
                <w:b/>
              </w:rPr>
              <w:t xml:space="preserve"> Question</w:t>
            </w:r>
            <w:r w:rsidR="004C4AEC" w:rsidRPr="00770FDF">
              <w:rPr>
                <w:b/>
              </w:rPr>
              <w:t>s</w:t>
            </w:r>
          </w:p>
        </w:tc>
        <w:tc>
          <w:tcPr>
            <w:tcW w:w="7035" w:type="dxa"/>
            <w:shd w:val="clear" w:color="auto" w:fill="DBE5F1" w:themeFill="accent1" w:themeFillTint="33"/>
          </w:tcPr>
          <w:p w14:paraId="47AD8F5C" w14:textId="77777777" w:rsidR="0000682A" w:rsidRPr="00770FDF" w:rsidRDefault="00EC50F1" w:rsidP="00567B35">
            <w:pPr>
              <w:pStyle w:val="TableText"/>
              <w:jc w:val="center"/>
              <w:rPr>
                <w:b/>
              </w:rPr>
            </w:pPr>
            <w:r w:rsidRPr="00770FDF">
              <w:rPr>
                <w:b/>
              </w:rPr>
              <w:t>Account</w:t>
            </w:r>
            <w:r w:rsidR="00683872">
              <w:rPr>
                <w:b/>
              </w:rPr>
              <w:t>s</w:t>
            </w:r>
            <w:r w:rsidRPr="00770FDF">
              <w:rPr>
                <w:b/>
              </w:rPr>
              <w:t xml:space="preserve"> Receivable</w:t>
            </w:r>
          </w:p>
          <w:p w14:paraId="68619A9B" w14:textId="77777777" w:rsidR="0000682A" w:rsidRPr="00770FDF" w:rsidRDefault="004C4AEC" w:rsidP="00567B35">
            <w:pPr>
              <w:pStyle w:val="TableText"/>
              <w:jc w:val="center"/>
              <w:rPr>
                <w:b/>
              </w:rPr>
            </w:pPr>
            <w:r w:rsidRPr="00770FDF">
              <w:rPr>
                <w:b/>
              </w:rPr>
              <w:t>Responses</w:t>
            </w:r>
          </w:p>
          <w:p w14:paraId="03751284" w14:textId="77777777" w:rsidR="0000682A" w:rsidRPr="00770FDF" w:rsidRDefault="0000682A" w:rsidP="00567B35">
            <w:pPr>
              <w:pStyle w:val="TableText"/>
              <w:jc w:val="center"/>
              <w:rPr>
                <w:b/>
              </w:rPr>
            </w:pPr>
          </w:p>
        </w:tc>
      </w:tr>
      <w:tr w:rsidR="00FD5D81" w:rsidRPr="00770FDF" w14:paraId="58660D2E" w14:textId="77777777" w:rsidTr="008B2F0A">
        <w:trPr>
          <w:trHeight w:val="3248"/>
        </w:trPr>
        <w:tc>
          <w:tcPr>
            <w:tcW w:w="3675" w:type="dxa"/>
            <w:shd w:val="clear" w:color="auto" w:fill="auto"/>
          </w:tcPr>
          <w:p w14:paraId="59FCAEAB" w14:textId="77777777" w:rsidR="00FD5D81" w:rsidRDefault="00FD5D81" w:rsidP="00897F1E">
            <w:pPr>
              <w:pStyle w:val="NoSpacing"/>
            </w:pPr>
          </w:p>
          <w:p w14:paraId="4DC5BBCC" w14:textId="77777777" w:rsidR="00FD5D81" w:rsidRPr="00770FDF" w:rsidRDefault="00FD5D81" w:rsidP="00897F1E">
            <w:pPr>
              <w:pStyle w:val="NoSpacing"/>
            </w:pPr>
            <w:r w:rsidRPr="00770FDF">
              <w:t>How often should you add the interest and administrative fees?    How is it added if you refer the debt to TOP?</w:t>
            </w:r>
          </w:p>
          <w:p w14:paraId="35C26D9B" w14:textId="77777777" w:rsidR="00FD5D81" w:rsidRPr="00770FDF" w:rsidRDefault="00FD5D81" w:rsidP="00515AE2">
            <w:pPr>
              <w:spacing w:after="200" w:line="276" w:lineRule="auto"/>
              <w:rPr>
                <w:rStyle w:val="imsender1"/>
                <w:b w:val="0"/>
                <w:color w:val="auto"/>
              </w:rPr>
            </w:pPr>
            <w:r>
              <w:rPr>
                <w:rStyle w:val="imsender1"/>
                <w:b w:val="0"/>
                <w:color w:val="auto"/>
              </w:rPr>
              <w:softHyphen/>
            </w:r>
            <w:r>
              <w:rPr>
                <w:rStyle w:val="imsender1"/>
                <w:b w:val="0"/>
                <w:color w:val="auto"/>
              </w:rPr>
              <w:softHyphen/>
            </w:r>
            <w:r w:rsidRPr="00770FDF">
              <w:rPr>
                <w:rStyle w:val="imsender1"/>
                <w:b w:val="0"/>
                <w:color w:val="auto"/>
              </w:rPr>
              <w:t>___</w:t>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r>
            <w:r w:rsidRPr="00770FDF">
              <w:rPr>
                <w:rStyle w:val="imsender1"/>
                <w:b w:val="0"/>
                <w:color w:val="auto"/>
              </w:rPr>
              <w:softHyphen/>
              <w:t>______________________________________________</w:t>
            </w:r>
          </w:p>
          <w:p w14:paraId="7EF3ADBE" w14:textId="77777777" w:rsidR="00FD5D81" w:rsidRDefault="00FD5D81" w:rsidP="00FD5D81">
            <w:pPr>
              <w:pStyle w:val="NoSpacing"/>
              <w:rPr>
                <w:rStyle w:val="imsender1"/>
                <w:rFonts w:asciiTheme="minorHAnsi" w:hAnsiTheme="minorHAnsi"/>
                <w:b w:val="0"/>
                <w:color w:val="auto"/>
                <w:sz w:val="24"/>
                <w:szCs w:val="24"/>
              </w:rPr>
            </w:pPr>
          </w:p>
          <w:p w14:paraId="655D5B71" w14:textId="77777777" w:rsidR="00FD5D81" w:rsidRDefault="00FD5D81" w:rsidP="00FD5D81">
            <w:pPr>
              <w:pStyle w:val="NoSpacing"/>
              <w:rPr>
                <w:rStyle w:val="imsender1"/>
                <w:rFonts w:asciiTheme="minorHAnsi" w:hAnsiTheme="minorHAnsi"/>
                <w:b w:val="0"/>
                <w:color w:val="auto"/>
                <w:sz w:val="24"/>
                <w:szCs w:val="24"/>
              </w:rPr>
            </w:pPr>
            <w:r w:rsidRPr="00770FDF">
              <w:rPr>
                <w:rStyle w:val="imsender1"/>
                <w:rFonts w:asciiTheme="minorHAnsi" w:hAnsiTheme="minorHAnsi"/>
                <w:b w:val="0"/>
                <w:color w:val="auto"/>
                <w:sz w:val="24"/>
                <w:szCs w:val="24"/>
              </w:rPr>
              <w:t>How often are fees and admin fees added in CAATS?</w:t>
            </w:r>
            <w:r>
              <w:rPr>
                <w:rStyle w:val="imsender1"/>
                <w:rFonts w:asciiTheme="minorHAnsi" w:hAnsiTheme="minorHAnsi"/>
                <w:b w:val="0"/>
                <w:color w:val="auto"/>
                <w:sz w:val="24"/>
                <w:szCs w:val="24"/>
              </w:rPr>
              <w:t xml:space="preserve"> </w:t>
            </w:r>
          </w:p>
          <w:p w14:paraId="4989DCFC" w14:textId="77777777" w:rsidR="007156E3" w:rsidRDefault="007156E3" w:rsidP="00FD5D81">
            <w:pPr>
              <w:pStyle w:val="NoSpacing"/>
            </w:pPr>
            <w:r w:rsidRPr="00770FDF">
              <w:rPr>
                <w:rStyle w:val="imsender1"/>
                <w:b w:val="0"/>
                <w:color w:val="auto"/>
              </w:rPr>
              <w:t>______________________________________________</w:t>
            </w:r>
          </w:p>
          <w:p w14:paraId="48EF8EB5" w14:textId="77777777" w:rsidR="007156E3" w:rsidRDefault="007156E3" w:rsidP="00FD5D81">
            <w:pPr>
              <w:pStyle w:val="NoSpacing"/>
            </w:pPr>
          </w:p>
          <w:p w14:paraId="29428375" w14:textId="77777777" w:rsidR="00B3179A" w:rsidRDefault="00B3179A" w:rsidP="00FD5D81">
            <w:pPr>
              <w:pStyle w:val="NoSpacing"/>
              <w:rPr>
                <w:rStyle w:val="imsender1"/>
                <w:b w:val="0"/>
                <w:color w:val="auto"/>
              </w:rPr>
            </w:pPr>
            <w:r w:rsidRPr="00B274E6">
              <w:t>Is there a checklist or flow chart for establishing interest and penalty costs on station debts?</w:t>
            </w:r>
          </w:p>
          <w:p w14:paraId="77B9E0D7" w14:textId="77777777" w:rsidR="00B3179A" w:rsidRPr="00770FDF" w:rsidRDefault="00B3179A" w:rsidP="00FD5D81">
            <w:pPr>
              <w:pStyle w:val="NoSpacing"/>
              <w:rPr>
                <w:rStyle w:val="imsender1"/>
                <w:b w:val="0"/>
                <w:color w:val="auto"/>
              </w:rPr>
            </w:pPr>
          </w:p>
        </w:tc>
        <w:tc>
          <w:tcPr>
            <w:tcW w:w="7035" w:type="dxa"/>
            <w:shd w:val="clear" w:color="auto" w:fill="auto"/>
          </w:tcPr>
          <w:p w14:paraId="30F380EE" w14:textId="77777777" w:rsidR="00FD5D81" w:rsidRPr="00F76952" w:rsidRDefault="00F76952" w:rsidP="00124729">
            <w:pPr>
              <w:pStyle w:val="NoSpacing"/>
              <w:jc w:val="both"/>
              <w:rPr>
                <w:rFonts w:cs="Segoe UI"/>
              </w:rPr>
            </w:pPr>
            <w:r>
              <w:rPr>
                <w:rFonts w:cs="Segoe UI"/>
              </w:rPr>
              <w:t>I</w:t>
            </w:r>
            <w:r w:rsidR="00FD5D81" w:rsidRPr="00770FDF">
              <w:rPr>
                <w:rFonts w:cs="Segoe UI"/>
              </w:rPr>
              <w:t xml:space="preserve">nterest and admin </w:t>
            </w:r>
            <w:r w:rsidR="00E4558B">
              <w:rPr>
                <w:rFonts w:cs="Segoe UI"/>
              </w:rPr>
              <w:t>costs</w:t>
            </w:r>
            <w:r w:rsidR="00FD5D81" w:rsidRPr="00770FDF">
              <w:rPr>
                <w:rFonts w:cs="Segoe UI"/>
              </w:rPr>
              <w:t xml:space="preserve"> </w:t>
            </w:r>
            <w:r>
              <w:rPr>
                <w:rFonts w:cs="Segoe UI"/>
              </w:rPr>
              <w:t xml:space="preserve">are accessed after initial debt suspense is not met.  These costs are added to </w:t>
            </w:r>
            <w:r w:rsidR="00FD5D81" w:rsidRPr="00770FDF">
              <w:rPr>
                <w:rFonts w:cs="Segoe UI"/>
              </w:rPr>
              <w:t xml:space="preserve">each full and partial </w:t>
            </w:r>
            <w:r>
              <w:rPr>
                <w:rFonts w:cs="Segoe UI"/>
              </w:rPr>
              <w:t xml:space="preserve">balance greater than any </w:t>
            </w:r>
            <w:r w:rsidR="00FD5D81" w:rsidRPr="00770FDF">
              <w:rPr>
                <w:rFonts w:cs="Segoe UI"/>
              </w:rPr>
              <w:t>30-day period</w:t>
            </w:r>
            <w:r>
              <w:rPr>
                <w:rFonts w:cs="Segoe UI"/>
              </w:rPr>
              <w:t xml:space="preserve"> </w:t>
            </w:r>
            <w:r w:rsidR="00FD5D81" w:rsidRPr="00770FDF">
              <w:rPr>
                <w:rFonts w:cs="Segoe UI"/>
              </w:rPr>
              <w:t xml:space="preserve">the debt is delinquent.  </w:t>
            </w:r>
            <w:r w:rsidR="00FD5D81" w:rsidRPr="00770FDF">
              <w:rPr>
                <w:rFonts w:cs="Segoe UI"/>
                <w:i/>
              </w:rPr>
              <w:t>Delinquency occurs when a payment is not made by the due date specified in the initial and subsequent notices of indebtedness (debt letters).</w:t>
            </w:r>
            <w:r w:rsidR="00FD5D81" w:rsidRPr="00770FDF">
              <w:rPr>
                <w:rFonts w:cs="Segoe UI"/>
              </w:rPr>
              <w:t xml:space="preserve"> </w:t>
            </w:r>
            <w:r>
              <w:rPr>
                <w:rFonts w:cs="Segoe UI"/>
              </w:rPr>
              <w:t xml:space="preserve">See </w:t>
            </w:r>
            <w:hyperlink r:id="rId8" w:history="1">
              <w:r w:rsidRPr="00AF2B71">
                <w:rPr>
                  <w:rStyle w:val="Hyperlink"/>
                  <w:rFonts w:cs="Segoe UI"/>
                </w:rPr>
                <w:t>Per VAFP Volume XII – Chapter 9</w:t>
              </w:r>
            </w:hyperlink>
            <w:r>
              <w:rPr>
                <w:rStyle w:val="Hyperlink"/>
                <w:rFonts w:cs="Segoe UI"/>
              </w:rPr>
              <w:t xml:space="preserve"> </w:t>
            </w:r>
            <w:r>
              <w:rPr>
                <w:rStyle w:val="Hyperlink"/>
                <w:rFonts w:cs="Segoe UI"/>
                <w:color w:val="auto"/>
                <w:u w:val="none"/>
              </w:rPr>
              <w:t xml:space="preserve">Appendix A for explanation.  </w:t>
            </w:r>
          </w:p>
          <w:p w14:paraId="08A608CD" w14:textId="77777777" w:rsidR="00FD5D81" w:rsidRPr="00770FDF" w:rsidRDefault="00FD5D81" w:rsidP="00FB1E6A">
            <w:pPr>
              <w:pStyle w:val="NoSpacing"/>
              <w:rPr>
                <w:rFonts w:cs="Segoe UI"/>
                <w:sz w:val="10"/>
                <w:szCs w:val="10"/>
              </w:rPr>
            </w:pPr>
          </w:p>
          <w:p w14:paraId="64AC47E2" w14:textId="77777777" w:rsidR="00FD5D81" w:rsidRPr="00770FDF" w:rsidRDefault="00FD5D81" w:rsidP="00124729">
            <w:pPr>
              <w:pStyle w:val="NoSpacing"/>
              <w:jc w:val="both"/>
              <w:rPr>
                <w:rFonts w:cs="Segoe UI"/>
              </w:rPr>
            </w:pPr>
            <w:r w:rsidRPr="00770FDF">
              <w:rPr>
                <w:rFonts w:cs="Segoe UI"/>
              </w:rPr>
              <w:t>Interest and penalties amounts must be added to the established BD/accounts receivable.   Using the CAATS/ Accounts Receivable module / Modify Receivable submodule, modify (increa</w:t>
            </w:r>
            <w:r>
              <w:rPr>
                <w:rFonts w:cs="Segoe UI"/>
              </w:rPr>
              <w:t>se) the debt to add interest,</w:t>
            </w:r>
            <w:r w:rsidRPr="00770FDF">
              <w:rPr>
                <w:rFonts w:cs="Segoe UI"/>
              </w:rPr>
              <w:t xml:space="preserve"> admin</w:t>
            </w:r>
            <w:r>
              <w:rPr>
                <w:rFonts w:cs="Segoe UI"/>
              </w:rPr>
              <w:t xml:space="preserve"> </w:t>
            </w:r>
            <w:r w:rsidR="00E4558B">
              <w:rPr>
                <w:rFonts w:cs="Segoe UI"/>
              </w:rPr>
              <w:t>costs</w:t>
            </w:r>
            <w:r>
              <w:rPr>
                <w:rFonts w:cs="Segoe UI"/>
              </w:rPr>
              <w:t xml:space="preserve"> and/or penalties</w:t>
            </w:r>
            <w:r w:rsidRPr="00770FDF">
              <w:rPr>
                <w:rFonts w:cs="Segoe UI"/>
              </w:rPr>
              <w:t xml:space="preserve">.  </w:t>
            </w:r>
          </w:p>
          <w:p w14:paraId="404E97C5" w14:textId="77777777" w:rsidR="00FD5D81" w:rsidRPr="00770FDF" w:rsidRDefault="00FD5D81" w:rsidP="00124729">
            <w:pPr>
              <w:pStyle w:val="NoSpacing"/>
              <w:jc w:val="both"/>
              <w:rPr>
                <w:rFonts w:cs="Segoe UI"/>
                <w:sz w:val="10"/>
                <w:szCs w:val="10"/>
              </w:rPr>
            </w:pPr>
          </w:p>
          <w:p w14:paraId="22214546" w14:textId="77777777" w:rsidR="00FD5D81" w:rsidRPr="00770FDF" w:rsidRDefault="00FD5D81" w:rsidP="007A3833">
            <w:pPr>
              <w:pStyle w:val="NoSpacing"/>
              <w:numPr>
                <w:ilvl w:val="0"/>
                <w:numId w:val="7"/>
              </w:numPr>
              <w:ind w:left="173" w:hanging="173"/>
              <w:rPr>
                <w:rFonts w:cs="Segoe UI"/>
              </w:rPr>
            </w:pPr>
            <w:r w:rsidRPr="00770FDF">
              <w:rPr>
                <w:rFonts w:cs="Segoe UI"/>
              </w:rPr>
              <w:t xml:space="preserve">Add Line 001 for the Interest charge  </w:t>
            </w:r>
          </w:p>
          <w:p w14:paraId="716B46B3" w14:textId="77777777" w:rsidR="00FD5D81" w:rsidRDefault="00FD5D81" w:rsidP="00FD5D81">
            <w:pPr>
              <w:pStyle w:val="NoSpacing"/>
              <w:numPr>
                <w:ilvl w:val="0"/>
                <w:numId w:val="7"/>
              </w:numPr>
              <w:ind w:left="173" w:hanging="173"/>
              <w:rPr>
                <w:rFonts w:cs="Segoe UI"/>
              </w:rPr>
            </w:pPr>
            <w:r w:rsidRPr="00770FDF">
              <w:rPr>
                <w:rFonts w:cs="Segoe UI"/>
              </w:rPr>
              <w:t xml:space="preserve">Add Line 002 for the Administrative fee   </w:t>
            </w:r>
          </w:p>
          <w:p w14:paraId="3B842AAD" w14:textId="77777777" w:rsidR="00FD5D81" w:rsidRPr="00FD5D81" w:rsidRDefault="00FD5D81" w:rsidP="00FD5D81">
            <w:pPr>
              <w:pStyle w:val="NoSpacing"/>
              <w:ind w:left="173"/>
              <w:rPr>
                <w:rFonts w:cs="Segoe UI"/>
              </w:rPr>
            </w:pPr>
          </w:p>
        </w:tc>
      </w:tr>
      <w:tr w:rsidR="00FD5D81" w:rsidRPr="00770FDF" w14:paraId="75E7B333" w14:textId="77777777" w:rsidTr="008B2F0A">
        <w:trPr>
          <w:trHeight w:val="620"/>
        </w:trPr>
        <w:tc>
          <w:tcPr>
            <w:tcW w:w="3675" w:type="dxa"/>
            <w:shd w:val="clear" w:color="auto" w:fill="auto"/>
          </w:tcPr>
          <w:p w14:paraId="5E1491D9" w14:textId="77777777" w:rsidR="00FD5D81" w:rsidRPr="00FD5D81" w:rsidRDefault="00FD5D81" w:rsidP="00FD5D81">
            <w:pPr>
              <w:pStyle w:val="NoSpacing"/>
              <w:rPr>
                <w:rFonts w:cs="Segoe UI"/>
                <w:bCs/>
              </w:rPr>
            </w:pPr>
            <w:r w:rsidRPr="00770FDF">
              <w:rPr>
                <w:rStyle w:val="imsender1"/>
                <w:rFonts w:asciiTheme="minorHAnsi" w:hAnsiTheme="minorHAnsi"/>
                <w:b w:val="0"/>
                <w:color w:val="auto"/>
                <w:sz w:val="24"/>
                <w:szCs w:val="24"/>
              </w:rPr>
              <w:t>Do we still add fees when the debt has gone to TOP?</w:t>
            </w:r>
          </w:p>
        </w:tc>
        <w:tc>
          <w:tcPr>
            <w:tcW w:w="7035" w:type="dxa"/>
            <w:shd w:val="clear" w:color="auto" w:fill="auto"/>
          </w:tcPr>
          <w:p w14:paraId="562C2080" w14:textId="77777777" w:rsidR="00FD5D81" w:rsidRPr="00770FDF" w:rsidRDefault="00FD5D81" w:rsidP="00FD5D81">
            <w:pPr>
              <w:pStyle w:val="NoSpacing"/>
              <w:jc w:val="both"/>
              <w:rPr>
                <w:rFonts w:cs="Segoe UI"/>
              </w:rPr>
            </w:pPr>
            <w:r w:rsidRPr="00770FDF">
              <w:rPr>
                <w:rFonts w:cs="Segoe UI"/>
              </w:rPr>
              <w:t xml:space="preserve">Interest, admin </w:t>
            </w:r>
            <w:r w:rsidR="00E4558B">
              <w:rPr>
                <w:rFonts w:cs="Segoe UI"/>
              </w:rPr>
              <w:t>costs</w:t>
            </w:r>
            <w:r w:rsidRPr="00770FDF">
              <w:rPr>
                <w:rFonts w:cs="Segoe UI"/>
              </w:rPr>
              <w:t xml:space="preserve"> and penalties are no longer added </w:t>
            </w:r>
            <w:r>
              <w:rPr>
                <w:rFonts w:cs="Segoe UI"/>
              </w:rPr>
              <w:t xml:space="preserve">to the debt, after it is referred to TOP.  </w:t>
            </w:r>
          </w:p>
        </w:tc>
      </w:tr>
      <w:tr w:rsidR="00FD5D81" w:rsidRPr="00770FDF" w14:paraId="5128CA92" w14:textId="77777777" w:rsidTr="008B2F0A">
        <w:trPr>
          <w:trHeight w:val="980"/>
        </w:trPr>
        <w:tc>
          <w:tcPr>
            <w:tcW w:w="3675" w:type="dxa"/>
            <w:shd w:val="clear" w:color="auto" w:fill="auto"/>
          </w:tcPr>
          <w:p w14:paraId="54D2B086" w14:textId="77777777" w:rsidR="00FD5D81" w:rsidRPr="00AF2B71" w:rsidRDefault="00FD5D81" w:rsidP="00FD5D81">
            <w:pPr>
              <w:pStyle w:val="NoSpacing"/>
              <w:rPr>
                <w:rFonts w:cs="Segoe UI"/>
                <w:bCs/>
              </w:rPr>
            </w:pPr>
            <w:r w:rsidRPr="00AF2B71">
              <w:rPr>
                <w:rStyle w:val="imsender1"/>
                <w:rFonts w:asciiTheme="minorHAnsi" w:hAnsiTheme="minorHAnsi"/>
                <w:b w:val="0"/>
                <w:color w:val="auto"/>
                <w:sz w:val="24"/>
                <w:szCs w:val="24"/>
              </w:rPr>
              <w:t>Do we add fees and interest to employee debts (FEHBLWOP)?</w:t>
            </w:r>
          </w:p>
        </w:tc>
        <w:tc>
          <w:tcPr>
            <w:tcW w:w="7035" w:type="dxa"/>
            <w:shd w:val="clear" w:color="auto" w:fill="auto"/>
          </w:tcPr>
          <w:p w14:paraId="31CAEE68" w14:textId="77777777" w:rsidR="00FD5D81" w:rsidRPr="00AF2B71" w:rsidRDefault="00AF2B71" w:rsidP="00AF2B71">
            <w:pPr>
              <w:pStyle w:val="NoSpacing"/>
              <w:jc w:val="both"/>
              <w:rPr>
                <w:rFonts w:cs="Segoe UI"/>
              </w:rPr>
            </w:pPr>
            <w:r w:rsidRPr="00AF2B71">
              <w:rPr>
                <w:rFonts w:cs="Segoe UI"/>
              </w:rPr>
              <w:t xml:space="preserve">Yes. </w:t>
            </w:r>
            <w:hyperlink r:id="rId9" w:history="1">
              <w:r w:rsidRPr="00AF2B71">
                <w:rPr>
                  <w:rStyle w:val="Hyperlink"/>
                  <w:rFonts w:cs="Segoe UI"/>
                </w:rPr>
                <w:t>Per VAFP Volume XII – Chapter 9</w:t>
              </w:r>
            </w:hyperlink>
            <w:r w:rsidRPr="00AF2B71">
              <w:rPr>
                <w:rFonts w:cs="Segoe UI"/>
              </w:rPr>
              <w:t>, i</w:t>
            </w:r>
            <w:r w:rsidR="00FD5D81" w:rsidRPr="00AF2B71">
              <w:rPr>
                <w:rFonts w:cs="Segoe UI"/>
              </w:rPr>
              <w:t>nterest</w:t>
            </w:r>
            <w:r w:rsidR="00967E59" w:rsidRPr="00AF2B71">
              <w:rPr>
                <w:rFonts w:cs="Segoe UI"/>
              </w:rPr>
              <w:t xml:space="preserve">, </w:t>
            </w:r>
            <w:r w:rsidR="00FD5D81" w:rsidRPr="00AF2B71">
              <w:rPr>
                <w:rFonts w:cs="Segoe UI"/>
              </w:rPr>
              <w:t>and admi</w:t>
            </w:r>
            <w:r w:rsidR="00E4558B" w:rsidRPr="00AF2B71">
              <w:rPr>
                <w:rFonts w:cs="Segoe UI"/>
              </w:rPr>
              <w:t>n</w:t>
            </w:r>
            <w:r w:rsidR="00FD5D81" w:rsidRPr="00AF2B71">
              <w:rPr>
                <w:rFonts w:cs="Segoe UI"/>
              </w:rPr>
              <w:t xml:space="preserve"> costs </w:t>
            </w:r>
            <w:r w:rsidR="00967E59" w:rsidRPr="00AF2B71">
              <w:rPr>
                <w:rFonts w:cs="Segoe UI"/>
              </w:rPr>
              <w:t xml:space="preserve">and penalties </w:t>
            </w:r>
            <w:r w:rsidRPr="00AF2B71">
              <w:rPr>
                <w:rFonts w:cs="Segoe UI"/>
              </w:rPr>
              <w:t>may</w:t>
            </w:r>
            <w:r w:rsidR="00FD5D81" w:rsidRPr="00AF2B71">
              <w:rPr>
                <w:rFonts w:cs="Segoe UI"/>
              </w:rPr>
              <w:t xml:space="preserve"> be added to </w:t>
            </w:r>
            <w:r w:rsidRPr="00AF2B71">
              <w:rPr>
                <w:rFonts w:cs="Segoe UI"/>
              </w:rPr>
              <w:t xml:space="preserve">delinquent non-benefit debts, including </w:t>
            </w:r>
            <w:r w:rsidR="00FD5D81" w:rsidRPr="00AF2B71">
              <w:rPr>
                <w:rFonts w:cs="Segoe UI"/>
              </w:rPr>
              <w:t xml:space="preserve">employee debts.  </w:t>
            </w:r>
            <w:r w:rsidRPr="00AF2B71">
              <w:rPr>
                <w:rFonts w:cs="Segoe UI"/>
              </w:rPr>
              <w:t xml:space="preserve"> </w:t>
            </w:r>
          </w:p>
        </w:tc>
      </w:tr>
      <w:tr w:rsidR="00FD5D81" w:rsidRPr="00770FDF" w14:paraId="6ECDD681" w14:textId="77777777" w:rsidTr="000E349C">
        <w:tc>
          <w:tcPr>
            <w:tcW w:w="3675" w:type="dxa"/>
            <w:shd w:val="clear" w:color="auto" w:fill="auto"/>
          </w:tcPr>
          <w:p w14:paraId="24F0251F" w14:textId="77777777" w:rsidR="00FD5D81" w:rsidRPr="00770FDF" w:rsidRDefault="00FD5D81" w:rsidP="00FD5D81">
            <w:pPr>
              <w:spacing w:before="40" w:after="40"/>
            </w:pPr>
            <w:r w:rsidRPr="00770FDF">
              <w:t>Since, Interest and Admin Fees are added/accrued every 30 days, does that compound?</w:t>
            </w:r>
          </w:p>
        </w:tc>
        <w:tc>
          <w:tcPr>
            <w:tcW w:w="7035" w:type="dxa"/>
            <w:shd w:val="clear" w:color="auto" w:fill="auto"/>
          </w:tcPr>
          <w:p w14:paraId="2BCCE730" w14:textId="77777777" w:rsidR="00FD5D81" w:rsidRPr="00897F1E" w:rsidRDefault="00FD5D81" w:rsidP="00FD5D81">
            <w:pPr>
              <w:tabs>
                <w:tab w:val="left" w:pos="1245"/>
              </w:tabs>
              <w:jc w:val="both"/>
            </w:pPr>
            <w:r w:rsidRPr="00897F1E">
              <w:t xml:space="preserve">Interest charged is simple interest at the rate in effect at the time the debt becomes overdue.  The interest rate remains fixed for the duration of the indebtedness. </w:t>
            </w:r>
          </w:p>
        </w:tc>
      </w:tr>
      <w:tr w:rsidR="00FD5D81" w:rsidRPr="00770FDF" w14:paraId="3B60E8CF" w14:textId="77777777" w:rsidTr="000E349C">
        <w:tblPrEx>
          <w:shd w:val="clear" w:color="auto" w:fill="auto"/>
        </w:tblPrEx>
        <w:tc>
          <w:tcPr>
            <w:tcW w:w="3675" w:type="dxa"/>
          </w:tcPr>
          <w:p w14:paraId="69AB0A4C" w14:textId="77777777" w:rsidR="00FD5D81" w:rsidRPr="00770FDF" w:rsidRDefault="00FD5D81" w:rsidP="00FD5D81">
            <w:r w:rsidRPr="00770FDF">
              <w:rPr>
                <w:rStyle w:val="imsender1"/>
                <w:rFonts w:asciiTheme="minorHAnsi" w:hAnsiTheme="minorHAnsi"/>
                <w:b w:val="0"/>
                <w:color w:val="auto"/>
                <w:sz w:val="24"/>
                <w:szCs w:val="24"/>
              </w:rPr>
              <w:t>When you did the modification of the debt, what debts do you do that with?</w:t>
            </w:r>
          </w:p>
        </w:tc>
        <w:tc>
          <w:tcPr>
            <w:tcW w:w="7035" w:type="dxa"/>
          </w:tcPr>
          <w:p w14:paraId="61B6F420" w14:textId="77777777" w:rsidR="00FD5D81" w:rsidRDefault="00FD5D81" w:rsidP="00FD5D81">
            <w:pPr>
              <w:tabs>
                <w:tab w:val="left" w:pos="1245"/>
              </w:tabs>
              <w:jc w:val="both"/>
            </w:pPr>
            <w:r>
              <w:t>Delinquent debts, a</w:t>
            </w:r>
            <w:r w:rsidRPr="00770FDF">
              <w:t xml:space="preserve">fter 30 days with no </w:t>
            </w:r>
            <w:r>
              <w:t xml:space="preserve">payment </w:t>
            </w:r>
            <w:r w:rsidRPr="00770FDF">
              <w:t xml:space="preserve">remittance by the debtor, </w:t>
            </w:r>
            <w:r w:rsidR="00AF2B71">
              <w:t xml:space="preserve">should be </w:t>
            </w:r>
            <w:r w:rsidRPr="00770FDF">
              <w:t xml:space="preserve">modified in CAATS to include the first month’s interest fee (1% or .01 multiplied by the debt amount) and the monthly administrative fee (flat fee of $4.17). </w:t>
            </w:r>
          </w:p>
          <w:p w14:paraId="42C06CC1" w14:textId="77777777" w:rsidR="00FD5D81" w:rsidRPr="00E4558B" w:rsidRDefault="00FD5D81" w:rsidP="00E4558B">
            <w:pPr>
              <w:tabs>
                <w:tab w:val="left" w:pos="1245"/>
              </w:tabs>
              <w:jc w:val="both"/>
              <w:rPr>
                <w:sz w:val="16"/>
                <w:szCs w:val="16"/>
              </w:rPr>
            </w:pPr>
          </w:p>
          <w:p w14:paraId="6B190EFD" w14:textId="77777777" w:rsidR="00FD5D81" w:rsidRPr="00770FDF" w:rsidRDefault="00FD5D81" w:rsidP="00FD5D81">
            <w:pPr>
              <w:tabs>
                <w:tab w:val="left" w:pos="1245"/>
              </w:tabs>
              <w:jc w:val="both"/>
            </w:pPr>
            <w:r w:rsidRPr="00770FDF">
              <w:t xml:space="preserve">These lines </w:t>
            </w:r>
            <w:r>
              <w:t xml:space="preserve">should </w:t>
            </w:r>
            <w:r w:rsidRPr="00770FDF">
              <w:t>be modified</w:t>
            </w:r>
            <w:r>
              <w:t xml:space="preserve"> </w:t>
            </w:r>
            <w:r w:rsidRPr="00FD5D81">
              <w:t>for each full and partial 30-day period that the debt is delinquent</w:t>
            </w:r>
            <w:r w:rsidRPr="00770FDF">
              <w:t xml:space="preserve">. After 90 days, (day 121, assessed after the initial 30-day period), penalty fees (6% or .06 multiplied by the debt amount) are also added to the debt in CAATS.  </w:t>
            </w:r>
          </w:p>
        </w:tc>
      </w:tr>
      <w:tr w:rsidR="00FD5D81" w:rsidRPr="00770FDF" w14:paraId="395A751B" w14:textId="77777777" w:rsidTr="000E349C">
        <w:tblPrEx>
          <w:shd w:val="clear" w:color="auto" w:fill="auto"/>
        </w:tblPrEx>
        <w:tc>
          <w:tcPr>
            <w:tcW w:w="3675" w:type="dxa"/>
          </w:tcPr>
          <w:p w14:paraId="0FD0326E" w14:textId="77777777" w:rsidR="00FD5D81" w:rsidRPr="00770FDF" w:rsidRDefault="00FD5D81" w:rsidP="00FD5D81">
            <w:r w:rsidRPr="00770FDF">
              <w:rPr>
                <w:rStyle w:val="imsender1"/>
                <w:rFonts w:asciiTheme="minorHAnsi" w:hAnsiTheme="minorHAnsi"/>
                <w:b w:val="0"/>
                <w:color w:val="auto"/>
                <w:sz w:val="24"/>
                <w:szCs w:val="24"/>
              </w:rPr>
              <w:t>Any reports such as the F853 or F842 to check if the BD has been referred to TOP?</w:t>
            </w:r>
            <w:r w:rsidRPr="00770FDF">
              <w:t xml:space="preserve">  </w:t>
            </w:r>
          </w:p>
        </w:tc>
        <w:tc>
          <w:tcPr>
            <w:tcW w:w="7035" w:type="dxa"/>
          </w:tcPr>
          <w:p w14:paraId="412B68A6" w14:textId="77777777" w:rsidR="00FD5D81" w:rsidRPr="00770FDF" w:rsidRDefault="00E4558B" w:rsidP="00605B4A">
            <w:r>
              <w:t xml:space="preserve">No.  A report to confirm whether debts have been referred to TOP does not exist.  However, </w:t>
            </w:r>
            <w:r w:rsidRPr="00E4558B">
              <w:t xml:space="preserve">ALAC </w:t>
            </w:r>
            <w:r w:rsidR="008D3C2A">
              <w:t xml:space="preserve">maintains </w:t>
            </w:r>
            <w:r w:rsidRPr="00E4558B">
              <w:t>a</w:t>
            </w:r>
            <w:r w:rsidR="008D3C2A">
              <w:t xml:space="preserve"> </w:t>
            </w:r>
            <w:r w:rsidRPr="00E4558B">
              <w:t>listing of all debts referred to TOP</w:t>
            </w:r>
            <w:r w:rsidR="00D858A8">
              <w:t xml:space="preserve">; this listing </w:t>
            </w:r>
            <w:r w:rsidR="008D3C2A">
              <w:t>is unpublished as</w:t>
            </w:r>
            <w:r w:rsidRPr="00E4558B">
              <w:t xml:space="preserve"> </w:t>
            </w:r>
            <w:r w:rsidR="008D3C2A">
              <w:t xml:space="preserve">it contains </w:t>
            </w:r>
            <w:r w:rsidRPr="00E4558B">
              <w:t xml:space="preserve">PII and other sensitive data.   Submit an email to the </w:t>
            </w:r>
            <w:hyperlink r:id="rId10" w:history="1">
              <w:r w:rsidRPr="00E4558B">
                <w:t>VBA ALAC Admin Accounting</w:t>
              </w:r>
            </w:hyperlink>
            <w:r w:rsidRPr="00E4558B">
              <w:t xml:space="preserve"> mailbox to inquire whether </w:t>
            </w:r>
            <w:r w:rsidR="008D3C2A">
              <w:t xml:space="preserve">a </w:t>
            </w:r>
            <w:r w:rsidRPr="00E4558B">
              <w:t xml:space="preserve">debt </w:t>
            </w:r>
            <w:r w:rsidR="008D3C2A">
              <w:t>is</w:t>
            </w:r>
            <w:r w:rsidRPr="00E4558B">
              <w:t xml:space="preserve"> referred to TOP.  </w:t>
            </w:r>
          </w:p>
        </w:tc>
      </w:tr>
      <w:tr w:rsidR="00FD5D81" w:rsidRPr="00770FDF" w14:paraId="6D3F2B0A" w14:textId="77777777" w:rsidTr="000E349C">
        <w:tblPrEx>
          <w:shd w:val="clear" w:color="auto" w:fill="auto"/>
        </w:tblPrEx>
        <w:tc>
          <w:tcPr>
            <w:tcW w:w="3675" w:type="dxa"/>
          </w:tcPr>
          <w:p w14:paraId="5E4B6D9D" w14:textId="77777777" w:rsidR="00FD5D81" w:rsidRPr="00770FDF" w:rsidRDefault="00FD5D81" w:rsidP="00FD5D81">
            <w:pPr>
              <w:rPr>
                <w:rStyle w:val="imsender1"/>
                <w:rFonts w:asciiTheme="minorHAnsi" w:hAnsiTheme="minorHAnsi"/>
                <w:b w:val="0"/>
                <w:color w:val="auto"/>
                <w:sz w:val="24"/>
                <w:szCs w:val="24"/>
              </w:rPr>
            </w:pPr>
            <w:r w:rsidRPr="00770FDF">
              <w:rPr>
                <w:rStyle w:val="imsender1"/>
                <w:rFonts w:asciiTheme="minorHAnsi" w:hAnsiTheme="minorHAnsi"/>
                <w:b w:val="0"/>
                <w:color w:val="auto"/>
                <w:sz w:val="24"/>
                <w:szCs w:val="24"/>
              </w:rPr>
              <w:lastRenderedPageBreak/>
              <w:t>Is there a plug and play formula for adding interest and fees and deducting payments?</w:t>
            </w:r>
          </w:p>
        </w:tc>
        <w:tc>
          <w:tcPr>
            <w:tcW w:w="7035" w:type="dxa"/>
          </w:tcPr>
          <w:p w14:paraId="0EB913F4" w14:textId="77777777" w:rsidR="00FD5D81" w:rsidRPr="00770FDF" w:rsidRDefault="00FD5D81" w:rsidP="00605B4A">
            <w:r w:rsidRPr="00770FDF">
              <w:t xml:space="preserve">ALAC </w:t>
            </w:r>
            <w:r w:rsidR="008D3C2A">
              <w:t xml:space="preserve">re-designed an excel spreadsheet that automatically </w:t>
            </w:r>
            <w:r w:rsidR="00865FB6">
              <w:t>calculate</w:t>
            </w:r>
            <w:r w:rsidR="00CD2427">
              <w:t>s</w:t>
            </w:r>
            <w:r w:rsidRPr="00770FDF">
              <w:t xml:space="preserve"> the interest</w:t>
            </w:r>
            <w:r w:rsidR="008D3C2A">
              <w:t xml:space="preserve">, </w:t>
            </w:r>
            <w:r w:rsidRPr="00770FDF">
              <w:t xml:space="preserve">admin </w:t>
            </w:r>
            <w:r w:rsidR="008D3C2A">
              <w:t xml:space="preserve">costs and penalties per the principal debt amount.  This spreadsheet was included with the webinar attachments.  </w:t>
            </w:r>
            <w:r w:rsidR="00D858A8">
              <w:t xml:space="preserve"> </w:t>
            </w:r>
            <w:r w:rsidR="008D3C2A">
              <w:t xml:space="preserve">  </w:t>
            </w:r>
            <w:r w:rsidRPr="00770FDF">
              <w:t xml:space="preserve"> </w:t>
            </w:r>
            <w:r w:rsidR="008D3C2A">
              <w:t xml:space="preserve"> </w:t>
            </w:r>
          </w:p>
        </w:tc>
      </w:tr>
      <w:tr w:rsidR="00FD5D81" w:rsidRPr="00770FDF" w14:paraId="714C0CA5" w14:textId="77777777" w:rsidTr="000E349C">
        <w:tblPrEx>
          <w:shd w:val="clear" w:color="auto" w:fill="auto"/>
        </w:tblPrEx>
        <w:tc>
          <w:tcPr>
            <w:tcW w:w="3675" w:type="dxa"/>
          </w:tcPr>
          <w:p w14:paraId="2B630FB4" w14:textId="77777777" w:rsidR="00FD5D81" w:rsidRPr="00770FDF" w:rsidRDefault="00FD5D81" w:rsidP="00FD5D81">
            <w:pPr>
              <w:rPr>
                <w:rStyle w:val="imsender1"/>
                <w:rFonts w:asciiTheme="minorHAnsi" w:hAnsiTheme="minorHAnsi"/>
                <w:b w:val="0"/>
                <w:color w:val="auto"/>
                <w:sz w:val="24"/>
                <w:szCs w:val="24"/>
              </w:rPr>
            </w:pPr>
            <w:r w:rsidRPr="00770FDF">
              <w:rPr>
                <w:rStyle w:val="imsender1"/>
                <w:rFonts w:asciiTheme="minorHAnsi" w:hAnsiTheme="minorHAnsi"/>
                <w:b w:val="0"/>
                <w:color w:val="auto"/>
                <w:sz w:val="24"/>
                <w:szCs w:val="24"/>
              </w:rPr>
              <w:t xml:space="preserve">What should you do if a debt is </w:t>
            </w:r>
            <w:r w:rsidR="00881C68" w:rsidRPr="00770FDF">
              <w:rPr>
                <w:rStyle w:val="imsender1"/>
                <w:rFonts w:asciiTheme="minorHAnsi" w:hAnsiTheme="minorHAnsi"/>
                <w:b w:val="0"/>
                <w:color w:val="auto"/>
                <w:sz w:val="24"/>
                <w:szCs w:val="24"/>
              </w:rPr>
              <w:t>really</w:t>
            </w:r>
            <w:r w:rsidRPr="00770FDF">
              <w:rPr>
                <w:rStyle w:val="imsender1"/>
                <w:rFonts w:asciiTheme="minorHAnsi" w:hAnsiTheme="minorHAnsi"/>
                <w:b w:val="0"/>
                <w:color w:val="auto"/>
                <w:sz w:val="24"/>
                <w:szCs w:val="24"/>
              </w:rPr>
              <w:t xml:space="preserve"> old like 8 years?</w:t>
            </w:r>
          </w:p>
          <w:p w14:paraId="125E239E" w14:textId="77777777" w:rsidR="00FD5D81" w:rsidRPr="00770FDF" w:rsidRDefault="00FD5D81" w:rsidP="00FD5D81">
            <w:pPr>
              <w:rPr>
                <w:rStyle w:val="imsender1"/>
                <w:rFonts w:asciiTheme="minorHAnsi" w:hAnsiTheme="minorHAnsi"/>
                <w:b w:val="0"/>
                <w:color w:val="auto"/>
                <w:sz w:val="24"/>
                <w:szCs w:val="24"/>
              </w:rPr>
            </w:pPr>
          </w:p>
          <w:p w14:paraId="408912DB" w14:textId="77777777" w:rsidR="00FD5D81" w:rsidRPr="00770FDF" w:rsidRDefault="00FD5D81" w:rsidP="00FD5D81">
            <w:pPr>
              <w:rPr>
                <w:rStyle w:val="imsender1"/>
                <w:rFonts w:asciiTheme="minorHAnsi" w:hAnsiTheme="minorHAnsi"/>
                <w:b w:val="0"/>
                <w:color w:val="auto"/>
                <w:sz w:val="24"/>
                <w:szCs w:val="24"/>
              </w:rPr>
            </w:pPr>
          </w:p>
          <w:p w14:paraId="65A526B6" w14:textId="77777777" w:rsidR="00FD5D81" w:rsidRPr="00770FDF" w:rsidRDefault="00FD5D81" w:rsidP="00FD5D81">
            <w:pPr>
              <w:rPr>
                <w:rStyle w:val="imsender1"/>
                <w:rFonts w:asciiTheme="minorHAnsi" w:hAnsiTheme="minorHAnsi"/>
                <w:b w:val="0"/>
                <w:color w:val="auto"/>
                <w:sz w:val="24"/>
                <w:szCs w:val="24"/>
              </w:rPr>
            </w:pPr>
            <w:r w:rsidRPr="00770FDF">
              <w:rPr>
                <w:rStyle w:val="imsender1"/>
                <w:rFonts w:asciiTheme="minorHAnsi" w:hAnsiTheme="minorHAnsi"/>
                <w:b w:val="0"/>
                <w:color w:val="auto"/>
                <w:sz w:val="24"/>
                <w:szCs w:val="24"/>
              </w:rPr>
              <w:t>What is the best policy if a debt was just noticed but goes back several years?</w:t>
            </w:r>
            <w:r w:rsidRPr="00770FDF">
              <w:t xml:space="preserve">  </w:t>
            </w:r>
          </w:p>
        </w:tc>
        <w:tc>
          <w:tcPr>
            <w:tcW w:w="7035" w:type="dxa"/>
          </w:tcPr>
          <w:p w14:paraId="0BCAF514" w14:textId="77777777" w:rsidR="00D858A8" w:rsidRDefault="00865FB6" w:rsidP="00D858A8">
            <w:pPr>
              <w:jc w:val="both"/>
            </w:pPr>
            <w:r>
              <w:t xml:space="preserve">Per </w:t>
            </w:r>
            <w:hyperlink r:id="rId11" w:history="1">
              <w:r w:rsidRPr="00865FB6">
                <w:rPr>
                  <w:rStyle w:val="Hyperlink"/>
                </w:rPr>
                <w:t>VA Policy, Volume XII, Chapter 1, 010202</w:t>
              </w:r>
            </w:hyperlink>
            <w:r>
              <w:t xml:space="preserve"> </w:t>
            </w:r>
            <w:r w:rsidR="00D858A8" w:rsidRPr="00D858A8">
              <w:t xml:space="preserve">the station will aggressively pursue the collection of all debts while ensuring that debtor is advised of his or her due process rights regarding the nature and amount of the debt through the issuance of the proper NOI. </w:t>
            </w:r>
            <w:r w:rsidR="00D858A8">
              <w:t xml:space="preserve"> You must assess interest, administrative costs, and penalty charges, as applicable for benefits and non-benefit debts.   </w:t>
            </w:r>
          </w:p>
          <w:p w14:paraId="0428B565" w14:textId="77777777" w:rsidR="00D858A8" w:rsidRPr="00D858A8" w:rsidRDefault="00D858A8" w:rsidP="00D858A8">
            <w:pPr>
              <w:jc w:val="both"/>
              <w:rPr>
                <w:sz w:val="8"/>
                <w:szCs w:val="8"/>
              </w:rPr>
            </w:pPr>
          </w:p>
          <w:p w14:paraId="28C38EDA" w14:textId="77777777" w:rsidR="00FD5D81" w:rsidRPr="00D858A8" w:rsidRDefault="00D858A8" w:rsidP="00D858A8">
            <w:pPr>
              <w:jc w:val="both"/>
              <w:rPr>
                <w:highlight w:val="yellow"/>
              </w:rPr>
            </w:pPr>
            <w:r w:rsidRPr="00D858A8">
              <w:t xml:space="preserve">If debtor fails to respond to the demand letters – refer debt to TOP for collection. </w:t>
            </w:r>
          </w:p>
        </w:tc>
      </w:tr>
      <w:tr w:rsidR="00FD5D81" w:rsidRPr="00770FDF" w14:paraId="3CFD6396" w14:textId="77777777" w:rsidTr="000E349C">
        <w:tc>
          <w:tcPr>
            <w:tcW w:w="3675" w:type="dxa"/>
            <w:shd w:val="clear" w:color="auto" w:fill="auto"/>
          </w:tcPr>
          <w:p w14:paraId="0D8E12C6" w14:textId="77777777" w:rsidR="00FD5D81" w:rsidRPr="00770FDF" w:rsidRDefault="00FD5D81" w:rsidP="00FD5D81">
            <w:pPr>
              <w:rPr>
                <w:rStyle w:val="imsender1"/>
                <w:rFonts w:asciiTheme="minorHAnsi" w:hAnsiTheme="minorHAnsi"/>
                <w:b w:val="0"/>
                <w:color w:val="auto"/>
                <w:sz w:val="24"/>
                <w:szCs w:val="24"/>
              </w:rPr>
            </w:pPr>
            <w:r w:rsidRPr="00770FDF">
              <w:rPr>
                <w:rStyle w:val="imsender1"/>
                <w:rFonts w:asciiTheme="minorHAnsi" w:hAnsiTheme="minorHAnsi"/>
                <w:b w:val="0"/>
                <w:color w:val="auto"/>
                <w:sz w:val="24"/>
                <w:szCs w:val="24"/>
              </w:rPr>
              <w:t>What two accounts were the Treasury accounts?</w:t>
            </w:r>
          </w:p>
        </w:tc>
        <w:tc>
          <w:tcPr>
            <w:tcW w:w="7035" w:type="dxa"/>
            <w:shd w:val="clear" w:color="auto" w:fill="auto"/>
          </w:tcPr>
          <w:p w14:paraId="1E730116" w14:textId="77777777" w:rsidR="00FD5D81" w:rsidRPr="00E475CB" w:rsidRDefault="00FD5D81" w:rsidP="00FD5D81">
            <w:pPr>
              <w:pStyle w:val="NoSpacing"/>
              <w:rPr>
                <w:rFonts w:cs="Segoe UI"/>
              </w:rPr>
            </w:pPr>
            <w:r w:rsidRPr="00E475CB">
              <w:rPr>
                <w:rFonts w:cs="Segoe UI"/>
              </w:rPr>
              <w:t xml:space="preserve">The </w:t>
            </w:r>
            <w:r w:rsidR="00021B2F" w:rsidRPr="00E475CB">
              <w:rPr>
                <w:rFonts w:cs="Segoe UI"/>
              </w:rPr>
              <w:t>two (</w:t>
            </w:r>
            <w:r w:rsidRPr="00E475CB">
              <w:rPr>
                <w:rFonts w:cs="Segoe UI"/>
              </w:rPr>
              <w:t>2</w:t>
            </w:r>
            <w:r w:rsidR="00021B2F" w:rsidRPr="00E475CB">
              <w:rPr>
                <w:rFonts w:cs="Segoe UI"/>
              </w:rPr>
              <w:t>)</w:t>
            </w:r>
            <w:r w:rsidRPr="00E475CB">
              <w:rPr>
                <w:rFonts w:cs="Segoe UI"/>
              </w:rPr>
              <w:t xml:space="preserve"> treasury </w:t>
            </w:r>
            <w:r w:rsidR="00021B2F" w:rsidRPr="00E475CB">
              <w:rPr>
                <w:rFonts w:cs="Segoe UI"/>
              </w:rPr>
              <w:t>funds discussed in the webinar are 36 1435</w:t>
            </w:r>
            <w:r w:rsidR="00DE58D5" w:rsidRPr="00E475CB">
              <w:rPr>
                <w:rFonts w:cs="Segoe UI"/>
              </w:rPr>
              <w:t xml:space="preserve"> – P</w:t>
            </w:r>
            <w:r w:rsidR="00021B2F" w:rsidRPr="00E475CB">
              <w:rPr>
                <w:rFonts w:cs="Segoe UI"/>
              </w:rPr>
              <w:t xml:space="preserve">roprietary Interest Not Class </w:t>
            </w:r>
            <w:r w:rsidRPr="00E475CB">
              <w:rPr>
                <w:rFonts w:cs="Segoe UI"/>
              </w:rPr>
              <w:t xml:space="preserve">and </w:t>
            </w:r>
            <w:r w:rsidR="00021B2F" w:rsidRPr="00E475CB">
              <w:rPr>
                <w:rFonts w:cs="Segoe UI"/>
              </w:rPr>
              <w:t>36 3220 – Proprietary Receipts</w:t>
            </w:r>
            <w:r w:rsidRPr="00E475CB">
              <w:rPr>
                <w:rFonts w:cs="Segoe UI"/>
              </w:rPr>
              <w:t>.</w:t>
            </w:r>
          </w:p>
        </w:tc>
      </w:tr>
      <w:tr w:rsidR="00FD5D81" w:rsidRPr="00770FDF" w14:paraId="13558437" w14:textId="77777777" w:rsidTr="000E349C">
        <w:tc>
          <w:tcPr>
            <w:tcW w:w="3675" w:type="dxa"/>
            <w:shd w:val="clear" w:color="auto" w:fill="auto"/>
          </w:tcPr>
          <w:p w14:paraId="5FE24CFA" w14:textId="77777777" w:rsidR="00FD5D81" w:rsidRDefault="00FD5D81" w:rsidP="00FD5D81">
            <w:pPr>
              <w:rPr>
                <w:rStyle w:val="imsender1"/>
                <w:rFonts w:asciiTheme="minorHAnsi" w:hAnsiTheme="minorHAnsi"/>
                <w:b w:val="0"/>
                <w:color w:val="auto"/>
                <w:sz w:val="24"/>
                <w:szCs w:val="24"/>
              </w:rPr>
            </w:pPr>
            <w:r w:rsidRPr="00271CCA">
              <w:rPr>
                <w:rStyle w:val="imsender1"/>
                <w:rFonts w:asciiTheme="minorHAnsi" w:hAnsiTheme="minorHAnsi"/>
                <w:b w:val="0"/>
                <w:color w:val="auto"/>
                <w:sz w:val="24"/>
                <w:szCs w:val="24"/>
              </w:rPr>
              <w:t>Why would we wait until 30 days after we establish the debt to send the first notification?</w:t>
            </w:r>
          </w:p>
          <w:p w14:paraId="07B00AB6" w14:textId="77777777" w:rsidR="00B3179A" w:rsidRDefault="00B3179A" w:rsidP="00FD5D81">
            <w:pPr>
              <w:rPr>
                <w:rStyle w:val="imsender1"/>
                <w:rFonts w:asciiTheme="minorHAnsi" w:hAnsiTheme="minorHAnsi"/>
                <w:b w:val="0"/>
                <w:color w:val="auto"/>
                <w:sz w:val="24"/>
                <w:szCs w:val="24"/>
              </w:rPr>
            </w:pPr>
            <w:r>
              <w:rPr>
                <w:rStyle w:val="imsender1"/>
                <w:rFonts w:asciiTheme="minorHAnsi" w:hAnsiTheme="minorHAnsi"/>
                <w:b w:val="0"/>
                <w:color w:val="auto"/>
                <w:sz w:val="24"/>
                <w:szCs w:val="24"/>
              </w:rPr>
              <w:t>____________________________</w:t>
            </w:r>
          </w:p>
          <w:p w14:paraId="07978D36" w14:textId="77777777" w:rsidR="00B3179A" w:rsidRPr="00274453" w:rsidRDefault="00B3179A" w:rsidP="00FD5D81">
            <w:pPr>
              <w:rPr>
                <w:rStyle w:val="imsender1"/>
                <w:rFonts w:asciiTheme="minorHAnsi" w:hAnsiTheme="minorHAnsi"/>
                <w:b w:val="0"/>
                <w:color w:val="auto"/>
                <w:sz w:val="24"/>
                <w:szCs w:val="24"/>
                <w:highlight w:val="cyan"/>
              </w:rPr>
            </w:pPr>
            <w:r w:rsidRPr="00210F72">
              <w:t>The time line shown for sending initial notice of indebtedness 30 days after the debt is created.  Is this correct?  It seems like a long time to wait to send the notice.</w:t>
            </w:r>
          </w:p>
        </w:tc>
        <w:tc>
          <w:tcPr>
            <w:tcW w:w="7035" w:type="dxa"/>
            <w:shd w:val="clear" w:color="auto" w:fill="auto"/>
          </w:tcPr>
          <w:p w14:paraId="5C1100B8" w14:textId="77777777" w:rsidR="00FD5D81" w:rsidRPr="00EA6398" w:rsidRDefault="00271CCA" w:rsidP="00EA6398">
            <w:pPr>
              <w:jc w:val="both"/>
              <w:rPr>
                <w:rFonts w:cs="Segoe UI"/>
              </w:rPr>
            </w:pPr>
            <w:r w:rsidRPr="00A06A66">
              <w:rPr>
                <w:rFonts w:cs="Segoe UI"/>
              </w:rPr>
              <w:t>The Initial Notic</w:t>
            </w:r>
            <w:r w:rsidR="002E2AB7">
              <w:rPr>
                <w:rFonts w:cs="Segoe UI"/>
              </w:rPr>
              <w:t>e of Indebtedness should be sent</w:t>
            </w:r>
            <w:r w:rsidRPr="00A06A66">
              <w:rPr>
                <w:rFonts w:cs="Segoe UI"/>
              </w:rPr>
              <w:t xml:space="preserve"> when the BD/debt is established.  A revised timeline has been added to the Webinar PPT, found on our </w:t>
            </w:r>
            <w:hyperlink r:id="rId12" w:history="1">
              <w:r w:rsidRPr="00A06A66">
                <w:rPr>
                  <w:rStyle w:val="Hyperlink"/>
                  <w:rFonts w:cs="Segoe UI"/>
                </w:rPr>
                <w:t>ALAC Training Webinar site</w:t>
              </w:r>
            </w:hyperlink>
            <w:r w:rsidRPr="00A06A66">
              <w:rPr>
                <w:rFonts w:cs="Segoe UI"/>
              </w:rPr>
              <w:t xml:space="preserve"> and at the end of this FAQ.  </w:t>
            </w:r>
          </w:p>
        </w:tc>
      </w:tr>
      <w:tr w:rsidR="00FD5D81" w:rsidRPr="00770FDF" w14:paraId="479872B0" w14:textId="77777777" w:rsidTr="000E349C">
        <w:tc>
          <w:tcPr>
            <w:tcW w:w="3675" w:type="dxa"/>
            <w:shd w:val="clear" w:color="auto" w:fill="auto"/>
          </w:tcPr>
          <w:p w14:paraId="52BDDEA3" w14:textId="77777777" w:rsidR="00FD5D81" w:rsidRPr="00770FDF" w:rsidRDefault="00FD5D81" w:rsidP="00FD5D81">
            <w:pPr>
              <w:spacing w:before="40" w:after="40"/>
            </w:pPr>
            <w:r w:rsidRPr="00770FDF">
              <w:t>What is the correct module to use in CAATS to record the payment of a debt for over payments of salary?</w:t>
            </w:r>
          </w:p>
        </w:tc>
        <w:tc>
          <w:tcPr>
            <w:tcW w:w="7035" w:type="dxa"/>
            <w:shd w:val="clear" w:color="auto" w:fill="auto"/>
          </w:tcPr>
          <w:p w14:paraId="5912F6F1" w14:textId="77777777" w:rsidR="00FD5D81" w:rsidRPr="00770FDF" w:rsidRDefault="00D8119A" w:rsidP="00FD5D81">
            <w:pPr>
              <w:rPr>
                <w:rFonts w:cs="Segoe UI"/>
              </w:rPr>
            </w:pPr>
            <w:r>
              <w:rPr>
                <w:rFonts w:cs="Segoe UI"/>
              </w:rPr>
              <w:t xml:space="preserve">CAATS </w:t>
            </w:r>
            <w:r w:rsidRPr="00D8119A">
              <w:rPr>
                <w:rFonts w:cs="Segoe UI"/>
              </w:rPr>
              <w:sym w:font="Wingdings" w:char="F0E0"/>
            </w:r>
            <w:r>
              <w:rPr>
                <w:rFonts w:cs="Segoe UI"/>
              </w:rPr>
              <w:t xml:space="preserve"> Cost/R</w:t>
            </w:r>
            <w:r w:rsidR="00FD5D81" w:rsidRPr="00770FDF">
              <w:rPr>
                <w:rFonts w:cs="Segoe UI"/>
              </w:rPr>
              <w:t>evenue -</w:t>
            </w:r>
            <w:r>
              <w:rPr>
                <w:rFonts w:cs="Segoe UI"/>
              </w:rPr>
              <w:t>Suspense T</w:t>
            </w:r>
            <w:r w:rsidR="00FD5D81" w:rsidRPr="00770FDF">
              <w:rPr>
                <w:rFonts w:cs="Segoe UI"/>
              </w:rPr>
              <w:t>ransfer</w:t>
            </w:r>
            <w:r>
              <w:rPr>
                <w:rFonts w:cs="Segoe UI"/>
              </w:rPr>
              <w:t xml:space="preserve"> Module, Suspense Offsetting Receivables sub-module may be used to record salary debt offsets payments of a </w:t>
            </w:r>
            <w:r w:rsidRPr="00D858A8">
              <w:rPr>
                <w:rFonts w:cs="Segoe UI"/>
                <w:i/>
                <w:u w:val="single"/>
              </w:rPr>
              <w:t>former</w:t>
            </w:r>
            <w:r>
              <w:rPr>
                <w:rFonts w:cs="Segoe UI"/>
              </w:rPr>
              <w:t xml:space="preserve"> employee’s salary debts.  </w:t>
            </w:r>
          </w:p>
        </w:tc>
      </w:tr>
      <w:tr w:rsidR="00FD5D81" w:rsidRPr="00770FDF" w14:paraId="0640A301" w14:textId="77777777" w:rsidTr="000E349C">
        <w:tblPrEx>
          <w:shd w:val="clear" w:color="auto" w:fill="auto"/>
        </w:tblPrEx>
        <w:tc>
          <w:tcPr>
            <w:tcW w:w="3675" w:type="dxa"/>
          </w:tcPr>
          <w:p w14:paraId="3E749C6F" w14:textId="77777777" w:rsidR="00FD5D81" w:rsidRPr="00770FDF" w:rsidRDefault="00FD5D81" w:rsidP="00FD5D81">
            <w:pPr>
              <w:rPr>
                <w:rStyle w:val="imsender1"/>
                <w:rFonts w:asciiTheme="minorHAnsi" w:hAnsiTheme="minorHAnsi"/>
                <w:b w:val="0"/>
                <w:color w:val="auto"/>
                <w:sz w:val="24"/>
                <w:szCs w:val="24"/>
              </w:rPr>
            </w:pPr>
            <w:r w:rsidRPr="00770FDF">
              <w:rPr>
                <w:rStyle w:val="imsender1"/>
                <w:rFonts w:asciiTheme="minorHAnsi" w:hAnsiTheme="minorHAnsi"/>
                <w:b w:val="0"/>
                <w:color w:val="auto"/>
                <w:sz w:val="24"/>
                <w:szCs w:val="24"/>
              </w:rPr>
              <w:t xml:space="preserve">So when we receive Interest and Admin fee payments we should change the BOC to 3220 from 4210?  And, can we be sent the changes in Admin fees as soon as they change?  </w:t>
            </w:r>
          </w:p>
        </w:tc>
        <w:tc>
          <w:tcPr>
            <w:tcW w:w="7035" w:type="dxa"/>
          </w:tcPr>
          <w:p w14:paraId="1AA227A4" w14:textId="77777777" w:rsidR="00D43D2B" w:rsidRPr="002F3FFE" w:rsidRDefault="00D43D2B" w:rsidP="00D8119A">
            <w:pPr>
              <w:tabs>
                <w:tab w:val="left" w:pos="1245"/>
              </w:tabs>
              <w:jc w:val="both"/>
              <w:rPr>
                <w:rFonts w:cs="Segoe UI"/>
                <w:b/>
                <w:color w:val="92D050"/>
              </w:rPr>
            </w:pPr>
            <w:r w:rsidRPr="002F3FFE">
              <w:rPr>
                <w:rFonts w:cs="Segoe UI"/>
                <w:b/>
                <w:color w:val="92D050"/>
              </w:rPr>
              <w:t>Budget Object Code (BOC) 3220 is related to ‘</w:t>
            </w:r>
            <w:r w:rsidRPr="002F3FFE">
              <w:rPr>
                <w:rFonts w:cs="Segoe UI"/>
                <w:b/>
                <w:i/>
                <w:color w:val="92D050"/>
              </w:rPr>
              <w:t>Buildings</w:t>
            </w:r>
            <w:r w:rsidRPr="002F3FFE">
              <w:rPr>
                <w:rFonts w:cs="Segoe UI"/>
                <w:b/>
                <w:color w:val="92D050"/>
              </w:rPr>
              <w:t xml:space="preserve">’ and would not be appropriate for </w:t>
            </w:r>
            <w:r w:rsidR="00D858A8" w:rsidRPr="002F3FFE">
              <w:rPr>
                <w:rFonts w:cs="Segoe UI"/>
                <w:b/>
                <w:color w:val="92D050"/>
              </w:rPr>
              <w:t>charging</w:t>
            </w:r>
            <w:r w:rsidRPr="002F3FFE">
              <w:rPr>
                <w:rFonts w:cs="Segoe UI"/>
                <w:b/>
                <w:color w:val="92D050"/>
              </w:rPr>
              <w:t xml:space="preserve"> interest, admin costs, and penalties.  </w:t>
            </w:r>
            <w:r w:rsidR="002F3FFE" w:rsidRPr="002F3FFE">
              <w:rPr>
                <w:rFonts w:cs="Segoe UI"/>
                <w:b/>
                <w:color w:val="92D050"/>
              </w:rPr>
              <w:t>(This answer is under review)</w:t>
            </w:r>
          </w:p>
          <w:p w14:paraId="59D785D5" w14:textId="77777777" w:rsidR="00D43D2B" w:rsidRPr="00D858A8" w:rsidRDefault="00D43D2B" w:rsidP="00D8119A">
            <w:pPr>
              <w:pStyle w:val="NoSpacing"/>
              <w:jc w:val="both"/>
              <w:rPr>
                <w:sz w:val="8"/>
                <w:szCs w:val="8"/>
              </w:rPr>
            </w:pPr>
          </w:p>
          <w:p w14:paraId="3C36329E" w14:textId="77777777" w:rsidR="00FD5D81" w:rsidRPr="00770FDF" w:rsidRDefault="00D858A8" w:rsidP="00D8119A">
            <w:pPr>
              <w:tabs>
                <w:tab w:val="left" w:pos="1245"/>
              </w:tabs>
              <w:jc w:val="both"/>
              <w:rPr>
                <w:rFonts w:cs="Segoe UI"/>
              </w:rPr>
            </w:pPr>
            <w:r>
              <w:rPr>
                <w:rFonts w:cs="Segoe UI"/>
              </w:rPr>
              <w:t>All</w:t>
            </w:r>
            <w:r w:rsidR="00D8119A">
              <w:rPr>
                <w:rFonts w:cs="Segoe UI"/>
              </w:rPr>
              <w:t xml:space="preserve"> interest payments should be deposited into Treasury Fund 1435, and all admin costs and penalties should be deposited into Treasury Fund 3220.  </w:t>
            </w:r>
            <w:r w:rsidR="00D8119A">
              <w:rPr>
                <w:rFonts w:ascii="Calibri" w:eastAsiaTheme="minorHAnsi" w:hAnsi="Calibri" w:cs="Segoe UI"/>
                <w:b/>
                <w:sz w:val="22"/>
                <w:szCs w:val="22"/>
              </w:rPr>
              <w:t xml:space="preserve"> </w:t>
            </w:r>
          </w:p>
        </w:tc>
      </w:tr>
      <w:tr w:rsidR="00FD5D81" w:rsidRPr="00770FDF" w14:paraId="7E8BD356" w14:textId="77777777" w:rsidTr="000E349C">
        <w:tblPrEx>
          <w:shd w:val="clear" w:color="auto" w:fill="auto"/>
        </w:tblPrEx>
        <w:tc>
          <w:tcPr>
            <w:tcW w:w="3675" w:type="dxa"/>
            <w:shd w:val="clear" w:color="auto" w:fill="auto"/>
          </w:tcPr>
          <w:p w14:paraId="78BA1B67" w14:textId="77777777" w:rsidR="00FD5D81" w:rsidRPr="00BD2B53" w:rsidRDefault="00FD5D81" w:rsidP="00FD5D81">
            <w:bookmarkStart w:id="2" w:name="_Hlk532371369"/>
            <w:r w:rsidRPr="00BD2B53">
              <w:rPr>
                <w:rStyle w:val="imsender1"/>
                <w:rFonts w:asciiTheme="minorHAnsi" w:hAnsiTheme="minorHAnsi"/>
                <w:b w:val="0"/>
                <w:color w:val="auto"/>
                <w:sz w:val="24"/>
                <w:szCs w:val="24"/>
              </w:rPr>
              <w:t>What if we don’t have the employee address to send the BD debt letter? Where can we locate his or her address?</w:t>
            </w:r>
          </w:p>
        </w:tc>
        <w:tc>
          <w:tcPr>
            <w:tcW w:w="7035" w:type="dxa"/>
            <w:shd w:val="clear" w:color="auto" w:fill="auto"/>
          </w:tcPr>
          <w:p w14:paraId="16BA278C" w14:textId="77777777" w:rsidR="00FD5D81" w:rsidRPr="00BD2B53" w:rsidRDefault="00FD5D81" w:rsidP="00605B4A">
            <w:pPr>
              <w:tabs>
                <w:tab w:val="left" w:pos="1245"/>
              </w:tabs>
            </w:pPr>
            <w:r w:rsidRPr="00BD2B53">
              <w:t xml:space="preserve">The collection letters </w:t>
            </w:r>
            <w:r w:rsidR="00BD2B53">
              <w:t xml:space="preserve">may be sent to the </w:t>
            </w:r>
            <w:r w:rsidRPr="00BD2B53">
              <w:t xml:space="preserve">last known address of the debtor. </w:t>
            </w:r>
            <w:r w:rsidR="00BD2B53" w:rsidRPr="00BD2B53">
              <w:t xml:space="preserve"> </w:t>
            </w:r>
          </w:p>
        </w:tc>
      </w:tr>
      <w:bookmarkEnd w:id="2"/>
      <w:tr w:rsidR="00FD5D81" w:rsidRPr="00770FDF" w14:paraId="6013F78E" w14:textId="77777777" w:rsidTr="000E349C">
        <w:tblPrEx>
          <w:shd w:val="clear" w:color="auto" w:fill="auto"/>
        </w:tblPrEx>
        <w:tc>
          <w:tcPr>
            <w:tcW w:w="3675" w:type="dxa"/>
          </w:tcPr>
          <w:p w14:paraId="55379442" w14:textId="77777777" w:rsidR="00FD5D81" w:rsidRPr="00770FDF" w:rsidRDefault="00FD5D81" w:rsidP="00FD5D81">
            <w:pPr>
              <w:rPr>
                <w:rStyle w:val="imsender1"/>
                <w:rFonts w:asciiTheme="minorHAnsi" w:hAnsiTheme="minorHAnsi"/>
                <w:b w:val="0"/>
                <w:color w:val="auto"/>
                <w:sz w:val="24"/>
                <w:szCs w:val="24"/>
              </w:rPr>
            </w:pPr>
            <w:r w:rsidRPr="00770FDF">
              <w:rPr>
                <w:rStyle w:val="imsender1"/>
                <w:rFonts w:asciiTheme="minorHAnsi" w:hAnsiTheme="minorHAnsi"/>
                <w:b w:val="0"/>
                <w:color w:val="auto"/>
                <w:sz w:val="24"/>
                <w:szCs w:val="24"/>
              </w:rPr>
              <w:t>Are “MTF” the best way to remove items on the F853 report?</w:t>
            </w:r>
          </w:p>
          <w:p w14:paraId="503F984B" w14:textId="77777777" w:rsidR="00FD5D81" w:rsidRPr="00770FDF" w:rsidRDefault="00FD5D81" w:rsidP="00FD5D81">
            <w:pPr>
              <w:rPr>
                <w:rStyle w:val="imsender1"/>
                <w:rFonts w:asciiTheme="minorHAnsi" w:hAnsiTheme="minorHAnsi"/>
                <w:b w:val="0"/>
                <w:color w:val="auto"/>
                <w:sz w:val="24"/>
                <w:szCs w:val="24"/>
              </w:rPr>
            </w:pPr>
          </w:p>
          <w:p w14:paraId="32C259CD" w14:textId="77777777" w:rsidR="00FD5D81" w:rsidRPr="00770FDF" w:rsidRDefault="00FD5D81" w:rsidP="00FD5D81">
            <w:pPr>
              <w:rPr>
                <w:rStyle w:val="imsender1"/>
                <w:rFonts w:asciiTheme="minorHAnsi" w:hAnsiTheme="minorHAnsi"/>
                <w:b w:val="0"/>
                <w:color w:val="auto"/>
                <w:sz w:val="24"/>
                <w:szCs w:val="24"/>
              </w:rPr>
            </w:pPr>
          </w:p>
          <w:p w14:paraId="64FBDE2B" w14:textId="77777777" w:rsidR="00FD5D81" w:rsidRPr="00770FDF" w:rsidRDefault="00FD5D81" w:rsidP="00FD5D81">
            <w:pPr>
              <w:rPr>
                <w:rStyle w:val="imsender1"/>
                <w:rFonts w:asciiTheme="minorHAnsi" w:hAnsiTheme="minorHAnsi"/>
                <w:b w:val="0"/>
                <w:color w:val="auto"/>
                <w:sz w:val="24"/>
                <w:szCs w:val="24"/>
              </w:rPr>
            </w:pPr>
            <w:r w:rsidRPr="00770FDF">
              <w:rPr>
                <w:rStyle w:val="imsender1"/>
                <w:rFonts w:asciiTheme="minorHAnsi" w:hAnsiTheme="minorHAnsi"/>
                <w:b w:val="0"/>
                <w:color w:val="auto"/>
                <w:sz w:val="24"/>
                <w:szCs w:val="24"/>
              </w:rPr>
              <w:lastRenderedPageBreak/>
              <w:t>Do BDs ever fall off our monthly reconciliations, even when written off?</w:t>
            </w:r>
          </w:p>
        </w:tc>
        <w:tc>
          <w:tcPr>
            <w:tcW w:w="7035" w:type="dxa"/>
          </w:tcPr>
          <w:p w14:paraId="2D870983" w14:textId="77777777" w:rsidR="00FD5D81" w:rsidRPr="00770FDF" w:rsidRDefault="00FD5D81" w:rsidP="00FD5D81">
            <w:pPr>
              <w:tabs>
                <w:tab w:val="left" w:pos="1245"/>
              </w:tabs>
            </w:pPr>
            <w:r w:rsidRPr="00770FDF">
              <w:lastRenderedPageBreak/>
              <w:t xml:space="preserve">Items in the F853 RSD reports (Accounts Receivables) </w:t>
            </w:r>
            <w:r w:rsidR="00E475CB">
              <w:t>may be</w:t>
            </w:r>
            <w:r w:rsidRPr="00770FDF">
              <w:t xml:space="preserve"> cleared using </w:t>
            </w:r>
            <w:r w:rsidR="00E475CB">
              <w:t xml:space="preserve">either </w:t>
            </w:r>
            <w:r w:rsidRPr="00770FDF">
              <w:t>the following methods:</w:t>
            </w:r>
            <w:r w:rsidR="00E475CB">
              <w:t xml:space="preserve"> </w:t>
            </w:r>
          </w:p>
          <w:p w14:paraId="3084C407" w14:textId="77777777" w:rsidR="00E475CB" w:rsidRPr="00EA6398" w:rsidRDefault="00E475CB" w:rsidP="00E475CB">
            <w:pPr>
              <w:pStyle w:val="ListParagraph"/>
              <w:numPr>
                <w:ilvl w:val="0"/>
                <w:numId w:val="8"/>
              </w:numPr>
              <w:tabs>
                <w:tab w:val="left" w:pos="1245"/>
              </w:tabs>
              <w:ind w:left="271" w:hanging="270"/>
              <w:rPr>
                <w:b w:val="0"/>
                <w:sz w:val="24"/>
                <w:szCs w:val="24"/>
              </w:rPr>
            </w:pPr>
            <w:r w:rsidRPr="00EA6398">
              <w:rPr>
                <w:b w:val="0"/>
                <w:sz w:val="24"/>
                <w:szCs w:val="24"/>
                <w:u w:val="single"/>
              </w:rPr>
              <w:t>Payment Offsets from DMC or the debtor</w:t>
            </w:r>
            <w:r w:rsidRPr="00EA6398">
              <w:rPr>
                <w:b w:val="0"/>
                <w:sz w:val="24"/>
                <w:szCs w:val="24"/>
              </w:rPr>
              <w:t xml:space="preserve">:  </w:t>
            </w:r>
            <w:r w:rsidR="00FD5D81" w:rsidRPr="00EA6398">
              <w:rPr>
                <w:b w:val="0"/>
                <w:sz w:val="24"/>
                <w:szCs w:val="24"/>
              </w:rPr>
              <w:t xml:space="preserve">CAATS </w:t>
            </w:r>
            <w:r w:rsidRPr="00EA6398">
              <w:rPr>
                <w:b w:val="0"/>
                <w:sz w:val="24"/>
                <w:szCs w:val="24"/>
              </w:rPr>
              <w:sym w:font="Wingdings" w:char="F0E0"/>
            </w:r>
            <w:r w:rsidRPr="00EA6398">
              <w:rPr>
                <w:b w:val="0"/>
                <w:sz w:val="24"/>
                <w:szCs w:val="24"/>
              </w:rPr>
              <w:t xml:space="preserve"> </w:t>
            </w:r>
            <w:r w:rsidR="00FD5D81" w:rsidRPr="00EA6398">
              <w:rPr>
                <w:b w:val="0"/>
                <w:sz w:val="24"/>
                <w:szCs w:val="24"/>
              </w:rPr>
              <w:t>Cost/</w:t>
            </w:r>
            <w:r w:rsidRPr="00EA6398">
              <w:rPr>
                <w:b w:val="0"/>
                <w:sz w:val="24"/>
                <w:szCs w:val="24"/>
              </w:rPr>
              <w:t xml:space="preserve">Revenue </w:t>
            </w:r>
            <w:r w:rsidR="00FD5D81" w:rsidRPr="00EA6398">
              <w:rPr>
                <w:b w:val="0"/>
                <w:sz w:val="24"/>
                <w:szCs w:val="24"/>
              </w:rPr>
              <w:t xml:space="preserve">Suspense </w:t>
            </w:r>
            <w:r w:rsidRPr="00EA6398">
              <w:rPr>
                <w:b w:val="0"/>
                <w:sz w:val="24"/>
                <w:szCs w:val="24"/>
              </w:rPr>
              <w:t>T</w:t>
            </w:r>
            <w:r w:rsidR="00FD5D81" w:rsidRPr="00EA6398">
              <w:rPr>
                <w:b w:val="0"/>
                <w:sz w:val="24"/>
                <w:szCs w:val="24"/>
              </w:rPr>
              <w:t>ransfer module</w:t>
            </w:r>
            <w:r w:rsidRPr="00EA6398">
              <w:rPr>
                <w:b w:val="0"/>
                <w:sz w:val="24"/>
                <w:szCs w:val="24"/>
              </w:rPr>
              <w:t xml:space="preserve"> – Suspense Offsetting Receivable submodule</w:t>
            </w:r>
          </w:p>
          <w:p w14:paraId="7061076C" w14:textId="77777777" w:rsidR="00FD5D81" w:rsidRPr="00EA6398" w:rsidRDefault="00E475CB" w:rsidP="00E475CB">
            <w:pPr>
              <w:pStyle w:val="ListParagraph"/>
              <w:numPr>
                <w:ilvl w:val="0"/>
                <w:numId w:val="8"/>
              </w:numPr>
              <w:tabs>
                <w:tab w:val="left" w:pos="1245"/>
              </w:tabs>
              <w:ind w:left="271" w:hanging="270"/>
              <w:rPr>
                <w:b w:val="0"/>
                <w:sz w:val="24"/>
                <w:szCs w:val="24"/>
              </w:rPr>
            </w:pPr>
            <w:r w:rsidRPr="00EA6398">
              <w:rPr>
                <w:b w:val="0"/>
                <w:sz w:val="24"/>
                <w:szCs w:val="24"/>
                <w:u w:val="single"/>
              </w:rPr>
              <w:lastRenderedPageBreak/>
              <w:t>FEHB LWOP Payment Offsets</w:t>
            </w:r>
            <w:r w:rsidRPr="00EA6398">
              <w:rPr>
                <w:b w:val="0"/>
                <w:sz w:val="24"/>
                <w:szCs w:val="24"/>
              </w:rPr>
              <w:t xml:space="preserve">: Miscellaneous Transfer Form (MTF), </w:t>
            </w:r>
            <w:r w:rsidR="00FD5D81" w:rsidRPr="00EA6398">
              <w:rPr>
                <w:b w:val="0"/>
                <w:sz w:val="24"/>
                <w:szCs w:val="24"/>
              </w:rPr>
              <w:t>only if FEHBLWOP debts.</w:t>
            </w:r>
          </w:p>
          <w:p w14:paraId="5566B3FE" w14:textId="77777777" w:rsidR="00FD5D81" w:rsidRPr="00E475CB" w:rsidRDefault="00FD5D81" w:rsidP="00E475CB">
            <w:pPr>
              <w:pStyle w:val="ListParagraph"/>
              <w:numPr>
                <w:ilvl w:val="0"/>
                <w:numId w:val="8"/>
              </w:numPr>
              <w:tabs>
                <w:tab w:val="left" w:pos="1245"/>
              </w:tabs>
              <w:ind w:left="271" w:hanging="270"/>
              <w:rPr>
                <w:b w:val="0"/>
              </w:rPr>
            </w:pPr>
            <w:r w:rsidRPr="00EA6398">
              <w:rPr>
                <w:b w:val="0"/>
                <w:sz w:val="24"/>
                <w:szCs w:val="24"/>
                <w:u w:val="single"/>
              </w:rPr>
              <w:t>Write-offs</w:t>
            </w:r>
            <w:r w:rsidRPr="00EA6398">
              <w:rPr>
                <w:b w:val="0"/>
                <w:sz w:val="24"/>
                <w:szCs w:val="24"/>
              </w:rPr>
              <w:t xml:space="preserve"> – </w:t>
            </w:r>
            <w:r w:rsidR="00E475CB" w:rsidRPr="00EA6398">
              <w:rPr>
                <w:b w:val="0"/>
                <w:sz w:val="24"/>
                <w:szCs w:val="24"/>
              </w:rPr>
              <w:t>Submit Memo with appropriate legal source of authority</w:t>
            </w:r>
            <w:r w:rsidR="0033376D" w:rsidRPr="00EA6398">
              <w:rPr>
                <w:b w:val="0"/>
                <w:sz w:val="24"/>
                <w:szCs w:val="24"/>
              </w:rPr>
              <w:t xml:space="preserve"> and signature to ALAC</w:t>
            </w:r>
            <w:r w:rsidR="00E475CB" w:rsidRPr="00EA6398">
              <w:rPr>
                <w:b w:val="0"/>
                <w:sz w:val="24"/>
                <w:szCs w:val="24"/>
              </w:rPr>
              <w:t xml:space="preserve">.   </w:t>
            </w:r>
          </w:p>
        </w:tc>
      </w:tr>
      <w:tr w:rsidR="00FD5D81" w:rsidRPr="00770FDF" w14:paraId="45F290C9" w14:textId="77777777" w:rsidTr="000E349C">
        <w:tblPrEx>
          <w:shd w:val="clear" w:color="auto" w:fill="auto"/>
        </w:tblPrEx>
        <w:tc>
          <w:tcPr>
            <w:tcW w:w="3675" w:type="dxa"/>
          </w:tcPr>
          <w:p w14:paraId="790CEC15" w14:textId="77777777" w:rsidR="00FD5D81" w:rsidRPr="00770FDF" w:rsidRDefault="00FD5D81" w:rsidP="00FD5D81">
            <w:pPr>
              <w:rPr>
                <w:b/>
              </w:rPr>
            </w:pPr>
            <w:r w:rsidRPr="00770FDF">
              <w:rPr>
                <w:rStyle w:val="imsender1"/>
                <w:rFonts w:asciiTheme="minorHAnsi" w:hAnsiTheme="minorHAnsi"/>
                <w:b w:val="0"/>
                <w:color w:val="auto"/>
                <w:sz w:val="24"/>
                <w:szCs w:val="24"/>
              </w:rPr>
              <w:lastRenderedPageBreak/>
              <w:t>How are military furlough</w:t>
            </w:r>
            <w:r>
              <w:rPr>
                <w:rStyle w:val="imsender1"/>
                <w:rFonts w:asciiTheme="minorHAnsi" w:hAnsiTheme="minorHAnsi"/>
                <w:b w:val="0"/>
                <w:color w:val="auto"/>
                <w:sz w:val="24"/>
                <w:szCs w:val="24"/>
              </w:rPr>
              <w:t>s</w:t>
            </w:r>
            <w:r w:rsidRPr="00770FDF">
              <w:rPr>
                <w:rStyle w:val="imsender1"/>
                <w:rFonts w:asciiTheme="minorHAnsi" w:hAnsiTheme="minorHAnsi"/>
                <w:b w:val="0"/>
                <w:color w:val="auto"/>
                <w:sz w:val="24"/>
                <w:szCs w:val="24"/>
              </w:rPr>
              <w:t xml:space="preserve"> written off? What is the process?  </w:t>
            </w:r>
            <w:r w:rsidRPr="00770FDF">
              <w:rPr>
                <w:b/>
              </w:rPr>
              <w:t xml:space="preserve"> </w:t>
            </w:r>
          </w:p>
        </w:tc>
        <w:tc>
          <w:tcPr>
            <w:tcW w:w="7035" w:type="dxa"/>
          </w:tcPr>
          <w:p w14:paraId="7FC9D83D" w14:textId="77777777" w:rsidR="002119FE" w:rsidRDefault="006D6112" w:rsidP="00E475CB">
            <w:pPr>
              <w:jc w:val="both"/>
            </w:pPr>
            <w:r w:rsidRPr="006D6112">
              <w:t>Federal employees called or ordered to active duty for more than 30 days, can keep their FEHB coverage for up to 24 months. FEHB law allows employees called to active duty to continue their enrollment for up to 365 days while on military duty.</w:t>
            </w:r>
            <w:r>
              <w:t xml:space="preserve"> </w:t>
            </w:r>
          </w:p>
          <w:p w14:paraId="7D798AAD" w14:textId="77777777" w:rsidR="00E475CB" w:rsidRPr="00E475CB" w:rsidRDefault="00E475CB" w:rsidP="00E475CB">
            <w:pPr>
              <w:jc w:val="both"/>
              <w:rPr>
                <w:sz w:val="8"/>
                <w:szCs w:val="8"/>
              </w:rPr>
            </w:pPr>
          </w:p>
          <w:p w14:paraId="3ACA0C0E" w14:textId="77777777" w:rsidR="00FD5D81" w:rsidRPr="00E475CB" w:rsidRDefault="00FD5D81" w:rsidP="00E475CB">
            <w:pPr>
              <w:ind w:left="181" w:right="151"/>
              <w:jc w:val="both"/>
              <w:rPr>
                <w:i/>
                <w:sz w:val="20"/>
                <w:szCs w:val="20"/>
              </w:rPr>
            </w:pPr>
            <w:r w:rsidRPr="00E475CB">
              <w:rPr>
                <w:i/>
                <w:sz w:val="20"/>
                <w:szCs w:val="20"/>
              </w:rPr>
              <w:t xml:space="preserve">Per the OF Bulletin 03GA2.02 Section 8906 (e)(1)(B)(ii) and 5542a(c) of the Title 5 US Code; grants agencies the authority to waive collection of all or any part of the requirement that employees pay their share of advanced FEHB premiums. The Office of Finance Management (OFM) has recommended that Federal agencies pay both the employee and government share of FEHB premiums for employees who are in a leave without pay status and called to active military duty, in excess of 30 days under certain conditions.  </w:t>
            </w:r>
          </w:p>
          <w:p w14:paraId="743D3CA4" w14:textId="77777777" w:rsidR="00E475CB" w:rsidRPr="00E475CB" w:rsidRDefault="00E475CB" w:rsidP="00FD5D81">
            <w:pPr>
              <w:rPr>
                <w:sz w:val="8"/>
                <w:szCs w:val="8"/>
              </w:rPr>
            </w:pPr>
          </w:p>
          <w:p w14:paraId="6C4C4B53" w14:textId="77777777" w:rsidR="00FD5D81" w:rsidRPr="00770FDF" w:rsidRDefault="00FD5D81" w:rsidP="00E475CB">
            <w:pPr>
              <w:jc w:val="both"/>
            </w:pPr>
            <w:r w:rsidRPr="00770FDF">
              <w:t xml:space="preserve">The Regional Office </w:t>
            </w:r>
            <w:r w:rsidR="00E475CB">
              <w:t xml:space="preserve">should </w:t>
            </w:r>
            <w:r w:rsidRPr="00770FDF">
              <w:t xml:space="preserve">submit a </w:t>
            </w:r>
            <w:r w:rsidR="00E475CB">
              <w:t xml:space="preserve">Write-off Request </w:t>
            </w:r>
            <w:r w:rsidRPr="00770FDF">
              <w:t>Memorandum, include</w:t>
            </w:r>
            <w:r w:rsidR="00E475CB">
              <w:t xml:space="preserve"> the above legal </w:t>
            </w:r>
            <w:r w:rsidRPr="00770FDF">
              <w:t>source of authority reference</w:t>
            </w:r>
            <w:r w:rsidR="00E475CB">
              <w:t xml:space="preserve"> as justification for the write-off, and submit with appropriate signature to ALAC for processing. </w:t>
            </w:r>
          </w:p>
        </w:tc>
      </w:tr>
      <w:tr w:rsidR="00FD5D81" w:rsidRPr="00770FDF" w14:paraId="5BAE6D5F" w14:textId="77777777" w:rsidTr="000E349C">
        <w:tblPrEx>
          <w:shd w:val="clear" w:color="auto" w:fill="auto"/>
        </w:tblPrEx>
        <w:tc>
          <w:tcPr>
            <w:tcW w:w="3675" w:type="dxa"/>
          </w:tcPr>
          <w:p w14:paraId="05A93C93" w14:textId="77777777" w:rsidR="00FD5D81" w:rsidRPr="00936857" w:rsidRDefault="00FD5D81" w:rsidP="00605B4A">
            <w:pPr>
              <w:rPr>
                <w:rFonts w:cs="Segoe UI"/>
              </w:rPr>
            </w:pPr>
            <w:bookmarkStart w:id="3" w:name="_Hlk531689118"/>
            <w:r w:rsidRPr="00936857">
              <w:rPr>
                <w:bCs/>
              </w:rPr>
              <w:t xml:space="preserve">How do we clear disability retirement BDs?  </w:t>
            </w:r>
            <w:r w:rsidRPr="00936857">
              <w:rPr>
                <w:rFonts w:cs="Segoe UI"/>
              </w:rPr>
              <w:t>We have quite a few A/R’s on FEHB where employees were separated with approved disability retirement.  We are unable to send an MTF because HRC don’t have the disability approval letter for the employee so we can request reversal of the FEHB advances through DFAS.  What do we do if HRC doesn’t have the disability approval letter on file?</w:t>
            </w:r>
          </w:p>
          <w:p w14:paraId="488586CE" w14:textId="77777777" w:rsidR="00FD5D81" w:rsidRPr="00936857" w:rsidRDefault="00FD5D81" w:rsidP="00936857">
            <w:pPr>
              <w:jc w:val="both"/>
              <w:rPr>
                <w:rFonts w:cs="Segoe UI"/>
              </w:rPr>
            </w:pPr>
          </w:p>
          <w:p w14:paraId="4591578A" w14:textId="77777777" w:rsidR="00FD5D81" w:rsidRPr="00936857" w:rsidRDefault="00FD5D81" w:rsidP="00605B4A">
            <w:pPr>
              <w:rPr>
                <w:rFonts w:cs="Segoe UI"/>
              </w:rPr>
            </w:pPr>
            <w:r w:rsidRPr="00936857">
              <w:rPr>
                <w:rFonts w:cs="Segoe UI"/>
              </w:rPr>
              <w:t>Our RO is recommending to create a debt for the employees, and request for the letter.  Once we receive a reply with the letter, we can process the reversal through DFAS Remedy ticket.  If we don’t get a response, we will send it to TOPS.</w:t>
            </w:r>
          </w:p>
          <w:p w14:paraId="73D826A4" w14:textId="77777777" w:rsidR="00FD5D81" w:rsidRPr="00936857" w:rsidRDefault="00FD5D81" w:rsidP="00936857">
            <w:pPr>
              <w:jc w:val="both"/>
              <w:rPr>
                <w:rFonts w:cs="Segoe UI"/>
              </w:rPr>
            </w:pPr>
          </w:p>
          <w:p w14:paraId="464F55CB" w14:textId="77777777" w:rsidR="00FD5D81" w:rsidRPr="00936857" w:rsidRDefault="00FD5D81" w:rsidP="00BB1260">
            <w:pPr>
              <w:rPr>
                <w:rFonts w:cs="Segoe UI"/>
              </w:rPr>
            </w:pPr>
            <w:r w:rsidRPr="00936857">
              <w:rPr>
                <w:rFonts w:cs="Segoe UI"/>
              </w:rPr>
              <w:lastRenderedPageBreak/>
              <w:t>If it has been sent to TOPS over 2 years, can we write that off if we don’t hear back from them?</w:t>
            </w:r>
          </w:p>
        </w:tc>
        <w:tc>
          <w:tcPr>
            <w:tcW w:w="7035" w:type="dxa"/>
          </w:tcPr>
          <w:p w14:paraId="6C9B1C18" w14:textId="77777777" w:rsidR="00FD5D81" w:rsidRDefault="002E3D91" w:rsidP="00FD5D81">
            <w:pPr>
              <w:jc w:val="both"/>
              <w:rPr>
                <w:rFonts w:cs="Segoe UI"/>
              </w:rPr>
            </w:pPr>
            <w:hyperlink r:id="rId13" w:history="1">
              <w:r w:rsidR="00E475CB" w:rsidRPr="00865FB6">
                <w:rPr>
                  <w:rStyle w:val="Hyperlink"/>
                </w:rPr>
                <w:t>VA Policy, Volume XII, Chapter 1, 010202</w:t>
              </w:r>
            </w:hyperlink>
            <w:r w:rsidR="00FD5D81" w:rsidRPr="00770FDF">
              <w:rPr>
                <w:rFonts w:cs="Segoe UI"/>
              </w:rPr>
              <w:t xml:space="preserve"> - the station will aggressively pursue the collection of all debts while ensuring that debtor is advised of his or her due process rights regarding the nature and amount of the debt through the issuance of the proper NOI. If debtor fails to respond to the demand letters – refer debt to TOP for collection. </w:t>
            </w:r>
          </w:p>
          <w:p w14:paraId="1591AC46" w14:textId="77777777" w:rsidR="00E475CB" w:rsidRPr="00E475CB" w:rsidRDefault="00E475CB" w:rsidP="00FD5D81">
            <w:pPr>
              <w:jc w:val="both"/>
              <w:rPr>
                <w:rFonts w:cs="Segoe UI"/>
              </w:rPr>
            </w:pPr>
          </w:p>
          <w:p w14:paraId="108AAE1C" w14:textId="77777777" w:rsidR="00FD5D81" w:rsidRDefault="00FD5D81" w:rsidP="00E475CB">
            <w:pPr>
              <w:jc w:val="both"/>
              <w:rPr>
                <w:rFonts w:cs="Segoe UI"/>
              </w:rPr>
            </w:pPr>
            <w:r w:rsidRPr="00770FDF">
              <w:rPr>
                <w:rFonts w:cs="Segoe UI"/>
              </w:rPr>
              <w:t xml:space="preserve">Once an employee has been approved for disability retirement – DFAS will not be able to collect from the employee payroll. </w:t>
            </w:r>
            <w:r w:rsidR="00E125AC">
              <w:t>A</w:t>
            </w:r>
            <w:r w:rsidR="00E125AC" w:rsidRPr="00770FDF">
              <w:t xml:space="preserve"> Remedy Ticket </w:t>
            </w:r>
            <w:r w:rsidR="00E125AC">
              <w:t>is</w:t>
            </w:r>
            <w:r w:rsidR="00E125AC" w:rsidRPr="00770FDF">
              <w:t xml:space="preserve"> not necessary</w:t>
            </w:r>
            <w:r w:rsidR="00E125AC">
              <w:t>, since DFAS does not manage this receivable.</w:t>
            </w:r>
            <w:r w:rsidR="00E125AC">
              <w:rPr>
                <w:rFonts w:cs="Segoe UI"/>
              </w:rPr>
              <w:t xml:space="preserve"> The station is responsible to manage the debt and </w:t>
            </w:r>
            <w:r w:rsidRPr="00770FDF">
              <w:rPr>
                <w:rFonts w:cs="Segoe UI"/>
              </w:rPr>
              <w:t>inform the employee of any debt owe</w:t>
            </w:r>
            <w:r w:rsidR="00E125AC">
              <w:rPr>
                <w:rFonts w:cs="Segoe UI"/>
              </w:rPr>
              <w:t>d</w:t>
            </w:r>
            <w:r w:rsidRPr="00770FDF">
              <w:rPr>
                <w:rFonts w:cs="Segoe UI"/>
              </w:rPr>
              <w:t xml:space="preserve"> to the government prior to the employee’s approved disability retirement.</w:t>
            </w:r>
            <w:r w:rsidR="00E125AC">
              <w:rPr>
                <w:rFonts w:cs="Segoe UI"/>
              </w:rPr>
              <w:t xml:space="preserve">  </w:t>
            </w:r>
          </w:p>
          <w:p w14:paraId="33460FE3" w14:textId="77777777" w:rsidR="00E475CB" w:rsidRPr="00770FDF" w:rsidRDefault="00E475CB" w:rsidP="00E475CB">
            <w:pPr>
              <w:jc w:val="both"/>
            </w:pPr>
          </w:p>
          <w:p w14:paraId="21DC3548" w14:textId="77777777" w:rsidR="00E125AC" w:rsidRDefault="00E125AC" w:rsidP="00E125AC">
            <w:pPr>
              <w:jc w:val="both"/>
              <w:rPr>
                <w:rFonts w:cs="Segoe UI"/>
              </w:rPr>
            </w:pPr>
            <w:r>
              <w:t>H</w:t>
            </w:r>
            <w:r w:rsidR="00FD5D81" w:rsidRPr="00770FDF">
              <w:t xml:space="preserve">owever, </w:t>
            </w:r>
            <w:r>
              <w:t xml:space="preserve">if </w:t>
            </w:r>
            <w:r w:rsidR="00FD5D81" w:rsidRPr="00770FDF">
              <w:t xml:space="preserve">a Disability / retirement approval is not on file, the Regional Office should establish the Billing Document in CAATS </w:t>
            </w:r>
            <w:r>
              <w:sym w:font="Wingdings" w:char="F0E0"/>
            </w:r>
            <w:r>
              <w:t xml:space="preserve"> </w:t>
            </w:r>
            <w:r w:rsidR="00FD5D81" w:rsidRPr="00770FDF">
              <w:t>Accounts Receivable Module</w:t>
            </w:r>
            <w:r>
              <w:t xml:space="preserve"> </w:t>
            </w:r>
            <w:r>
              <w:sym w:font="Wingdings" w:char="F0E0"/>
            </w:r>
            <w:r>
              <w:t xml:space="preserve"> Employee Payroll Debt, </w:t>
            </w:r>
            <w:r w:rsidR="00FD5D81" w:rsidRPr="00770FDF">
              <w:t xml:space="preserve">and proceed with </w:t>
            </w:r>
            <w:r>
              <w:rPr>
                <w:rFonts w:cs="Segoe UI"/>
              </w:rPr>
              <w:t xml:space="preserve">collection efforts. </w:t>
            </w:r>
          </w:p>
          <w:p w14:paraId="17F4DF61" w14:textId="77777777" w:rsidR="00E125AC" w:rsidRPr="00E475CB" w:rsidRDefault="00E125AC" w:rsidP="00FD5D81">
            <w:pPr>
              <w:rPr>
                <w:rFonts w:cs="Segoe UI"/>
                <w:sz w:val="16"/>
                <w:szCs w:val="16"/>
              </w:rPr>
            </w:pPr>
          </w:p>
          <w:p w14:paraId="282A4603" w14:textId="77777777" w:rsidR="00FD5D81" w:rsidRDefault="00FD5D81" w:rsidP="00E125AC">
            <w:pPr>
              <w:jc w:val="both"/>
            </w:pPr>
            <w:r w:rsidRPr="00770FDF">
              <w:t xml:space="preserve">Depending on the amount of the debt, debts may be terminated for several reasons. </w:t>
            </w:r>
            <w:r w:rsidR="00E125AC">
              <w:t xml:space="preserve">See </w:t>
            </w:r>
            <w:hyperlink r:id="rId14" w:history="1">
              <w:r w:rsidR="00E125AC" w:rsidRPr="00E125AC">
                <w:rPr>
                  <w:rStyle w:val="Hyperlink"/>
                </w:rPr>
                <w:t>VAFP Volume XII Chapter 01I, Termination of Collection Action and Close Out of Debt</w:t>
              </w:r>
            </w:hyperlink>
            <w:r w:rsidR="00E125AC">
              <w:t xml:space="preserve">. </w:t>
            </w:r>
          </w:p>
          <w:p w14:paraId="78CC9649" w14:textId="77777777" w:rsidR="00BB1260" w:rsidRPr="00770FDF" w:rsidRDefault="00BB1260" w:rsidP="00E125AC">
            <w:pPr>
              <w:jc w:val="both"/>
            </w:pPr>
          </w:p>
        </w:tc>
      </w:tr>
      <w:bookmarkEnd w:id="3"/>
      <w:tr w:rsidR="00FD5D81" w:rsidRPr="00770FDF" w14:paraId="6CDFE870" w14:textId="77777777" w:rsidTr="000E349C">
        <w:tblPrEx>
          <w:shd w:val="clear" w:color="auto" w:fill="auto"/>
        </w:tblPrEx>
        <w:tc>
          <w:tcPr>
            <w:tcW w:w="3675" w:type="dxa"/>
          </w:tcPr>
          <w:p w14:paraId="4DA6C348" w14:textId="77777777" w:rsidR="00FD5D81" w:rsidRPr="00770FDF" w:rsidRDefault="00FD5D81" w:rsidP="00FD5D81">
            <w:pPr>
              <w:rPr>
                <w:rStyle w:val="imsender1"/>
                <w:rFonts w:asciiTheme="minorHAnsi" w:hAnsiTheme="minorHAnsi"/>
                <w:b w:val="0"/>
                <w:color w:val="auto"/>
                <w:sz w:val="24"/>
                <w:szCs w:val="24"/>
              </w:rPr>
            </w:pPr>
            <w:r w:rsidRPr="00770FDF">
              <w:rPr>
                <w:rStyle w:val="imsender1"/>
                <w:rFonts w:asciiTheme="minorHAnsi" w:hAnsiTheme="minorHAnsi"/>
                <w:b w:val="0"/>
                <w:color w:val="auto"/>
                <w:sz w:val="24"/>
                <w:szCs w:val="24"/>
              </w:rPr>
              <w:t xml:space="preserve">Can you write off debt as a CNC Debt and keep it active in TOPS, and what is the accounting action if we received payments after the fact? </w:t>
            </w:r>
          </w:p>
        </w:tc>
        <w:tc>
          <w:tcPr>
            <w:tcW w:w="7035" w:type="dxa"/>
          </w:tcPr>
          <w:p w14:paraId="119E7EF8" w14:textId="77777777" w:rsidR="00A06A66" w:rsidRPr="00A06A66" w:rsidRDefault="00E125AC" w:rsidP="00FD5D81">
            <w:r w:rsidRPr="00A06A66">
              <w:t xml:space="preserve">DMC will continue collection efforts until the station suspends or terminates collection activity.  </w:t>
            </w:r>
          </w:p>
          <w:p w14:paraId="0879B375" w14:textId="77777777" w:rsidR="00A06A66" w:rsidRPr="00A06A66" w:rsidRDefault="00B94888" w:rsidP="00A06A66">
            <w:pPr>
              <w:pStyle w:val="ListParagraph"/>
              <w:numPr>
                <w:ilvl w:val="0"/>
                <w:numId w:val="12"/>
              </w:numPr>
              <w:ind w:left="271" w:hanging="270"/>
              <w:rPr>
                <w:b w:val="0"/>
                <w:sz w:val="24"/>
                <w:szCs w:val="24"/>
              </w:rPr>
            </w:pPr>
            <w:r w:rsidRPr="00A06A66">
              <w:rPr>
                <w:b w:val="0"/>
                <w:sz w:val="24"/>
                <w:szCs w:val="24"/>
              </w:rPr>
              <w:t>If a payment is received via TOP</w:t>
            </w:r>
            <w:r w:rsidR="00A06A66" w:rsidRPr="00A06A66">
              <w:rPr>
                <w:b w:val="0"/>
                <w:sz w:val="24"/>
                <w:szCs w:val="24"/>
              </w:rPr>
              <w:t xml:space="preserve">, DMC will return funds to the station’s suspense and provide instructions to properly offset the debt.  </w:t>
            </w:r>
          </w:p>
          <w:p w14:paraId="3FE64E4B" w14:textId="77777777" w:rsidR="00FD5D81" w:rsidRPr="00975AF7" w:rsidRDefault="0033376D" w:rsidP="00A06A66">
            <w:pPr>
              <w:pStyle w:val="ListParagraph"/>
              <w:numPr>
                <w:ilvl w:val="0"/>
                <w:numId w:val="12"/>
              </w:numPr>
              <w:ind w:left="271" w:hanging="270"/>
            </w:pPr>
            <w:r>
              <w:rPr>
                <w:b w:val="0"/>
                <w:sz w:val="24"/>
                <w:szCs w:val="24"/>
              </w:rPr>
              <w:t>If the funds were remitted by debtor directly to the station</w:t>
            </w:r>
            <w:r w:rsidR="00A06A66" w:rsidRPr="00A06A66">
              <w:rPr>
                <w:b w:val="0"/>
                <w:sz w:val="24"/>
                <w:szCs w:val="24"/>
              </w:rPr>
              <w:t xml:space="preserve">, suspend collection activity </w:t>
            </w:r>
            <w:r>
              <w:rPr>
                <w:b w:val="0"/>
                <w:sz w:val="24"/>
                <w:szCs w:val="24"/>
              </w:rPr>
              <w:t>at</w:t>
            </w:r>
            <w:r w:rsidR="00A06A66" w:rsidRPr="00A06A66">
              <w:rPr>
                <w:b w:val="0"/>
                <w:sz w:val="24"/>
                <w:szCs w:val="24"/>
              </w:rPr>
              <w:t xml:space="preserve"> TOP</w:t>
            </w:r>
            <w:r>
              <w:rPr>
                <w:b w:val="0"/>
                <w:sz w:val="24"/>
                <w:szCs w:val="24"/>
              </w:rPr>
              <w:t xml:space="preserve"> first</w:t>
            </w:r>
            <w:r w:rsidR="00A06A66" w:rsidRPr="00A06A66">
              <w:rPr>
                <w:b w:val="0"/>
                <w:sz w:val="24"/>
                <w:szCs w:val="24"/>
              </w:rPr>
              <w:t xml:space="preserve">.  Then, </w:t>
            </w:r>
            <w:r>
              <w:rPr>
                <w:b w:val="0"/>
                <w:sz w:val="24"/>
                <w:szCs w:val="24"/>
              </w:rPr>
              <w:t xml:space="preserve">perform offset in CAATS </w:t>
            </w:r>
            <w:r w:rsidRPr="0033376D">
              <w:rPr>
                <w:b w:val="0"/>
                <w:sz w:val="24"/>
                <w:szCs w:val="24"/>
              </w:rPr>
              <w:sym w:font="Wingdings" w:char="F0E0"/>
            </w:r>
            <w:r>
              <w:rPr>
                <w:b w:val="0"/>
                <w:sz w:val="24"/>
                <w:szCs w:val="24"/>
              </w:rPr>
              <w:t xml:space="preserve"> Cost/Revenue Suspense Transfer Module </w:t>
            </w:r>
            <w:r w:rsidRPr="0033376D">
              <w:rPr>
                <w:b w:val="0"/>
                <w:sz w:val="24"/>
                <w:szCs w:val="24"/>
              </w:rPr>
              <w:sym w:font="Wingdings" w:char="F0E0"/>
            </w:r>
            <w:r>
              <w:rPr>
                <w:b w:val="0"/>
                <w:sz w:val="24"/>
                <w:szCs w:val="24"/>
              </w:rPr>
              <w:t xml:space="preserve"> Suspense Offsetting Receivable submodule</w:t>
            </w:r>
            <w:r w:rsidR="00975AF7">
              <w:rPr>
                <w:b w:val="0"/>
                <w:sz w:val="24"/>
                <w:szCs w:val="24"/>
              </w:rPr>
              <w:t>. The TOPS referral spreadsheet will need to be amended by the station and submitted to ALAC for review and submitted to TOPs. This updates the receivables in TOPs, so they are aware the collection amount has changed.</w:t>
            </w:r>
            <w:r w:rsidR="00E24675">
              <w:rPr>
                <w:b w:val="0"/>
                <w:color w:val="FF0000"/>
                <w:sz w:val="24"/>
                <w:szCs w:val="24"/>
              </w:rPr>
              <w:t xml:space="preserve"> </w:t>
            </w:r>
          </w:p>
          <w:p w14:paraId="01567555" w14:textId="77777777" w:rsidR="00975AF7" w:rsidRPr="00975AF7" w:rsidRDefault="00975AF7" w:rsidP="00975AF7">
            <w:pPr>
              <w:pStyle w:val="ListParagraph"/>
              <w:numPr>
                <w:ilvl w:val="0"/>
                <w:numId w:val="12"/>
              </w:numPr>
              <w:ind w:left="271" w:hanging="270"/>
              <w:rPr>
                <w:b w:val="0"/>
                <w:sz w:val="24"/>
                <w:szCs w:val="24"/>
              </w:rPr>
            </w:pPr>
            <w:r w:rsidRPr="00975AF7">
              <w:rPr>
                <w:b w:val="0"/>
                <w:sz w:val="24"/>
                <w:szCs w:val="24"/>
              </w:rPr>
              <w:t>After 1 year of the debt being referred to TOPs</w:t>
            </w:r>
            <w:r>
              <w:rPr>
                <w:b w:val="0"/>
                <w:sz w:val="24"/>
                <w:szCs w:val="24"/>
              </w:rPr>
              <w:t xml:space="preserve"> and no payments have been received</w:t>
            </w:r>
            <w:r w:rsidRPr="00975AF7">
              <w:rPr>
                <w:b w:val="0"/>
                <w:sz w:val="24"/>
                <w:szCs w:val="24"/>
              </w:rPr>
              <w:t xml:space="preserve">, </w:t>
            </w:r>
            <w:r>
              <w:rPr>
                <w:b w:val="0"/>
                <w:sz w:val="24"/>
                <w:szCs w:val="24"/>
              </w:rPr>
              <w:t>the s</w:t>
            </w:r>
            <w:r w:rsidRPr="00975AF7">
              <w:rPr>
                <w:b w:val="0"/>
                <w:sz w:val="24"/>
                <w:szCs w:val="24"/>
              </w:rPr>
              <w:t xml:space="preserve">tation </w:t>
            </w:r>
            <w:r>
              <w:rPr>
                <w:b w:val="0"/>
                <w:sz w:val="24"/>
                <w:szCs w:val="24"/>
              </w:rPr>
              <w:t xml:space="preserve">can </w:t>
            </w:r>
            <w:r w:rsidRPr="00975AF7">
              <w:rPr>
                <w:b w:val="0"/>
                <w:sz w:val="24"/>
                <w:szCs w:val="24"/>
              </w:rPr>
              <w:t>request the receivable</w:t>
            </w:r>
            <w:r>
              <w:rPr>
                <w:b w:val="0"/>
                <w:sz w:val="24"/>
                <w:szCs w:val="24"/>
              </w:rPr>
              <w:t xml:space="preserve"> to</w:t>
            </w:r>
            <w:r w:rsidRPr="00975AF7">
              <w:rPr>
                <w:b w:val="0"/>
                <w:sz w:val="24"/>
                <w:szCs w:val="24"/>
              </w:rPr>
              <w:t xml:space="preserve"> be written-off per Office of Financial Policy – Volume XII – Chapter 1I – Termination of Collection Action and Close Out of Debt, as the debt has not been collected by TOPs one year after referral. </w:t>
            </w:r>
          </w:p>
        </w:tc>
      </w:tr>
      <w:tr w:rsidR="00FD5D81" w:rsidRPr="00770FDF" w14:paraId="16614E35" w14:textId="77777777" w:rsidTr="000E349C">
        <w:tblPrEx>
          <w:shd w:val="clear" w:color="auto" w:fill="auto"/>
        </w:tblPrEx>
        <w:tc>
          <w:tcPr>
            <w:tcW w:w="3675" w:type="dxa"/>
          </w:tcPr>
          <w:p w14:paraId="64E4F11F" w14:textId="77777777" w:rsidR="00FD5D81" w:rsidRPr="00770FDF" w:rsidRDefault="00FD5D81" w:rsidP="00FD5D81">
            <w:pPr>
              <w:rPr>
                <w:rStyle w:val="imsender1"/>
                <w:rFonts w:asciiTheme="minorHAnsi" w:hAnsiTheme="minorHAnsi"/>
                <w:b w:val="0"/>
                <w:color w:val="auto"/>
                <w:sz w:val="24"/>
                <w:szCs w:val="24"/>
              </w:rPr>
            </w:pPr>
            <w:r w:rsidRPr="00770FDF">
              <w:rPr>
                <w:rStyle w:val="imsender1"/>
                <w:rFonts w:asciiTheme="minorHAnsi" w:hAnsiTheme="minorHAnsi"/>
                <w:b w:val="0"/>
                <w:color w:val="auto"/>
                <w:sz w:val="24"/>
                <w:szCs w:val="24"/>
              </w:rPr>
              <w:t xml:space="preserve">Can we find the SSN date in Clear?  </w:t>
            </w:r>
          </w:p>
        </w:tc>
        <w:tc>
          <w:tcPr>
            <w:tcW w:w="7035" w:type="dxa"/>
          </w:tcPr>
          <w:p w14:paraId="3E030EF3" w14:textId="77777777" w:rsidR="00FD5D81" w:rsidRPr="00770FDF" w:rsidRDefault="00FD5D81" w:rsidP="00605B4A">
            <w:r w:rsidRPr="00936857">
              <w:t>According to the Thomson Reuters CLEAR website, this is a legal investigation software solution, providing public and proprietary records on individuals.  ALAC is not familiar with the stations' use of Clear, therefore any q</w:t>
            </w:r>
            <w:r w:rsidR="00936857">
              <w:t>uestions should be submitted to the</w:t>
            </w:r>
            <w:r w:rsidRPr="00936857">
              <w:t xml:space="preserve"> customer s</w:t>
            </w:r>
            <w:r w:rsidR="00936857">
              <w:t>upport for Thomson Reuters CLEAR.</w:t>
            </w:r>
          </w:p>
        </w:tc>
      </w:tr>
      <w:tr w:rsidR="00FD5D81" w:rsidRPr="00770FDF" w14:paraId="76CF9DF1" w14:textId="77777777" w:rsidTr="000E349C">
        <w:tblPrEx>
          <w:shd w:val="clear" w:color="auto" w:fill="auto"/>
        </w:tblPrEx>
        <w:tc>
          <w:tcPr>
            <w:tcW w:w="3675" w:type="dxa"/>
            <w:shd w:val="clear" w:color="auto" w:fill="auto"/>
          </w:tcPr>
          <w:p w14:paraId="2E01F722" w14:textId="77777777" w:rsidR="00FD5D81" w:rsidRPr="00274453" w:rsidRDefault="00FD5D81" w:rsidP="00FD5D81">
            <w:pPr>
              <w:rPr>
                <w:rStyle w:val="imsender1"/>
                <w:rFonts w:asciiTheme="minorHAnsi" w:hAnsiTheme="minorHAnsi"/>
                <w:b w:val="0"/>
                <w:color w:val="auto"/>
                <w:sz w:val="24"/>
                <w:szCs w:val="24"/>
                <w:highlight w:val="yellow"/>
              </w:rPr>
            </w:pPr>
            <w:r w:rsidRPr="00A06A66">
              <w:rPr>
                <w:rStyle w:val="imsender1"/>
                <w:rFonts w:asciiTheme="minorHAnsi" w:hAnsiTheme="minorHAnsi"/>
                <w:b w:val="0"/>
                <w:color w:val="auto"/>
                <w:sz w:val="24"/>
                <w:szCs w:val="24"/>
              </w:rPr>
              <w:t xml:space="preserve">The ROs should be notified of any changes with cost.    </w:t>
            </w:r>
          </w:p>
        </w:tc>
        <w:tc>
          <w:tcPr>
            <w:tcW w:w="7035" w:type="dxa"/>
          </w:tcPr>
          <w:p w14:paraId="1C72AFD1" w14:textId="77777777" w:rsidR="00FD5D81" w:rsidRPr="00274453" w:rsidRDefault="002E3D91" w:rsidP="00605B4A">
            <w:pPr>
              <w:jc w:val="both"/>
              <w:rPr>
                <w:highlight w:val="yellow"/>
              </w:rPr>
            </w:pPr>
            <w:hyperlink r:id="rId15" w:history="1">
              <w:r w:rsidR="00936857" w:rsidRPr="00936857">
                <w:rPr>
                  <w:rStyle w:val="Hyperlink"/>
                </w:rPr>
                <w:t>VAFP Volume XII – Chapter 9</w:t>
              </w:r>
            </w:hyperlink>
            <w:r w:rsidR="00936857">
              <w:t xml:space="preserve"> is annually updated with new rates fo</w:t>
            </w:r>
            <w:r w:rsidR="00936857" w:rsidRPr="00D315AE">
              <w:t xml:space="preserve">r </w:t>
            </w:r>
            <w:r w:rsidR="00FD5D81" w:rsidRPr="00D315AE">
              <w:t>interest, administrative charges, litigation referr</w:t>
            </w:r>
            <w:r w:rsidR="00D315AE" w:rsidRPr="00D315AE">
              <w:t>al fees, and penalty charges.  A</w:t>
            </w:r>
            <w:r w:rsidR="00FD5D81" w:rsidRPr="00D315AE">
              <w:t xml:space="preserve">dministrative </w:t>
            </w:r>
            <w:r w:rsidR="00D315AE" w:rsidRPr="00D315AE">
              <w:t>c</w:t>
            </w:r>
            <w:r w:rsidR="00D315AE">
              <w:t>osts</w:t>
            </w:r>
            <w:r w:rsidR="00FD5D81" w:rsidRPr="00D315AE">
              <w:t xml:space="preserve"> are broken down into a monthly cost-of collection charge and a litigation referral charge.</w:t>
            </w:r>
            <w:r w:rsidR="00D315AE">
              <w:t xml:space="preserve">   ALAC regularly reviews new and revised VA Financial Policies.  The Regional Offices are responsible to regularly and consistently review new and revised policies and procedures.</w:t>
            </w:r>
            <w:r w:rsidR="00A06A66">
              <w:t xml:space="preserve">  The VA Office of Finance has created an RSS Feed to alert subscribers when a policy has been added or revised.  They also developed </w:t>
            </w:r>
            <w:hyperlink r:id="rId16" w:history="1">
              <w:r w:rsidR="00A06A66" w:rsidRPr="00A06A66">
                <w:rPr>
                  <w:rStyle w:val="Hyperlink"/>
                </w:rPr>
                <w:t>OFP RSS Feed Setup instructions</w:t>
              </w:r>
            </w:hyperlink>
            <w:r w:rsidR="00A06A66">
              <w:t xml:space="preserve"> to subscribe to the RSS for regular policy updates.   </w:t>
            </w:r>
          </w:p>
        </w:tc>
      </w:tr>
      <w:tr w:rsidR="00FD5D81" w:rsidRPr="00770FDF" w14:paraId="14A5D364" w14:textId="77777777" w:rsidTr="000E349C">
        <w:tblPrEx>
          <w:shd w:val="clear" w:color="auto" w:fill="auto"/>
        </w:tblPrEx>
        <w:tc>
          <w:tcPr>
            <w:tcW w:w="3675" w:type="dxa"/>
          </w:tcPr>
          <w:p w14:paraId="15EB2F86" w14:textId="77777777" w:rsidR="00FD5D81" w:rsidRPr="00770FDF" w:rsidRDefault="00FD5D81" w:rsidP="00FD5D81">
            <w:pPr>
              <w:pStyle w:val="NormalWeb"/>
              <w:rPr>
                <w:rStyle w:val="imsender1"/>
                <w:rFonts w:asciiTheme="minorHAnsi" w:hAnsiTheme="minorHAnsi"/>
                <w:b w:val="0"/>
                <w:color w:val="auto"/>
                <w:sz w:val="24"/>
                <w:szCs w:val="24"/>
              </w:rPr>
            </w:pPr>
            <w:r w:rsidRPr="00770FDF">
              <w:rPr>
                <w:rStyle w:val="imsender1"/>
                <w:rFonts w:asciiTheme="minorHAnsi" w:hAnsiTheme="minorHAnsi"/>
                <w:b w:val="0"/>
                <w:color w:val="auto"/>
                <w:sz w:val="24"/>
                <w:szCs w:val="24"/>
              </w:rPr>
              <w:t>Should we be receiving the jury fees back into our 0151A1 account?  Currently, when someone is on jury duty, they bring the jury fees (minus mileage reimbursement) to our agent cashier</w:t>
            </w:r>
            <w:r w:rsidRPr="00770FDF">
              <w:rPr>
                <w:rStyle w:val="imsender1"/>
                <w:rFonts w:ascii="Calibri" w:hAnsi="Calibri"/>
                <w:b w:val="0"/>
                <w:color w:val="auto"/>
                <w:sz w:val="24"/>
                <w:szCs w:val="24"/>
              </w:rPr>
              <w:t xml:space="preserve">.  </w:t>
            </w:r>
            <w:r w:rsidRPr="00770FDF">
              <w:rPr>
                <w:sz w:val="24"/>
                <w:szCs w:val="24"/>
              </w:rPr>
              <w:t xml:space="preserve">They fees are deposited in 0151A1, 000030000, and the </w:t>
            </w:r>
            <w:r w:rsidRPr="00770FDF">
              <w:rPr>
                <w:sz w:val="24"/>
                <w:szCs w:val="24"/>
              </w:rPr>
              <w:lastRenderedPageBreak/>
              <w:t>applicable CC.    Should we be creating a BD to offset the funds against instead of depositing them directly?</w:t>
            </w:r>
          </w:p>
        </w:tc>
        <w:tc>
          <w:tcPr>
            <w:tcW w:w="7035" w:type="dxa"/>
          </w:tcPr>
          <w:p w14:paraId="7A8ADCA7" w14:textId="77777777" w:rsidR="00D315AE" w:rsidRDefault="00AC6F02" w:rsidP="00605B4A">
            <w:pPr>
              <w:tabs>
                <w:tab w:val="left" w:pos="1245"/>
              </w:tabs>
            </w:pPr>
            <w:r>
              <w:lastRenderedPageBreak/>
              <w:t xml:space="preserve">Yes. You may establish the </w:t>
            </w:r>
            <w:r w:rsidR="00FD5D81" w:rsidRPr="00770FDF">
              <w:t>jury fee debt</w:t>
            </w:r>
            <w:r>
              <w:t xml:space="preserve"> / BD</w:t>
            </w:r>
            <w:r w:rsidR="00FD5D81" w:rsidRPr="00770FDF">
              <w:t xml:space="preserve"> transaction, </w:t>
            </w:r>
            <w:r w:rsidR="00D315AE">
              <w:t>in</w:t>
            </w:r>
            <w:r w:rsidR="00FD5D81" w:rsidRPr="00770FDF">
              <w:t xml:space="preserve"> CAATS</w:t>
            </w:r>
            <w:r>
              <w:t xml:space="preserve"> </w:t>
            </w:r>
            <w:r>
              <w:sym w:font="Wingdings" w:char="F0E0"/>
            </w:r>
            <w:r>
              <w:t xml:space="preserve"> Accounts Receivable Module </w:t>
            </w:r>
            <w:r>
              <w:sym w:font="Wingdings" w:char="F0E0"/>
            </w:r>
            <w:r>
              <w:t xml:space="preserve"> Jury Fees sub-module </w:t>
            </w:r>
            <w:r w:rsidR="00D315AE">
              <w:t>to</w:t>
            </w:r>
            <w:r w:rsidR="00FD5D81" w:rsidRPr="00770FDF">
              <w:t xml:space="preserve"> collect jury fees owed by an employee.  The debt </w:t>
            </w:r>
            <w:r w:rsidR="00D315AE">
              <w:t>must</w:t>
            </w:r>
            <w:r w:rsidR="00FD5D81" w:rsidRPr="00770FDF">
              <w:t xml:space="preserve"> be established with the employee’s payroll </w:t>
            </w:r>
            <w:r w:rsidR="00D315AE">
              <w:t>line of accounting</w:t>
            </w:r>
            <w:r w:rsidR="00FD5D81" w:rsidRPr="00770FDF">
              <w:t xml:space="preserve"> (Fund 0151A1</w:t>
            </w:r>
            <w:r w:rsidR="00D315AE">
              <w:t xml:space="preserve"> </w:t>
            </w:r>
            <w:r w:rsidR="00FD5D81" w:rsidRPr="00770FDF">
              <w:t>/</w:t>
            </w:r>
            <w:r w:rsidR="00D315AE">
              <w:t xml:space="preserve"> </w:t>
            </w:r>
            <w:r w:rsidR="00FD5D81" w:rsidRPr="00770FDF">
              <w:t xml:space="preserve">FCP 000030000).  </w:t>
            </w:r>
          </w:p>
          <w:p w14:paraId="3C3FDC9E" w14:textId="77777777" w:rsidR="00D315AE" w:rsidRPr="00D315AE" w:rsidRDefault="00D315AE" w:rsidP="00605B4A">
            <w:pPr>
              <w:tabs>
                <w:tab w:val="left" w:pos="1245"/>
              </w:tabs>
              <w:rPr>
                <w:sz w:val="8"/>
                <w:szCs w:val="8"/>
              </w:rPr>
            </w:pPr>
          </w:p>
          <w:p w14:paraId="78FF6D3D" w14:textId="77777777" w:rsidR="00FD5D81" w:rsidRPr="00770FDF" w:rsidRDefault="00AC6F02" w:rsidP="00605B4A">
            <w:pPr>
              <w:tabs>
                <w:tab w:val="left" w:pos="1245"/>
              </w:tabs>
            </w:pPr>
            <w:r>
              <w:t xml:space="preserve">After the jury fee is collected, the Agent Cashiers records the payment to offset the </w:t>
            </w:r>
            <w:r w:rsidR="00FD5D81" w:rsidRPr="00770FDF">
              <w:t xml:space="preserve">BD transaction, the funds are then, transferred </w:t>
            </w:r>
            <w:r w:rsidR="00FD5D81" w:rsidRPr="00770FDF">
              <w:rPr>
                <w:u w:val="single"/>
              </w:rPr>
              <w:lastRenderedPageBreak/>
              <w:t>from</w:t>
            </w:r>
            <w:r w:rsidR="00FD5D81" w:rsidRPr="00770FDF">
              <w:t xml:space="preserve"> Fund 0151A1 </w:t>
            </w:r>
            <w:r w:rsidR="00FD5D81" w:rsidRPr="00770FDF">
              <w:rPr>
                <w:u w:val="single"/>
              </w:rPr>
              <w:t>to</w:t>
            </w:r>
            <w:r w:rsidR="00FD5D81" w:rsidRPr="00770FDF">
              <w:t xml:space="preserve"> Fund 3220 in CAATS </w:t>
            </w:r>
            <w:r w:rsidR="00FD5D81" w:rsidRPr="00770FDF">
              <w:sym w:font="Wingdings" w:char="F0E0"/>
            </w:r>
            <w:r w:rsidR="00FD5D81" w:rsidRPr="00770FDF">
              <w:t xml:space="preserve"> Cost/Revenue-Suspense Transfer </w:t>
            </w:r>
            <w:r w:rsidR="00FD5D81" w:rsidRPr="00770FDF">
              <w:sym w:font="Wingdings" w:char="F0E0"/>
            </w:r>
            <w:r w:rsidR="00FD5D81" w:rsidRPr="00770FDF">
              <w:t xml:space="preserve"> Within Station. </w:t>
            </w:r>
          </w:p>
          <w:p w14:paraId="7A0EC72D" w14:textId="77777777" w:rsidR="00FD5D81" w:rsidRPr="00D9735A" w:rsidRDefault="00FD5D81" w:rsidP="00605B4A">
            <w:pPr>
              <w:tabs>
                <w:tab w:val="left" w:pos="1245"/>
              </w:tabs>
              <w:rPr>
                <w:sz w:val="8"/>
                <w:szCs w:val="8"/>
              </w:rPr>
            </w:pPr>
          </w:p>
          <w:p w14:paraId="23FBF9AB" w14:textId="77777777" w:rsidR="00FD5D81" w:rsidRPr="00770FDF" w:rsidRDefault="00FD5D81" w:rsidP="00605B4A">
            <w:pPr>
              <w:tabs>
                <w:tab w:val="left" w:pos="1245"/>
              </w:tabs>
            </w:pPr>
            <w:r w:rsidRPr="00770FDF">
              <w:t xml:space="preserve">Jury fees are submitted to the Treasury, as they are not funds generated by the VA.  </w:t>
            </w:r>
          </w:p>
        </w:tc>
      </w:tr>
      <w:tr w:rsidR="00730FD8" w:rsidRPr="00770FDF" w14:paraId="1F29CBCA" w14:textId="77777777" w:rsidTr="000E349C">
        <w:tblPrEx>
          <w:shd w:val="clear" w:color="auto" w:fill="auto"/>
        </w:tblPrEx>
        <w:tc>
          <w:tcPr>
            <w:tcW w:w="3675" w:type="dxa"/>
            <w:shd w:val="clear" w:color="auto" w:fill="auto"/>
          </w:tcPr>
          <w:p w14:paraId="38AB54A2" w14:textId="77777777" w:rsidR="00730FD8" w:rsidRPr="00210F72" w:rsidRDefault="00730FD8" w:rsidP="00730FD8">
            <w:pPr>
              <w:pStyle w:val="NormalWeb"/>
              <w:rPr>
                <w:rFonts w:asciiTheme="minorHAnsi" w:hAnsiTheme="minorHAnsi"/>
                <w:sz w:val="24"/>
                <w:szCs w:val="24"/>
              </w:rPr>
            </w:pPr>
            <w:r w:rsidRPr="00210F72">
              <w:rPr>
                <w:rFonts w:asciiTheme="minorHAnsi" w:hAnsiTheme="minorHAnsi"/>
                <w:sz w:val="24"/>
                <w:szCs w:val="24"/>
              </w:rPr>
              <w:lastRenderedPageBreak/>
              <w:t>If we are not a Fiduciary hub, but we are establishing a debt on Fiduciary, we do not check “yes”?</w:t>
            </w:r>
          </w:p>
        </w:tc>
        <w:tc>
          <w:tcPr>
            <w:tcW w:w="7035" w:type="dxa"/>
            <w:shd w:val="clear" w:color="auto" w:fill="auto"/>
          </w:tcPr>
          <w:p w14:paraId="1FDA9243" w14:textId="77777777" w:rsidR="00730FD8" w:rsidRPr="00210F72" w:rsidRDefault="00730FD8" w:rsidP="00605B4A">
            <w:pPr>
              <w:rPr>
                <w:rFonts w:cs="Segoe UI"/>
              </w:rPr>
            </w:pPr>
            <w:r w:rsidRPr="00210F72">
              <w:rPr>
                <w:rFonts w:cs="Segoe UI"/>
              </w:rPr>
              <w:t xml:space="preserve">ROs may use the Benefit Debt module to establish non-fiduciary benefit debts.  However, </w:t>
            </w:r>
            <w:hyperlink r:id="rId17" w:history="1">
              <w:r w:rsidRPr="00210F72">
                <w:rPr>
                  <w:rFonts w:cs="Segoe UI"/>
                </w:rPr>
                <w:t xml:space="preserve">Fiduciary Hubs </w:t>
              </w:r>
            </w:hyperlink>
            <w:r w:rsidRPr="00210F72">
              <w:rPr>
                <w:rFonts w:cs="Segoe UI"/>
              </w:rPr>
              <w:t>provide oversight of fiduciary conduct.  Upon a misuse of funds determination, the Fiduciary Hub’s Station Finance will initiate collection and establish the debt in CAATS.</w:t>
            </w:r>
          </w:p>
        </w:tc>
      </w:tr>
      <w:tr w:rsidR="00210F72" w:rsidRPr="00770FDF" w14:paraId="4229056E" w14:textId="77777777" w:rsidTr="000E349C">
        <w:tblPrEx>
          <w:shd w:val="clear" w:color="auto" w:fill="auto"/>
        </w:tblPrEx>
        <w:tc>
          <w:tcPr>
            <w:tcW w:w="3675" w:type="dxa"/>
            <w:shd w:val="clear" w:color="auto" w:fill="auto"/>
          </w:tcPr>
          <w:p w14:paraId="217BC7BF" w14:textId="77777777" w:rsidR="00210F72" w:rsidRPr="00210F72" w:rsidRDefault="00210F72" w:rsidP="00605B4A">
            <w:r w:rsidRPr="00210F72">
              <w:rPr>
                <w:color w:val="000000"/>
              </w:rPr>
              <w:t>Is DFAS the one that lets us know how much as employee owe for being absent for an extended period of time</w:t>
            </w:r>
            <w:r w:rsidR="00286E48">
              <w:rPr>
                <w:color w:val="000000"/>
              </w:rPr>
              <w:t>?</w:t>
            </w:r>
          </w:p>
        </w:tc>
        <w:tc>
          <w:tcPr>
            <w:tcW w:w="7035" w:type="dxa"/>
            <w:shd w:val="clear" w:color="auto" w:fill="auto"/>
          </w:tcPr>
          <w:p w14:paraId="24AAA92E" w14:textId="77777777" w:rsidR="00210F72" w:rsidRPr="00210F72" w:rsidRDefault="00210F72" w:rsidP="00605B4A">
            <w:pPr>
              <w:rPr>
                <w:rFonts w:cs="Segoe UI"/>
              </w:rPr>
            </w:pPr>
            <w:r w:rsidRPr="00210F72">
              <w:rPr>
                <w:rFonts w:cs="Segoe UI"/>
              </w:rPr>
              <w:t xml:space="preserve">DFAS establishes refund receivables (BD transaction in FMS) due from the employee for FEHBLWOP.  These receivables increase bi-weekly for the duration of time the employee is on LWOP. These amounts appear as Advanced Premiums on FMS RSD payroll report, Prepaid FEHB Premium Collections Report from DFAS/DCPS (FEPH).  See RSD report examples provided in webinar attachments. </w:t>
            </w:r>
          </w:p>
        </w:tc>
      </w:tr>
      <w:tr w:rsidR="00210F72" w:rsidRPr="00770FDF" w14:paraId="19CE5A28" w14:textId="77777777" w:rsidTr="000E349C">
        <w:tblPrEx>
          <w:shd w:val="clear" w:color="auto" w:fill="auto"/>
        </w:tblPrEx>
        <w:tc>
          <w:tcPr>
            <w:tcW w:w="3675" w:type="dxa"/>
            <w:shd w:val="clear" w:color="auto" w:fill="auto"/>
          </w:tcPr>
          <w:p w14:paraId="3AC21DE2" w14:textId="77777777" w:rsidR="00210F72" w:rsidRPr="00210F72" w:rsidRDefault="00210F72" w:rsidP="00210F72">
            <w:pPr>
              <w:jc w:val="both"/>
            </w:pPr>
            <w:r w:rsidRPr="00210F72">
              <w:rPr>
                <w:color w:val="000000"/>
              </w:rPr>
              <w:t>In FMS, is it possible to tell if the BD was already referred to TOP?</w:t>
            </w:r>
          </w:p>
        </w:tc>
        <w:tc>
          <w:tcPr>
            <w:tcW w:w="7035" w:type="dxa"/>
            <w:shd w:val="clear" w:color="auto" w:fill="auto"/>
          </w:tcPr>
          <w:p w14:paraId="44014789" w14:textId="77777777" w:rsidR="00210F72" w:rsidRPr="00210F72" w:rsidRDefault="00210F72" w:rsidP="00605B4A">
            <w:pPr>
              <w:rPr>
                <w:rFonts w:cs="Segoe UI"/>
              </w:rPr>
            </w:pPr>
            <w:r w:rsidRPr="00210F72">
              <w:rPr>
                <w:rFonts w:cs="Segoe UI"/>
              </w:rPr>
              <w:t xml:space="preserve">TOP is a centralized offset program externally administered by the US Treasury’ Debt Management Center, used by all federal and some state agencies to collect delinquent debts.  There is no interface relationship between FMS and the DMC.  </w:t>
            </w:r>
          </w:p>
          <w:p w14:paraId="002223D9" w14:textId="77777777" w:rsidR="00210F72" w:rsidRPr="00605B4A" w:rsidRDefault="00210F72" w:rsidP="00210F72">
            <w:pPr>
              <w:jc w:val="both"/>
              <w:rPr>
                <w:rFonts w:cs="Segoe UI"/>
              </w:rPr>
            </w:pPr>
          </w:p>
          <w:p w14:paraId="38C5DD7A" w14:textId="77777777" w:rsidR="00210F72" w:rsidRPr="00210F72" w:rsidRDefault="00210F72" w:rsidP="00210F72">
            <w:pPr>
              <w:jc w:val="both"/>
              <w:rPr>
                <w:rFonts w:cs="Segoe UI"/>
              </w:rPr>
            </w:pPr>
            <w:r w:rsidRPr="00210F72">
              <w:rPr>
                <w:rFonts w:cs="Segoe UI"/>
              </w:rPr>
              <w:t>It is the RO’s responsibility to maintain a</w:t>
            </w:r>
            <w:r>
              <w:rPr>
                <w:rFonts w:cs="Segoe UI"/>
              </w:rPr>
              <w:t xml:space="preserve"> debt log that tracks the </w:t>
            </w:r>
            <w:r w:rsidR="00605B4A">
              <w:rPr>
                <w:rFonts w:cs="Segoe UI"/>
              </w:rPr>
              <w:t xml:space="preserve">age, </w:t>
            </w:r>
            <w:r w:rsidR="00605B4A" w:rsidRPr="00210F72">
              <w:rPr>
                <w:rFonts w:cs="Segoe UI"/>
              </w:rPr>
              <w:t>current</w:t>
            </w:r>
            <w:r w:rsidRPr="00210F72">
              <w:rPr>
                <w:rFonts w:cs="Segoe UI"/>
              </w:rPr>
              <w:t xml:space="preserve"> status, debt letter submissions and/or Treasury Offset disposition for all outstanding debt.    </w:t>
            </w:r>
          </w:p>
        </w:tc>
      </w:tr>
      <w:tr w:rsidR="00210F72" w:rsidRPr="00770FDF" w14:paraId="21DCA862" w14:textId="77777777" w:rsidTr="000E349C">
        <w:tblPrEx>
          <w:shd w:val="clear" w:color="auto" w:fill="auto"/>
        </w:tblPrEx>
        <w:tc>
          <w:tcPr>
            <w:tcW w:w="3675" w:type="dxa"/>
            <w:shd w:val="clear" w:color="auto" w:fill="auto"/>
          </w:tcPr>
          <w:p w14:paraId="1C656150" w14:textId="77777777" w:rsidR="00210F72" w:rsidRPr="00210F72" w:rsidRDefault="00210F72" w:rsidP="00210F72">
            <w:pPr>
              <w:jc w:val="both"/>
            </w:pPr>
            <w:r w:rsidRPr="00210F72">
              <w:rPr>
                <w:color w:val="000000"/>
              </w:rPr>
              <w:t>How can we know if the BD has been sent to TOPS?</w:t>
            </w:r>
          </w:p>
        </w:tc>
        <w:tc>
          <w:tcPr>
            <w:tcW w:w="7035" w:type="dxa"/>
            <w:shd w:val="clear" w:color="auto" w:fill="auto"/>
          </w:tcPr>
          <w:p w14:paraId="7852F70D" w14:textId="77777777" w:rsidR="00210F72" w:rsidRPr="00210F72" w:rsidRDefault="00210F72" w:rsidP="00210F72">
            <w:pPr>
              <w:jc w:val="both"/>
              <w:rPr>
                <w:rFonts w:cs="Segoe UI"/>
              </w:rPr>
            </w:pPr>
            <w:r w:rsidRPr="00210F72">
              <w:rPr>
                <w:rFonts w:cs="Segoe UI"/>
              </w:rPr>
              <w:t>The RO should utilize a debt log to tracking the age, status and disposition of all outstanding debt, and determine when debt letters should be sent to the debtor or referred to TOP.  TOP pursues collection action debt if the debtor receives a payment through the Treasury that may be eligible for offset.</w:t>
            </w:r>
          </w:p>
        </w:tc>
      </w:tr>
      <w:tr w:rsidR="00210F72" w:rsidRPr="00770FDF" w14:paraId="57EC041D" w14:textId="77777777" w:rsidTr="000E349C">
        <w:tblPrEx>
          <w:shd w:val="clear" w:color="auto" w:fill="auto"/>
        </w:tblPrEx>
        <w:tc>
          <w:tcPr>
            <w:tcW w:w="3675" w:type="dxa"/>
            <w:shd w:val="clear" w:color="auto" w:fill="auto"/>
          </w:tcPr>
          <w:p w14:paraId="2934786B" w14:textId="77777777" w:rsidR="00210F72" w:rsidRPr="00210F72" w:rsidRDefault="00210F72" w:rsidP="00210F72">
            <w:pPr>
              <w:jc w:val="both"/>
            </w:pPr>
            <w:r w:rsidRPr="00210F72">
              <w:rPr>
                <w:color w:val="000000"/>
              </w:rPr>
              <w:t>For an Updated Top Referral where a Debt has been repaid. Are we just updating the Current A/R column?</w:t>
            </w:r>
          </w:p>
        </w:tc>
        <w:tc>
          <w:tcPr>
            <w:tcW w:w="7035" w:type="dxa"/>
            <w:shd w:val="clear" w:color="auto" w:fill="auto"/>
          </w:tcPr>
          <w:p w14:paraId="5CFC58EB" w14:textId="77777777" w:rsidR="00210F72" w:rsidRPr="00210F72" w:rsidRDefault="00210F72" w:rsidP="00210F72">
            <w:pPr>
              <w:jc w:val="both"/>
              <w:rPr>
                <w:rFonts w:cs="Segoe UI"/>
              </w:rPr>
            </w:pPr>
            <w:r w:rsidRPr="00210F72">
              <w:rPr>
                <w:rFonts w:cs="Segoe UI"/>
              </w:rPr>
              <w:t xml:space="preserve">Correct.  In such instances, update only the Current A/R field on the TOP Referral spreadsheet if the debtor has repaid part or </w:t>
            </w:r>
            <w:r w:rsidR="00605B4A" w:rsidRPr="00210F72">
              <w:rPr>
                <w:rFonts w:cs="Segoe UI"/>
              </w:rPr>
              <w:t>all</w:t>
            </w:r>
            <w:r w:rsidRPr="00210F72">
              <w:rPr>
                <w:rFonts w:cs="Segoe UI"/>
              </w:rPr>
              <w:t xml:space="preserve"> their debt.  Submit the updated TOP Referral Spreadsheet to your ALAC Accountant; AL</w:t>
            </w:r>
            <w:r>
              <w:rPr>
                <w:rFonts w:cs="Segoe UI"/>
              </w:rPr>
              <w:t>A</w:t>
            </w:r>
            <w:r w:rsidRPr="00210F72">
              <w:rPr>
                <w:rFonts w:cs="Segoe UI"/>
              </w:rPr>
              <w:t>C will notify DMC of the change.</w:t>
            </w:r>
          </w:p>
        </w:tc>
      </w:tr>
      <w:tr w:rsidR="00210F72" w:rsidRPr="00770FDF" w14:paraId="34384BDE" w14:textId="77777777" w:rsidTr="000E349C">
        <w:tblPrEx>
          <w:shd w:val="clear" w:color="auto" w:fill="auto"/>
        </w:tblPrEx>
        <w:tc>
          <w:tcPr>
            <w:tcW w:w="3675" w:type="dxa"/>
            <w:shd w:val="clear" w:color="auto" w:fill="auto"/>
          </w:tcPr>
          <w:p w14:paraId="1466B716" w14:textId="77777777" w:rsidR="00210F72" w:rsidRPr="00210F72" w:rsidRDefault="00210F72" w:rsidP="00210F72">
            <w:pPr>
              <w:jc w:val="both"/>
            </w:pPr>
            <w:r w:rsidRPr="00210F72">
              <w:t>Per the EOM Recon Report, if I have established that an obligation has been referred to TOP, why is still on my EOM Report or better yet how do i get it resolved.</w:t>
            </w:r>
          </w:p>
        </w:tc>
        <w:tc>
          <w:tcPr>
            <w:tcW w:w="7035" w:type="dxa"/>
            <w:shd w:val="clear" w:color="auto" w:fill="auto"/>
          </w:tcPr>
          <w:p w14:paraId="438A85B5" w14:textId="77777777" w:rsidR="00210F72" w:rsidRPr="00210F72" w:rsidRDefault="00210F72" w:rsidP="00210F72">
            <w:pPr>
              <w:jc w:val="both"/>
              <w:rPr>
                <w:rFonts w:cs="Segoe UI"/>
              </w:rPr>
            </w:pPr>
            <w:r w:rsidRPr="00210F72">
              <w:rPr>
                <w:rFonts w:cs="Segoe UI"/>
              </w:rPr>
              <w:t>Referring a debt to TOP does not clear it from FMS or remove from the list of outstanding items on the CAATS EOM Reconciliation.  Debts referred to TOP are still in active collection status and remain in FMS and on the EOM Reconciliation until completely collected or written off.</w:t>
            </w:r>
          </w:p>
        </w:tc>
      </w:tr>
      <w:tr w:rsidR="00210F72" w:rsidRPr="00770FDF" w14:paraId="380069CF" w14:textId="77777777" w:rsidTr="000E349C">
        <w:tblPrEx>
          <w:shd w:val="clear" w:color="auto" w:fill="auto"/>
        </w:tblPrEx>
        <w:tc>
          <w:tcPr>
            <w:tcW w:w="3675" w:type="dxa"/>
            <w:shd w:val="clear" w:color="auto" w:fill="auto"/>
          </w:tcPr>
          <w:p w14:paraId="6EC358B1" w14:textId="77777777" w:rsidR="00210F72" w:rsidRPr="00210F72" w:rsidRDefault="00210F72" w:rsidP="00210F72">
            <w:pPr>
              <w:jc w:val="both"/>
            </w:pPr>
            <w:r w:rsidRPr="00210F72">
              <w:rPr>
                <w:color w:val="000000"/>
              </w:rPr>
              <w:t>Where can we see a listing of TOPS referred cases?</w:t>
            </w:r>
          </w:p>
        </w:tc>
        <w:tc>
          <w:tcPr>
            <w:tcW w:w="7035" w:type="dxa"/>
            <w:shd w:val="clear" w:color="auto" w:fill="auto"/>
          </w:tcPr>
          <w:p w14:paraId="572E5E5C" w14:textId="77777777" w:rsidR="00210F72" w:rsidRPr="00210F72" w:rsidRDefault="00210F72" w:rsidP="00210F72">
            <w:pPr>
              <w:jc w:val="both"/>
              <w:rPr>
                <w:rFonts w:cs="Segoe UI"/>
              </w:rPr>
            </w:pPr>
            <w:r w:rsidRPr="00210F72">
              <w:rPr>
                <w:rFonts w:cs="Segoe UI"/>
              </w:rPr>
              <w:t xml:space="preserve">ALAC does not maintain a published listing of all debts referred to TOP, because of PII and other sensitive data.   Submit an email to the </w:t>
            </w:r>
            <w:hyperlink r:id="rId18" w:history="1">
              <w:r w:rsidRPr="00210F72">
                <w:rPr>
                  <w:rStyle w:val="Hyperlink"/>
                  <w:rFonts w:cs="Segoe UI"/>
                </w:rPr>
                <w:t>VBA ALAC Admin Accounting</w:t>
              </w:r>
            </w:hyperlink>
            <w:r w:rsidRPr="00C43A5E">
              <w:rPr>
                <w:rFonts w:ascii="Verdana" w:hAnsi="Verdana" w:cs="Segoe UI"/>
                <w:color w:val="4F81BD" w:themeColor="accent1"/>
                <w:sz w:val="17"/>
                <w:szCs w:val="17"/>
              </w:rPr>
              <w:t xml:space="preserve"> </w:t>
            </w:r>
            <w:r w:rsidRPr="00210F72">
              <w:rPr>
                <w:rFonts w:cs="Segoe UI"/>
              </w:rPr>
              <w:t>mailbox to inquire whether debt was previously referred to TOP.  Include the debtor’s name, SSN/TIN, and BD Number and we will coordinate research with DMC.</w:t>
            </w:r>
          </w:p>
          <w:p w14:paraId="28E6C42B" w14:textId="77777777" w:rsidR="00210F72" w:rsidRPr="00C43A5E" w:rsidRDefault="00210F72" w:rsidP="00210F72">
            <w:pPr>
              <w:jc w:val="both"/>
              <w:rPr>
                <w:rFonts w:ascii="Verdana" w:hAnsi="Verdana" w:cs="Segoe UI"/>
                <w:color w:val="4F81BD" w:themeColor="accent1"/>
                <w:sz w:val="17"/>
                <w:szCs w:val="17"/>
              </w:rPr>
            </w:pPr>
          </w:p>
        </w:tc>
      </w:tr>
      <w:tr w:rsidR="00210F72" w:rsidRPr="00770FDF" w14:paraId="2EDF5E4F" w14:textId="77777777" w:rsidTr="000E349C">
        <w:tblPrEx>
          <w:shd w:val="clear" w:color="auto" w:fill="auto"/>
        </w:tblPrEx>
        <w:tc>
          <w:tcPr>
            <w:tcW w:w="3675" w:type="dxa"/>
            <w:shd w:val="clear" w:color="auto" w:fill="auto"/>
          </w:tcPr>
          <w:p w14:paraId="02E7E8EB" w14:textId="77777777" w:rsidR="00210F72" w:rsidRPr="00210F72" w:rsidRDefault="00210F72" w:rsidP="00210F72">
            <w:pPr>
              <w:jc w:val="both"/>
            </w:pPr>
            <w:r w:rsidRPr="00210F72">
              <w:rPr>
                <w:color w:val="000000"/>
              </w:rPr>
              <w:lastRenderedPageBreak/>
              <w:t>Who generates the FEHB debts?</w:t>
            </w:r>
          </w:p>
        </w:tc>
        <w:tc>
          <w:tcPr>
            <w:tcW w:w="7035" w:type="dxa"/>
            <w:shd w:val="clear" w:color="auto" w:fill="auto"/>
          </w:tcPr>
          <w:p w14:paraId="15DF3420" w14:textId="77777777" w:rsidR="00210F72" w:rsidRPr="00210F72" w:rsidRDefault="00210F72" w:rsidP="00210F72">
            <w:pPr>
              <w:jc w:val="both"/>
              <w:rPr>
                <w:rFonts w:cs="Segoe UI"/>
              </w:rPr>
            </w:pPr>
            <w:r w:rsidRPr="00210F72">
              <w:rPr>
                <w:rFonts w:cs="Segoe UI"/>
              </w:rPr>
              <w:t>FEHB debts are established by DFAS.</w:t>
            </w:r>
          </w:p>
        </w:tc>
      </w:tr>
      <w:tr w:rsidR="00210F72" w:rsidRPr="00770FDF" w14:paraId="17C16A91" w14:textId="77777777" w:rsidTr="000E349C">
        <w:tblPrEx>
          <w:shd w:val="clear" w:color="auto" w:fill="auto"/>
        </w:tblPrEx>
        <w:tc>
          <w:tcPr>
            <w:tcW w:w="3675" w:type="dxa"/>
            <w:shd w:val="clear" w:color="auto" w:fill="auto"/>
          </w:tcPr>
          <w:p w14:paraId="4A31CD66" w14:textId="77777777" w:rsidR="00210F72" w:rsidRPr="00210F72" w:rsidRDefault="00210F72" w:rsidP="00210F72">
            <w:pPr>
              <w:jc w:val="both"/>
              <w:rPr>
                <w:color w:val="000000"/>
              </w:rPr>
            </w:pPr>
            <w:r w:rsidRPr="00210F72">
              <w:t xml:space="preserve">Is it up to the Station to decide whether to grant a waiver or payment plan?  Does a waiver request need to be sent to the Waivers Committee or can it be decided locally?   How long does the debtor have to return the Financial Status form?  </w:t>
            </w:r>
          </w:p>
        </w:tc>
        <w:tc>
          <w:tcPr>
            <w:tcW w:w="7035" w:type="dxa"/>
            <w:shd w:val="clear" w:color="auto" w:fill="auto"/>
          </w:tcPr>
          <w:p w14:paraId="73A18D94" w14:textId="77777777" w:rsidR="00210F72" w:rsidRPr="00210F72" w:rsidRDefault="002E3D91" w:rsidP="00210F72">
            <w:pPr>
              <w:jc w:val="both"/>
              <w:rPr>
                <w:rFonts w:cs="Segoe UI"/>
                <w:color w:val="4F81BD" w:themeColor="accent1"/>
              </w:rPr>
            </w:pPr>
            <w:hyperlink r:id="rId19" w:history="1">
              <w:r w:rsidR="00210F72" w:rsidRPr="00210F72">
                <w:rPr>
                  <w:rStyle w:val="Hyperlink"/>
                  <w:rFonts w:cs="Segoe UI"/>
                </w:rPr>
                <w:t>IAW VA Policy Volume XII, Chapter 1B, 0102</w:t>
              </w:r>
            </w:hyperlink>
            <w:r w:rsidR="00210F72" w:rsidRPr="00210F72">
              <w:rPr>
                <w:rFonts w:cs="Segoe UI"/>
                <w:color w:val="4F81BD" w:themeColor="accent1"/>
              </w:rPr>
              <w:t xml:space="preserve"> </w:t>
            </w:r>
            <w:r w:rsidR="00210F72" w:rsidRPr="00210F72">
              <w:rPr>
                <w:rFonts w:cs="Segoe UI"/>
              </w:rPr>
              <w:t>– VA will ensure the request is reviewed by the proper official and advise the debtor of the acceptance or rejection of the request.  The COWC is the authority to accept or reject a waiver. Forward request for waiver to the regional COWC. If the COWC deny the waiver request, ensure debtor informed of COWC decision and establish</w:t>
            </w:r>
            <w:r w:rsidR="00210F72" w:rsidRPr="00210F72">
              <w:rPr>
                <w:rFonts w:cs="Segoe UI"/>
                <w:color w:val="4F81BD" w:themeColor="accent1"/>
              </w:rPr>
              <w:t xml:space="preserve"> </w:t>
            </w:r>
            <w:r w:rsidR="00210F72" w:rsidRPr="00210F72">
              <w:rPr>
                <w:rFonts w:cs="Segoe UI"/>
              </w:rPr>
              <w:t>payment plan. The Financial Status Form is included in the initial NOI, therefore the Debtor has 30 days to return the Financial Status Form with the request for Waiver.</w:t>
            </w:r>
          </w:p>
        </w:tc>
      </w:tr>
      <w:tr w:rsidR="00210F72" w:rsidRPr="00770FDF" w14:paraId="5057476F" w14:textId="77777777" w:rsidTr="000E349C">
        <w:tblPrEx>
          <w:shd w:val="clear" w:color="auto" w:fill="auto"/>
        </w:tblPrEx>
        <w:tc>
          <w:tcPr>
            <w:tcW w:w="3675" w:type="dxa"/>
            <w:shd w:val="clear" w:color="auto" w:fill="auto"/>
          </w:tcPr>
          <w:p w14:paraId="722203A1" w14:textId="77777777" w:rsidR="00210F72" w:rsidRPr="00B3179A" w:rsidRDefault="00210F72" w:rsidP="00605B4A">
            <w:r w:rsidRPr="00B3179A">
              <w:t>Do I need to record an account receivable for an overpayment to a vendor when our station agrees to have the vendor apply the overpayment to the next vendor invoice?</w:t>
            </w:r>
          </w:p>
        </w:tc>
        <w:tc>
          <w:tcPr>
            <w:tcW w:w="7035" w:type="dxa"/>
            <w:shd w:val="clear" w:color="auto" w:fill="auto"/>
          </w:tcPr>
          <w:p w14:paraId="1DF23838" w14:textId="77777777" w:rsidR="00210F72" w:rsidRPr="00210F72" w:rsidRDefault="00210F72" w:rsidP="00210F72">
            <w:pPr>
              <w:jc w:val="both"/>
            </w:pPr>
            <w:r w:rsidRPr="00210F72">
              <w:t>Yes. VA financial policy requires:</w:t>
            </w:r>
          </w:p>
          <w:p w14:paraId="70637237" w14:textId="77777777" w:rsidR="00210F72" w:rsidRDefault="00210F72" w:rsidP="00210F72">
            <w:pPr>
              <w:jc w:val="both"/>
            </w:pPr>
            <w:r w:rsidRPr="00210F72">
              <w:t>A receivable to be recorded in the accounting period when the debt to the VA is determined (e.g., overpayment).</w:t>
            </w:r>
          </w:p>
          <w:p w14:paraId="322198D3" w14:textId="77777777" w:rsidR="00210F72" w:rsidRDefault="00210F72" w:rsidP="00210F72">
            <w:pPr>
              <w:pStyle w:val="ListParagraph"/>
              <w:numPr>
                <w:ilvl w:val="0"/>
                <w:numId w:val="13"/>
              </w:numPr>
              <w:ind w:left="361"/>
              <w:jc w:val="both"/>
              <w:rPr>
                <w:rFonts w:asciiTheme="minorHAnsi" w:hAnsiTheme="minorHAnsi"/>
                <w:b w:val="0"/>
                <w:sz w:val="24"/>
                <w:szCs w:val="24"/>
              </w:rPr>
            </w:pPr>
            <w:r w:rsidRPr="00210F72">
              <w:rPr>
                <w:rFonts w:asciiTheme="minorHAnsi" w:hAnsiTheme="minorHAnsi"/>
                <w:b w:val="0"/>
                <w:sz w:val="24"/>
                <w:szCs w:val="24"/>
              </w:rPr>
              <w:t>Implement standard collection procedures to resolve the debt, including promptly notifying vendors of any debts owed and advise them of their due process rights and remedies relating to the debt.</w:t>
            </w:r>
          </w:p>
          <w:p w14:paraId="4DF09F68" w14:textId="77777777" w:rsidR="00967CCD" w:rsidRPr="00210F72" w:rsidRDefault="00967CCD" w:rsidP="00967CCD">
            <w:pPr>
              <w:pStyle w:val="ListParagraph"/>
              <w:numPr>
                <w:ilvl w:val="0"/>
                <w:numId w:val="0"/>
              </w:numPr>
              <w:ind w:left="361"/>
              <w:jc w:val="both"/>
              <w:rPr>
                <w:rFonts w:asciiTheme="minorHAnsi" w:hAnsiTheme="minorHAnsi"/>
                <w:b w:val="0"/>
                <w:sz w:val="24"/>
                <w:szCs w:val="24"/>
              </w:rPr>
            </w:pPr>
          </w:p>
          <w:p w14:paraId="232040EF" w14:textId="77777777" w:rsidR="00210F72" w:rsidRDefault="00210F72" w:rsidP="00210F72">
            <w:pPr>
              <w:pStyle w:val="ListParagraph"/>
              <w:numPr>
                <w:ilvl w:val="0"/>
                <w:numId w:val="13"/>
              </w:numPr>
              <w:ind w:left="361"/>
              <w:jc w:val="both"/>
              <w:rPr>
                <w:rFonts w:asciiTheme="minorHAnsi" w:hAnsiTheme="minorHAnsi"/>
                <w:b w:val="0"/>
                <w:sz w:val="24"/>
                <w:szCs w:val="24"/>
              </w:rPr>
            </w:pPr>
            <w:r w:rsidRPr="00210F72">
              <w:rPr>
                <w:rFonts w:asciiTheme="minorHAnsi" w:hAnsiTheme="minorHAnsi"/>
                <w:b w:val="0"/>
                <w:sz w:val="24"/>
                <w:szCs w:val="24"/>
              </w:rPr>
              <w:t xml:space="preserve">A timely recorded account receivable for erroneous and improper payments to serve as an audit trail to demonstrate the improper payment was recovered. </w:t>
            </w:r>
          </w:p>
          <w:p w14:paraId="2767D6BC" w14:textId="77777777" w:rsidR="00967CCD" w:rsidRPr="00210F72" w:rsidRDefault="00967CCD" w:rsidP="00967CCD">
            <w:pPr>
              <w:pStyle w:val="ListParagraph"/>
              <w:numPr>
                <w:ilvl w:val="0"/>
                <w:numId w:val="0"/>
              </w:numPr>
              <w:ind w:left="361"/>
              <w:jc w:val="both"/>
              <w:rPr>
                <w:rFonts w:asciiTheme="minorHAnsi" w:hAnsiTheme="minorHAnsi"/>
                <w:b w:val="0"/>
                <w:sz w:val="24"/>
                <w:szCs w:val="24"/>
              </w:rPr>
            </w:pPr>
          </w:p>
          <w:p w14:paraId="55A5AFD4" w14:textId="77777777" w:rsidR="00210F72" w:rsidRPr="00210F72" w:rsidRDefault="00210F72" w:rsidP="00210F72">
            <w:pPr>
              <w:jc w:val="both"/>
              <w:rPr>
                <w:rFonts w:ascii="Verdana" w:hAnsi="Verdana"/>
                <w:sz w:val="19"/>
                <w:szCs w:val="19"/>
              </w:rPr>
            </w:pPr>
            <w:r w:rsidRPr="00210F72">
              <w:t>Without an accounts receivable in the accounting records, the VA may not be able to demonstrate to auditors, the Congress, and other interested parties, compliance with VA finance policy and the effectiveness of the VA Improper Payment Recovery Program.</w:t>
            </w:r>
          </w:p>
        </w:tc>
      </w:tr>
      <w:tr w:rsidR="002360E6" w:rsidRPr="00210F72" w14:paraId="182F8747" w14:textId="77777777" w:rsidTr="000E349C">
        <w:tblPrEx>
          <w:shd w:val="clear" w:color="auto" w:fill="auto"/>
        </w:tblPrEx>
        <w:tc>
          <w:tcPr>
            <w:tcW w:w="3675" w:type="dxa"/>
            <w:shd w:val="clear" w:color="auto" w:fill="auto"/>
          </w:tcPr>
          <w:p w14:paraId="3F5C4AFC" w14:textId="77777777" w:rsidR="002360E6" w:rsidRPr="00B3179A" w:rsidRDefault="002360E6" w:rsidP="00BB1EC0">
            <w:r w:rsidRPr="00B3179A">
              <w:t>How long does the debt stay on the station’s receivables report after being referred to TOP?</w:t>
            </w:r>
          </w:p>
        </w:tc>
        <w:tc>
          <w:tcPr>
            <w:tcW w:w="7035" w:type="dxa"/>
            <w:shd w:val="clear" w:color="auto" w:fill="auto"/>
          </w:tcPr>
          <w:p w14:paraId="52B58155" w14:textId="77777777" w:rsidR="002360E6" w:rsidRPr="00B274E6" w:rsidRDefault="008361DC" w:rsidP="00BB1260">
            <w:pPr>
              <w:rPr>
                <w:rFonts w:cs="Segoe UI"/>
              </w:rPr>
            </w:pPr>
            <w:r w:rsidRPr="00B274E6">
              <w:rPr>
                <w:rFonts w:cs="Segoe UI"/>
              </w:rPr>
              <w:t xml:space="preserve">Debts </w:t>
            </w:r>
            <w:r w:rsidR="00B230F8" w:rsidRPr="00B274E6">
              <w:rPr>
                <w:rFonts w:cs="Segoe UI"/>
              </w:rPr>
              <w:t>will remain open until they are offset, cancelled, or written off and removed from TOPS.</w:t>
            </w:r>
          </w:p>
        </w:tc>
      </w:tr>
      <w:tr w:rsidR="002360E6" w:rsidRPr="00210F72" w14:paraId="3EF80344" w14:textId="77777777" w:rsidTr="000E349C">
        <w:tblPrEx>
          <w:shd w:val="clear" w:color="auto" w:fill="auto"/>
        </w:tblPrEx>
        <w:tc>
          <w:tcPr>
            <w:tcW w:w="3675" w:type="dxa"/>
            <w:shd w:val="clear" w:color="auto" w:fill="auto"/>
          </w:tcPr>
          <w:p w14:paraId="726569C2" w14:textId="77777777" w:rsidR="002360E6" w:rsidRPr="00B274E6" w:rsidRDefault="002360E6" w:rsidP="00BB1EC0">
            <w:r w:rsidRPr="00B274E6">
              <w:t>On the monthly reconciliation do we just make a note that the debt is referred to TOP?</w:t>
            </w:r>
          </w:p>
        </w:tc>
        <w:tc>
          <w:tcPr>
            <w:tcW w:w="7035" w:type="dxa"/>
            <w:shd w:val="clear" w:color="auto" w:fill="auto"/>
          </w:tcPr>
          <w:p w14:paraId="379735CE" w14:textId="77777777" w:rsidR="002360E6" w:rsidRPr="00BB1260" w:rsidRDefault="0033138A" w:rsidP="00BB1260">
            <w:pPr>
              <w:rPr>
                <w:rFonts w:eastAsia="Calibri" w:cstheme="minorHAnsi"/>
              </w:rPr>
            </w:pPr>
            <w:r w:rsidRPr="00B274E6">
              <w:rPr>
                <w:rFonts w:eastAsia="Calibri" w:cstheme="minorHAnsi"/>
              </w:rPr>
              <w:t xml:space="preserve">Comments </w:t>
            </w:r>
            <w:r w:rsidR="001B15FD" w:rsidRPr="00B274E6">
              <w:rPr>
                <w:rFonts w:eastAsia="Calibri" w:cstheme="minorHAnsi"/>
              </w:rPr>
              <w:t xml:space="preserve">on the CAATS EOM Reconciliation </w:t>
            </w:r>
            <w:r w:rsidRPr="00B274E6">
              <w:rPr>
                <w:rFonts w:eastAsia="Calibri" w:cstheme="minorHAnsi"/>
              </w:rPr>
              <w:t>regardin</w:t>
            </w:r>
            <w:r w:rsidR="005E62B9" w:rsidRPr="00B274E6">
              <w:rPr>
                <w:rFonts w:eastAsia="Calibri" w:cstheme="minorHAnsi"/>
              </w:rPr>
              <w:t>g</w:t>
            </w:r>
            <w:r w:rsidRPr="00B274E6">
              <w:rPr>
                <w:rFonts w:eastAsia="Calibri" w:cstheme="minorHAnsi"/>
              </w:rPr>
              <w:t xml:space="preserve"> receivables should be concise and specific, with detailed timeframes for </w:t>
            </w:r>
            <w:r w:rsidR="001B15FD" w:rsidRPr="00B274E6">
              <w:rPr>
                <w:rFonts w:eastAsia="Calibri" w:cstheme="minorHAnsi"/>
              </w:rPr>
              <w:t>tracking all outstanding debts</w:t>
            </w:r>
            <w:r w:rsidR="00F253BB" w:rsidRPr="00B274E6">
              <w:rPr>
                <w:rFonts w:eastAsia="Calibri" w:cstheme="minorHAnsi"/>
              </w:rPr>
              <w:t xml:space="preserve">, </w:t>
            </w:r>
            <w:r w:rsidRPr="00B274E6">
              <w:rPr>
                <w:rFonts w:eastAsia="Calibri" w:cstheme="minorHAnsi"/>
              </w:rPr>
              <w:t>resolution and/or correction.</w:t>
            </w:r>
          </w:p>
        </w:tc>
      </w:tr>
      <w:tr w:rsidR="002360E6" w:rsidRPr="00C43A5E" w14:paraId="57D35DEF" w14:textId="77777777" w:rsidTr="000E349C">
        <w:tblPrEx>
          <w:shd w:val="clear" w:color="auto" w:fill="auto"/>
        </w:tblPrEx>
        <w:tc>
          <w:tcPr>
            <w:tcW w:w="3675" w:type="dxa"/>
            <w:shd w:val="clear" w:color="auto" w:fill="auto"/>
          </w:tcPr>
          <w:p w14:paraId="4BA222F7" w14:textId="77777777" w:rsidR="002360E6" w:rsidRPr="00B274E6" w:rsidRDefault="002360E6" w:rsidP="00BB1EC0">
            <w:r w:rsidRPr="00B274E6">
              <w:t>Who will ensure that we are adding the correct amount of interest/admin fees each month to the bill?</w:t>
            </w:r>
          </w:p>
        </w:tc>
        <w:tc>
          <w:tcPr>
            <w:tcW w:w="7035" w:type="dxa"/>
            <w:shd w:val="clear" w:color="auto" w:fill="auto"/>
          </w:tcPr>
          <w:p w14:paraId="262440B6" w14:textId="77777777" w:rsidR="002360E6" w:rsidRPr="00BB1260" w:rsidRDefault="00187627" w:rsidP="00BB1260">
            <w:pPr>
              <w:rPr>
                <w:rFonts w:cstheme="minorHAnsi"/>
                <w:color w:val="000000"/>
              </w:rPr>
            </w:pPr>
            <w:r w:rsidRPr="00B274E6">
              <w:rPr>
                <w:rFonts w:eastAsia="Calibri" w:cstheme="minorHAnsi"/>
              </w:rPr>
              <w:t xml:space="preserve">Per </w:t>
            </w:r>
            <w:hyperlink r:id="rId20" w:history="1">
              <w:r w:rsidRPr="00B274E6">
                <w:rPr>
                  <w:rStyle w:val="Hyperlink"/>
                  <w:rFonts w:cstheme="minorHAnsi"/>
                </w:rPr>
                <w:t>VAFP Volume XII – Chapter 9</w:t>
              </w:r>
            </w:hyperlink>
            <w:r w:rsidR="004804DC" w:rsidRPr="00B274E6">
              <w:rPr>
                <w:rFonts w:cstheme="minorHAnsi"/>
                <w:bCs/>
                <w:color w:val="000000"/>
              </w:rPr>
              <w:t>,</w:t>
            </w:r>
            <w:r w:rsidR="004804DC" w:rsidRPr="00B274E6">
              <w:rPr>
                <w:rFonts w:cstheme="minorHAnsi"/>
                <w:b/>
                <w:bCs/>
                <w:color w:val="000000"/>
              </w:rPr>
              <w:t xml:space="preserve"> U</w:t>
            </w:r>
            <w:r w:rsidRPr="00B274E6">
              <w:rPr>
                <w:rFonts w:cstheme="minorHAnsi"/>
                <w:b/>
                <w:bCs/>
                <w:color w:val="000000"/>
              </w:rPr>
              <w:t>nder Secretaries, Assistant Secretaries, Chief Financial Officers</w:t>
            </w:r>
            <w:r w:rsidRPr="00B274E6">
              <w:rPr>
                <w:rFonts w:cstheme="minorHAnsi"/>
                <w:color w:val="000000"/>
              </w:rPr>
              <w:t xml:space="preserve">, </w:t>
            </w:r>
            <w:r w:rsidRPr="00B274E6">
              <w:rPr>
                <w:rFonts w:cstheme="minorHAnsi"/>
                <w:b/>
                <w:bCs/>
                <w:color w:val="000000"/>
              </w:rPr>
              <w:t>Fiscal Officers</w:t>
            </w:r>
            <w:r w:rsidRPr="00B274E6">
              <w:rPr>
                <w:rFonts w:cstheme="minorHAnsi"/>
                <w:color w:val="000000"/>
              </w:rPr>
              <w:t xml:space="preserve">, </w:t>
            </w:r>
            <w:r w:rsidRPr="00B274E6">
              <w:rPr>
                <w:rFonts w:cstheme="minorHAnsi"/>
                <w:b/>
                <w:bCs/>
                <w:color w:val="000000"/>
              </w:rPr>
              <w:t>Chiefs of Finance Activities</w:t>
            </w:r>
            <w:r w:rsidRPr="00B274E6">
              <w:rPr>
                <w:rFonts w:cstheme="minorHAnsi"/>
                <w:color w:val="000000"/>
              </w:rPr>
              <w:t xml:space="preserve">, </w:t>
            </w:r>
            <w:r w:rsidRPr="00B274E6">
              <w:rPr>
                <w:rFonts w:cstheme="minorHAnsi"/>
                <w:b/>
                <w:bCs/>
                <w:color w:val="000000"/>
              </w:rPr>
              <w:t>Chief Accountants</w:t>
            </w:r>
            <w:r w:rsidRPr="00B274E6">
              <w:rPr>
                <w:rFonts w:cstheme="minorHAnsi"/>
                <w:color w:val="000000"/>
              </w:rPr>
              <w:t xml:space="preserve">, and </w:t>
            </w:r>
            <w:r w:rsidRPr="00B274E6">
              <w:rPr>
                <w:rFonts w:cstheme="minorHAnsi"/>
                <w:b/>
                <w:bCs/>
                <w:color w:val="000000"/>
              </w:rPr>
              <w:t xml:space="preserve">Other Key Officials </w:t>
            </w:r>
            <w:r w:rsidRPr="00B274E6">
              <w:rPr>
                <w:rFonts w:cstheme="minorHAnsi"/>
                <w:color w:val="000000"/>
              </w:rPr>
              <w:t xml:space="preserve">are responsible for ensuring compliance with the policies and procedures set forth in this chapter. </w:t>
            </w:r>
          </w:p>
        </w:tc>
      </w:tr>
      <w:tr w:rsidR="002360E6" w:rsidRPr="00210F72" w14:paraId="18873301" w14:textId="77777777" w:rsidTr="000E349C">
        <w:tblPrEx>
          <w:shd w:val="clear" w:color="auto" w:fill="auto"/>
        </w:tblPrEx>
        <w:trPr>
          <w:trHeight w:val="70"/>
        </w:trPr>
        <w:tc>
          <w:tcPr>
            <w:tcW w:w="3675" w:type="dxa"/>
            <w:shd w:val="clear" w:color="auto" w:fill="auto"/>
          </w:tcPr>
          <w:p w14:paraId="62C76F2A" w14:textId="77777777" w:rsidR="002360E6" w:rsidRPr="00B274E6" w:rsidRDefault="002360E6" w:rsidP="002360E6">
            <w:r w:rsidRPr="00B274E6">
              <w:t xml:space="preserve">After you have received a payment for a debt, and you are charging them interest and admin fees.  How do you process interest and admin fees in CAATS?  It says to put the collection for interest into Fund 1435, (1435 is not in CAATS). </w:t>
            </w:r>
          </w:p>
          <w:p w14:paraId="18009A31" w14:textId="77777777" w:rsidR="004073B0" w:rsidRPr="00B274E6" w:rsidRDefault="004073B0" w:rsidP="002360E6"/>
          <w:p w14:paraId="6A280DE9" w14:textId="77777777" w:rsidR="002360E6" w:rsidRPr="00B274E6" w:rsidRDefault="002360E6" w:rsidP="00BB1EC0"/>
        </w:tc>
        <w:tc>
          <w:tcPr>
            <w:tcW w:w="7035" w:type="dxa"/>
            <w:shd w:val="clear" w:color="auto" w:fill="auto"/>
          </w:tcPr>
          <w:p w14:paraId="1DAA81C2" w14:textId="77777777" w:rsidR="0014133F" w:rsidRPr="00B274E6" w:rsidRDefault="004073B0" w:rsidP="00BB1260">
            <w:pPr>
              <w:spacing w:after="160" w:line="259" w:lineRule="auto"/>
              <w:rPr>
                <w:rFonts w:ascii="Calibri" w:eastAsia="Calibri" w:hAnsi="Calibri"/>
              </w:rPr>
            </w:pPr>
            <w:r w:rsidRPr="00B274E6">
              <w:rPr>
                <w:rFonts w:eastAsia="Calibri" w:cstheme="minorHAnsi"/>
              </w:rPr>
              <w:lastRenderedPageBreak/>
              <w:t>When interest, administrative costs and penalty charges are accrued, they should be added to the debt.  Once the funds are paid back, collected via TOP</w:t>
            </w:r>
            <w:r w:rsidR="00666F08" w:rsidRPr="00B274E6">
              <w:rPr>
                <w:rFonts w:eastAsia="Calibri" w:cstheme="minorHAnsi"/>
              </w:rPr>
              <w:t>s</w:t>
            </w:r>
            <w:r w:rsidRPr="00B274E6">
              <w:rPr>
                <w:rFonts w:eastAsia="Calibri" w:cstheme="minorHAnsi"/>
              </w:rPr>
              <w:t>, etc., they should be used to offset the debt.  When the debt is offset the collected funds are applied to the appropriation that the debt was set up</w:t>
            </w:r>
            <w:r w:rsidRPr="00B274E6">
              <w:rPr>
                <w:rFonts w:ascii="Calibri" w:eastAsia="Calibri" w:hAnsi="Calibri"/>
              </w:rPr>
              <w:t xml:space="preserve"> for.  An expenditure transfer (EW) should be processed to move the funds to the appropriate fund </w:t>
            </w:r>
            <w:r w:rsidRPr="00B274E6">
              <w:rPr>
                <w:rFonts w:ascii="Calibri" w:eastAsia="Calibri" w:hAnsi="Calibri"/>
              </w:rPr>
              <w:lastRenderedPageBreak/>
              <w:t xml:space="preserve">(1435 or 3220) based on the amount of interest, admin costs and penalty fees that were accrued. </w:t>
            </w:r>
          </w:p>
          <w:p w14:paraId="3140A859" w14:textId="77777777" w:rsidR="002360E6" w:rsidRPr="00B274E6" w:rsidRDefault="004073B0" w:rsidP="00BB1260">
            <w:pPr>
              <w:spacing w:after="160" w:line="259" w:lineRule="auto"/>
              <w:rPr>
                <w:rFonts w:ascii="Calibri" w:eastAsia="Calibri" w:hAnsi="Calibri"/>
              </w:rPr>
            </w:pPr>
            <w:r w:rsidRPr="00B274E6">
              <w:rPr>
                <w:rFonts w:ascii="Calibri" w:eastAsia="Calibri" w:hAnsi="Calibri"/>
              </w:rPr>
              <w:t xml:space="preserve">ALAC Accountants can provide additional </w:t>
            </w:r>
            <w:r w:rsidR="0087734F" w:rsidRPr="00B274E6">
              <w:rPr>
                <w:rFonts w:ascii="Calibri" w:eastAsia="Calibri" w:hAnsi="Calibri"/>
              </w:rPr>
              <w:t>information</w:t>
            </w:r>
            <w:r w:rsidRPr="00B274E6">
              <w:rPr>
                <w:rFonts w:ascii="Calibri" w:eastAsia="Calibri" w:hAnsi="Calibri"/>
              </w:rPr>
              <w:t xml:space="preserve"> on transferring the portion of the collections into Fund 1435/3220 for </w:t>
            </w:r>
            <w:r w:rsidR="0087734F" w:rsidRPr="00B274E6">
              <w:rPr>
                <w:rFonts w:ascii="Calibri" w:eastAsia="Calibri" w:hAnsi="Calibri"/>
              </w:rPr>
              <w:t>in</w:t>
            </w:r>
            <w:r w:rsidRPr="00B274E6">
              <w:rPr>
                <w:rFonts w:ascii="Calibri" w:eastAsia="Calibri" w:hAnsi="Calibri"/>
              </w:rPr>
              <w:t>terest/</w:t>
            </w:r>
            <w:r w:rsidR="0087734F" w:rsidRPr="00B274E6">
              <w:rPr>
                <w:rFonts w:ascii="Calibri" w:eastAsia="Calibri" w:hAnsi="Calibri"/>
              </w:rPr>
              <w:t>a</w:t>
            </w:r>
            <w:r w:rsidRPr="00B274E6">
              <w:rPr>
                <w:rFonts w:ascii="Calibri" w:eastAsia="Calibri" w:hAnsi="Calibri"/>
              </w:rPr>
              <w:t>dmin</w:t>
            </w:r>
            <w:r w:rsidR="0087734F" w:rsidRPr="00B274E6">
              <w:rPr>
                <w:rFonts w:ascii="Calibri" w:eastAsia="Calibri" w:hAnsi="Calibri"/>
              </w:rPr>
              <w:t xml:space="preserve"> </w:t>
            </w:r>
            <w:r w:rsidR="00BB1260">
              <w:rPr>
                <w:rFonts w:ascii="Calibri" w:eastAsia="Calibri" w:hAnsi="Calibri"/>
              </w:rPr>
              <w:t>c</w:t>
            </w:r>
            <w:r w:rsidRPr="00B274E6">
              <w:rPr>
                <w:rFonts w:ascii="Calibri" w:eastAsia="Calibri" w:hAnsi="Calibri"/>
              </w:rPr>
              <w:t>osts/</w:t>
            </w:r>
            <w:r w:rsidR="0087734F" w:rsidRPr="00B274E6">
              <w:rPr>
                <w:rFonts w:ascii="Calibri" w:eastAsia="Calibri" w:hAnsi="Calibri"/>
              </w:rPr>
              <w:t>p</w:t>
            </w:r>
            <w:r w:rsidRPr="00B274E6">
              <w:rPr>
                <w:rFonts w:ascii="Calibri" w:eastAsia="Calibri" w:hAnsi="Calibri"/>
              </w:rPr>
              <w:t>enalties.</w:t>
            </w:r>
          </w:p>
        </w:tc>
      </w:tr>
      <w:tr w:rsidR="004073B0" w:rsidRPr="00210F72" w14:paraId="6D661677" w14:textId="77777777" w:rsidTr="000E349C">
        <w:tblPrEx>
          <w:shd w:val="clear" w:color="auto" w:fill="auto"/>
        </w:tblPrEx>
        <w:tc>
          <w:tcPr>
            <w:tcW w:w="3675" w:type="dxa"/>
            <w:shd w:val="clear" w:color="auto" w:fill="auto"/>
          </w:tcPr>
          <w:p w14:paraId="15BC6A95" w14:textId="77777777" w:rsidR="004073B0" w:rsidRPr="00B274E6" w:rsidRDefault="004073B0" w:rsidP="002360E6">
            <w:pPr>
              <w:rPr>
                <w:highlight w:val="yellow"/>
              </w:rPr>
            </w:pPr>
            <w:r w:rsidRPr="00B274E6">
              <w:lastRenderedPageBreak/>
              <w:t>Please explain Option vs. Non-Option Letter.</w:t>
            </w:r>
          </w:p>
        </w:tc>
        <w:tc>
          <w:tcPr>
            <w:tcW w:w="7035" w:type="dxa"/>
            <w:shd w:val="clear" w:color="auto" w:fill="auto"/>
          </w:tcPr>
          <w:p w14:paraId="785198F6" w14:textId="77777777" w:rsidR="00025CD5" w:rsidRPr="00B274E6" w:rsidRDefault="00885CF6" w:rsidP="00BB1260">
            <w:pPr>
              <w:rPr>
                <w:rFonts w:cs="Segoe UI"/>
              </w:rPr>
            </w:pPr>
            <w:r w:rsidRPr="00B274E6">
              <w:rPr>
                <w:rFonts w:cs="Segoe UI"/>
              </w:rPr>
              <w:t xml:space="preserve">The Initial Notice of Indebtedness should be sent when the BD/debt is established.  </w:t>
            </w:r>
            <w:r w:rsidR="007604A1" w:rsidRPr="00B274E6">
              <w:rPr>
                <w:rFonts w:cs="Segoe UI"/>
              </w:rPr>
              <w:t>For debts not resulting from default of a guaranteed or direct home loan, the NOI, at a minimum, will be sent via regular postal service.</w:t>
            </w:r>
            <w:r w:rsidR="00025CD5" w:rsidRPr="00B274E6">
              <w:rPr>
                <w:rFonts w:cs="Segoe UI"/>
              </w:rPr>
              <w:t xml:space="preserve"> A revised timeline has been added to the Webinar PPT, found on our </w:t>
            </w:r>
            <w:hyperlink r:id="rId21" w:history="1">
              <w:r w:rsidR="00025CD5" w:rsidRPr="00B274E6">
                <w:t>ALAC Training Webinar site</w:t>
              </w:r>
            </w:hyperlink>
            <w:r w:rsidR="00025CD5" w:rsidRPr="00B274E6">
              <w:rPr>
                <w:rFonts w:cs="Segoe UI"/>
              </w:rPr>
              <w:t xml:space="preserve"> and at the end of this FAQ.  </w:t>
            </w:r>
          </w:p>
        </w:tc>
      </w:tr>
      <w:tr w:rsidR="002360E6" w:rsidRPr="00210F72" w14:paraId="1C5AC133" w14:textId="77777777" w:rsidTr="000E349C">
        <w:tblPrEx>
          <w:shd w:val="clear" w:color="auto" w:fill="auto"/>
        </w:tblPrEx>
        <w:tc>
          <w:tcPr>
            <w:tcW w:w="3675" w:type="dxa"/>
            <w:shd w:val="clear" w:color="auto" w:fill="auto"/>
          </w:tcPr>
          <w:p w14:paraId="0078D23D" w14:textId="77777777" w:rsidR="002360E6" w:rsidRPr="00B274E6" w:rsidRDefault="002360E6" w:rsidP="002360E6">
            <w:r w:rsidRPr="00B274E6">
              <w:t xml:space="preserve">Step by </w:t>
            </w:r>
            <w:r w:rsidR="00BA73AE" w:rsidRPr="00B274E6">
              <w:t>S</w:t>
            </w:r>
            <w:r w:rsidRPr="00B274E6">
              <w:t xml:space="preserve">tep process </w:t>
            </w:r>
            <w:r w:rsidR="00BA73AE" w:rsidRPr="00B274E6">
              <w:t>on what to do after debt is sent to TOPS, how to add admin fees properly, and who to contact if there are any LWOP premium errors on the bill.</w:t>
            </w:r>
          </w:p>
        </w:tc>
        <w:tc>
          <w:tcPr>
            <w:tcW w:w="7035" w:type="dxa"/>
            <w:shd w:val="clear" w:color="auto" w:fill="auto"/>
          </w:tcPr>
          <w:p w14:paraId="36261D24" w14:textId="77777777" w:rsidR="002360E6" w:rsidRPr="00B274E6" w:rsidRDefault="00D907A6" w:rsidP="00BB1260">
            <w:pPr>
              <w:rPr>
                <w:rFonts w:eastAsia="Calibri" w:cstheme="minorHAnsi"/>
              </w:rPr>
            </w:pPr>
            <w:r w:rsidRPr="00B274E6">
              <w:rPr>
                <w:rFonts w:eastAsia="Calibri" w:cstheme="minorHAnsi"/>
              </w:rPr>
              <w:t>The stations are still responsible to track and apply interest, admin and penalty charges. These costs will continue to accrue until the debt is paid in full, or resolved through compromise, termination, or waiver of the charges.</w:t>
            </w:r>
          </w:p>
          <w:p w14:paraId="6F38C3A5" w14:textId="77777777" w:rsidR="000C5571" w:rsidRPr="00B274E6" w:rsidRDefault="000C5571" w:rsidP="00BB1260">
            <w:pPr>
              <w:rPr>
                <w:rFonts w:eastAsia="Calibri" w:cstheme="minorHAnsi"/>
              </w:rPr>
            </w:pPr>
          </w:p>
          <w:p w14:paraId="6FB686E0" w14:textId="77777777" w:rsidR="000C5571" w:rsidRPr="00B274E6" w:rsidRDefault="000C5571" w:rsidP="00BB1260">
            <w:pPr>
              <w:pStyle w:val="Default"/>
              <w:rPr>
                <w:rFonts w:asciiTheme="minorHAnsi" w:eastAsia="Calibri" w:hAnsiTheme="minorHAnsi" w:cstheme="minorHAnsi"/>
                <w:color w:val="auto"/>
              </w:rPr>
            </w:pPr>
            <w:r w:rsidRPr="00B274E6">
              <w:rPr>
                <w:rFonts w:asciiTheme="minorHAnsi" w:eastAsia="Calibri" w:hAnsiTheme="minorHAnsi" w:cstheme="minorHAnsi"/>
                <w:color w:val="auto"/>
              </w:rPr>
              <w:t xml:space="preserve">Interest and admin costs are applied for each full or partial 30-day period the debt is delinquent, basically every 30 days.  When the debt has been delinquent for 90 days, penalty charges are applied annually, and is accrued based on the first date of delinquency (after 31 days). </w:t>
            </w:r>
          </w:p>
          <w:p w14:paraId="48613BFB" w14:textId="77777777" w:rsidR="000C5571" w:rsidRPr="00B274E6" w:rsidRDefault="000C5571" w:rsidP="00BB1260">
            <w:pPr>
              <w:pStyle w:val="Default"/>
              <w:rPr>
                <w:rFonts w:asciiTheme="minorHAnsi" w:eastAsia="Calibri" w:hAnsiTheme="minorHAnsi" w:cstheme="minorHAnsi"/>
                <w:color w:val="auto"/>
              </w:rPr>
            </w:pPr>
          </w:p>
          <w:p w14:paraId="5546E8B8" w14:textId="77777777" w:rsidR="000C5571" w:rsidRPr="00BB1260" w:rsidRDefault="000C5571" w:rsidP="00BB1260">
            <w:pPr>
              <w:pStyle w:val="Default"/>
              <w:rPr>
                <w:rFonts w:asciiTheme="minorHAnsi" w:eastAsia="Calibri" w:hAnsiTheme="minorHAnsi" w:cstheme="minorHAnsi"/>
              </w:rPr>
            </w:pPr>
            <w:r w:rsidRPr="00B274E6">
              <w:rPr>
                <w:rFonts w:asciiTheme="minorHAnsi" w:eastAsia="Calibri" w:hAnsiTheme="minorHAnsi" w:cstheme="minorHAnsi"/>
              </w:rPr>
              <w:t>ALAC re-designed an excel spreadsheet that automatically calculate the interest, admin costs and penalties per the principal debt amount.  This spreadsheet was included with the webinar attachments</w:t>
            </w:r>
            <w:r w:rsidR="00A120AB" w:rsidRPr="00B274E6">
              <w:rPr>
                <w:rFonts w:asciiTheme="minorHAnsi" w:eastAsia="Calibri" w:hAnsiTheme="minorHAnsi" w:cstheme="minorHAnsi"/>
              </w:rPr>
              <w:t xml:space="preserve"> and can also be found</w:t>
            </w:r>
            <w:r w:rsidR="00B96024" w:rsidRPr="00B274E6">
              <w:rPr>
                <w:rFonts w:asciiTheme="minorHAnsi" w:eastAsia="Calibri" w:hAnsiTheme="minorHAnsi" w:cstheme="minorHAnsi"/>
              </w:rPr>
              <w:t xml:space="preserve"> </w:t>
            </w:r>
            <w:hyperlink r:id="rId22" w:history="1">
              <w:r w:rsidR="00B96024" w:rsidRPr="00B274E6">
                <w:rPr>
                  <w:rStyle w:val="Hyperlink"/>
                  <w:rFonts w:asciiTheme="minorHAnsi" w:hAnsiTheme="minorHAnsi" w:cstheme="minorHAnsi"/>
                </w:rPr>
                <w:t>TOP Referral Spreadsheet</w:t>
              </w:r>
            </w:hyperlink>
            <w:r w:rsidR="00A120AB" w:rsidRPr="00B274E6">
              <w:rPr>
                <w:rFonts w:asciiTheme="minorHAnsi" w:eastAsia="Calibri" w:hAnsiTheme="minorHAnsi" w:cstheme="minorHAnsi"/>
              </w:rPr>
              <w:t xml:space="preserve"> </w:t>
            </w:r>
            <w:r w:rsidRPr="00B274E6">
              <w:rPr>
                <w:rFonts w:asciiTheme="minorHAnsi" w:eastAsia="Calibri" w:hAnsiTheme="minorHAnsi" w:cstheme="minorHAnsi"/>
              </w:rPr>
              <w:t>.</w:t>
            </w:r>
            <w:r w:rsidRPr="00B274E6">
              <w:rPr>
                <w:rFonts w:eastAsia="Calibri"/>
              </w:rPr>
              <w:t xml:space="preserve">       </w:t>
            </w:r>
          </w:p>
        </w:tc>
      </w:tr>
      <w:tr w:rsidR="00885CF6" w:rsidRPr="00210F72" w14:paraId="00DFAECB" w14:textId="77777777" w:rsidTr="0031532D">
        <w:tblPrEx>
          <w:shd w:val="clear" w:color="auto" w:fill="auto"/>
        </w:tblPrEx>
        <w:trPr>
          <w:trHeight w:val="3662"/>
        </w:trPr>
        <w:tc>
          <w:tcPr>
            <w:tcW w:w="3675" w:type="dxa"/>
            <w:shd w:val="clear" w:color="auto" w:fill="auto"/>
          </w:tcPr>
          <w:p w14:paraId="60B279A6" w14:textId="77777777" w:rsidR="00885CF6" w:rsidRPr="00B274E6" w:rsidRDefault="00885CF6" w:rsidP="00885CF6">
            <w:r w:rsidRPr="00B274E6">
              <w:t>Where is the letter sent when the station establishes a debt? How many letters does the station send? Is there a 30 day wait?</w:t>
            </w:r>
          </w:p>
        </w:tc>
        <w:tc>
          <w:tcPr>
            <w:tcW w:w="7035" w:type="dxa"/>
            <w:shd w:val="clear" w:color="auto" w:fill="auto"/>
          </w:tcPr>
          <w:p w14:paraId="39F1B105" w14:textId="77777777" w:rsidR="00885CF6" w:rsidRPr="00B274E6" w:rsidRDefault="00885CF6" w:rsidP="00BB1260">
            <w:r w:rsidRPr="00B274E6">
              <w:t xml:space="preserve">Per </w:t>
            </w:r>
            <w:hyperlink r:id="rId23" w:history="1">
              <w:r w:rsidRPr="00B274E6">
                <w:rPr>
                  <w:rStyle w:val="Hyperlink"/>
                </w:rPr>
                <w:t>VA Policy, Volume XII, Chapter 1, 010202</w:t>
              </w:r>
            </w:hyperlink>
            <w:r w:rsidRPr="00B274E6">
              <w:t xml:space="preserve"> the station will aggressively pursue the collection of all debts while ensuring that debtor is advised of </w:t>
            </w:r>
            <w:r w:rsidR="00D57DB1">
              <w:t>their</w:t>
            </w:r>
            <w:r w:rsidRPr="00B274E6">
              <w:t xml:space="preserve"> due process rights regarding the nature and amount of the debt through the issuance of the proper NOI.  </w:t>
            </w:r>
          </w:p>
          <w:p w14:paraId="0820CCE2" w14:textId="77777777" w:rsidR="000E349C" w:rsidRPr="00B274E6" w:rsidRDefault="000E349C" w:rsidP="00BB1260">
            <w:pPr>
              <w:autoSpaceDE w:val="0"/>
              <w:autoSpaceDN w:val="0"/>
              <w:adjustRightInd w:val="0"/>
            </w:pPr>
          </w:p>
          <w:p w14:paraId="6D60B930" w14:textId="77777777" w:rsidR="000E349C" w:rsidRPr="00B274E6" w:rsidRDefault="000E349C" w:rsidP="00BB1260">
            <w:pPr>
              <w:autoSpaceDE w:val="0"/>
              <w:autoSpaceDN w:val="0"/>
              <w:adjustRightInd w:val="0"/>
            </w:pPr>
            <w:r w:rsidRPr="00B274E6">
              <w:t>For all debts, the Chief of the Finance Activity will send the initial NOI to the debtor as soon as practical after the debt is established and discovered.</w:t>
            </w:r>
          </w:p>
          <w:p w14:paraId="32AD6465" w14:textId="77777777" w:rsidR="000E349C" w:rsidRPr="00B274E6" w:rsidRDefault="000E349C" w:rsidP="00BB1260">
            <w:pPr>
              <w:autoSpaceDE w:val="0"/>
              <w:autoSpaceDN w:val="0"/>
              <w:adjustRightInd w:val="0"/>
            </w:pPr>
          </w:p>
          <w:p w14:paraId="40F13734" w14:textId="77777777" w:rsidR="000E349C" w:rsidRPr="00B274E6" w:rsidRDefault="000E349C" w:rsidP="00BB1260">
            <w:pPr>
              <w:autoSpaceDE w:val="0"/>
              <w:autoSpaceDN w:val="0"/>
              <w:adjustRightInd w:val="0"/>
              <w:rPr>
                <w:highlight w:val="yellow"/>
              </w:rPr>
            </w:pPr>
            <w:r w:rsidRPr="00B274E6">
              <w:t>The Chief of the Finance Activity will send subsequent letters at no more than 30-day intervals when no response is received from the debtor.</w:t>
            </w:r>
          </w:p>
        </w:tc>
      </w:tr>
      <w:tr w:rsidR="00885CF6" w:rsidRPr="00210F72" w14:paraId="11617683" w14:textId="77777777" w:rsidTr="000E349C">
        <w:tblPrEx>
          <w:shd w:val="clear" w:color="auto" w:fill="auto"/>
        </w:tblPrEx>
        <w:tc>
          <w:tcPr>
            <w:tcW w:w="3675" w:type="dxa"/>
            <w:shd w:val="clear" w:color="auto" w:fill="auto"/>
          </w:tcPr>
          <w:p w14:paraId="2041609D" w14:textId="77777777" w:rsidR="00885CF6" w:rsidRPr="00AF3954" w:rsidRDefault="008416F6" w:rsidP="00885CF6">
            <w:r>
              <w:t>Are</w:t>
            </w:r>
            <w:r w:rsidR="00885CF6" w:rsidRPr="00AF3954">
              <w:t xml:space="preserve"> there examples of calculations with using Journal Vouchers?</w:t>
            </w:r>
          </w:p>
        </w:tc>
        <w:tc>
          <w:tcPr>
            <w:tcW w:w="7035" w:type="dxa"/>
            <w:shd w:val="clear" w:color="auto" w:fill="auto"/>
          </w:tcPr>
          <w:p w14:paraId="072429BA" w14:textId="77777777" w:rsidR="00AF3954" w:rsidRPr="00AF3954" w:rsidRDefault="0031532D" w:rsidP="0031532D">
            <w:pPr>
              <w:rPr>
                <w:rFonts w:cs="Segoe UI"/>
                <w:color w:val="4F81BD" w:themeColor="accent1"/>
              </w:rPr>
            </w:pPr>
            <w:r w:rsidRPr="0031532D">
              <w:rPr>
                <w:rFonts w:cs="Segoe UI"/>
              </w:rPr>
              <w:t>TBD</w:t>
            </w:r>
          </w:p>
        </w:tc>
      </w:tr>
      <w:tr w:rsidR="009F1121" w:rsidRPr="00210F72" w14:paraId="7F75DB62" w14:textId="77777777" w:rsidTr="000E349C">
        <w:tblPrEx>
          <w:shd w:val="clear" w:color="auto" w:fill="auto"/>
        </w:tblPrEx>
        <w:tc>
          <w:tcPr>
            <w:tcW w:w="3675" w:type="dxa"/>
            <w:shd w:val="clear" w:color="auto" w:fill="auto"/>
          </w:tcPr>
          <w:p w14:paraId="630C48AE" w14:textId="77777777" w:rsidR="009F1121" w:rsidRPr="00B274E6" w:rsidRDefault="00B67BED" w:rsidP="00885CF6">
            <w:r w:rsidRPr="00B274E6">
              <w:t xml:space="preserve">What is the step by step process for the station to submit TOPs </w:t>
            </w:r>
            <w:r w:rsidRPr="00B274E6">
              <w:lastRenderedPageBreak/>
              <w:t>referrals? Is there standard verbiage I should use? What information do I redact on the letters?</w:t>
            </w:r>
          </w:p>
        </w:tc>
        <w:tc>
          <w:tcPr>
            <w:tcW w:w="7035" w:type="dxa"/>
            <w:shd w:val="clear" w:color="auto" w:fill="auto"/>
          </w:tcPr>
          <w:p w14:paraId="694D2F89" w14:textId="77777777" w:rsidR="00A55965" w:rsidRDefault="00A55965" w:rsidP="00BB1260">
            <w:pPr>
              <w:rPr>
                <w:rFonts w:ascii="Verdana" w:hAnsi="Verdana"/>
                <w:color w:val="000000"/>
              </w:rPr>
            </w:pPr>
            <w:r w:rsidRPr="00B274E6">
              <w:lastRenderedPageBreak/>
              <w:t>Step 1. Station give</w:t>
            </w:r>
            <w:r w:rsidR="00210295">
              <w:t>s</w:t>
            </w:r>
            <w:r w:rsidRPr="00B274E6">
              <w:t xml:space="preserve"> due process to the debtors by sending debt letters. The first letter </w:t>
            </w:r>
            <w:r w:rsidR="00E827CE" w:rsidRPr="00B274E6">
              <w:t>notifies</w:t>
            </w:r>
            <w:r w:rsidRPr="00B274E6">
              <w:t xml:space="preserve"> the debtor of the debt and how to pay </w:t>
            </w:r>
            <w:r w:rsidRPr="00B274E6">
              <w:lastRenderedPageBreak/>
              <w:t>the debt</w:t>
            </w:r>
            <w:r w:rsidR="008D2AAF" w:rsidRPr="00B274E6">
              <w:t xml:space="preserve">. Sample </w:t>
            </w:r>
            <w:hyperlink r:id="rId24" w:history="1">
              <w:r w:rsidR="008D2AAF" w:rsidRPr="00B274E6">
                <w:rPr>
                  <w:rStyle w:val="Hyperlink"/>
                  <w:rFonts w:cstheme="minorHAnsi"/>
                </w:rPr>
                <w:t>1st NOI Letter</w:t>
              </w:r>
            </w:hyperlink>
            <w:r w:rsidRPr="00B274E6">
              <w:t>. The second letter (after no response from the first letter) notifies the debtor that the debt will be referred to TOP</w:t>
            </w:r>
            <w:r w:rsidR="00E827CE" w:rsidRPr="00B274E6">
              <w:t>s</w:t>
            </w:r>
            <w:r w:rsidRPr="00B274E6">
              <w:t>.</w:t>
            </w:r>
            <w:r w:rsidR="008D2AAF" w:rsidRPr="00B274E6">
              <w:t xml:space="preserve"> Samp</w:t>
            </w:r>
            <w:r w:rsidR="008D2AAF" w:rsidRPr="00B274E6">
              <w:rPr>
                <w:rFonts w:cstheme="minorHAnsi"/>
              </w:rPr>
              <w:t xml:space="preserve">le </w:t>
            </w:r>
            <w:hyperlink r:id="rId25" w:history="1">
              <w:r w:rsidR="008D2AAF" w:rsidRPr="00B274E6">
                <w:rPr>
                  <w:rStyle w:val="Hyperlink"/>
                  <w:rFonts w:cstheme="minorHAnsi"/>
                </w:rPr>
                <w:t>2nd NOI Letter TOP Referral</w:t>
              </w:r>
            </w:hyperlink>
            <w:r w:rsidR="008D2AAF" w:rsidRPr="00B274E6">
              <w:rPr>
                <w:rFonts w:ascii="Verdana" w:hAnsi="Verdana"/>
                <w:color w:val="000000"/>
              </w:rPr>
              <w:t>.</w:t>
            </w:r>
            <w:r w:rsidR="00967CCD">
              <w:rPr>
                <w:rFonts w:ascii="Verdana" w:hAnsi="Verdana"/>
                <w:color w:val="000000"/>
              </w:rPr>
              <w:t xml:space="preserve"> </w:t>
            </w:r>
          </w:p>
          <w:p w14:paraId="512587B7" w14:textId="77777777" w:rsidR="00967CCD" w:rsidRPr="00B274E6" w:rsidRDefault="00967CCD" w:rsidP="00BB1260"/>
          <w:p w14:paraId="27D4555E" w14:textId="77777777" w:rsidR="00A55965" w:rsidRPr="00B274E6" w:rsidRDefault="00A55965" w:rsidP="00BB1260">
            <w:r w:rsidRPr="00B274E6">
              <w:t>Step 2. Station redact</w:t>
            </w:r>
            <w:r w:rsidR="00706C26">
              <w:t>s</w:t>
            </w:r>
            <w:r w:rsidRPr="00B274E6">
              <w:t xml:space="preserve"> both debt letters </w:t>
            </w:r>
            <w:r w:rsidR="00E827CE" w:rsidRPr="00B274E6">
              <w:t>as they will contain PII</w:t>
            </w:r>
            <w:r w:rsidR="00706C26">
              <w:t xml:space="preserve">. Please </w:t>
            </w:r>
            <w:r w:rsidRPr="00B274E6">
              <w:t>ensure amounts in FMS matches (BD).</w:t>
            </w:r>
          </w:p>
          <w:p w14:paraId="17DBC17B" w14:textId="77777777" w:rsidR="00A55965" w:rsidRPr="00B274E6" w:rsidRDefault="00A55965" w:rsidP="00BB1260"/>
          <w:p w14:paraId="649A465A" w14:textId="77777777" w:rsidR="00E827CE" w:rsidRPr="00B274E6" w:rsidRDefault="00A55965" w:rsidP="00BB1260">
            <w:r w:rsidRPr="00B274E6">
              <w:t>Step 3. Station prepare</w:t>
            </w:r>
            <w:r w:rsidR="00E827CE" w:rsidRPr="00B274E6">
              <w:t>s</w:t>
            </w:r>
            <w:r w:rsidRPr="00B274E6">
              <w:t xml:space="preserve"> excel spreadsheet ensuring debt letters and FMS matches.</w:t>
            </w:r>
            <w:r w:rsidR="00E827CE" w:rsidRPr="00B274E6">
              <w:t xml:space="preserve"> Please send unredacted information on the </w:t>
            </w:r>
            <w:r w:rsidR="00706C26">
              <w:t>e</w:t>
            </w:r>
            <w:r w:rsidR="00E827CE" w:rsidRPr="00B274E6">
              <w:t>xcel TOPs spreadsheet for TOPS to do their part in collecting the debt. Please be sure to encrypt e-mails when sending TOPs information since the spreadsheet will contain PII.</w:t>
            </w:r>
          </w:p>
          <w:p w14:paraId="0D89CD28" w14:textId="77777777" w:rsidR="00A55965" w:rsidRPr="00B274E6" w:rsidRDefault="00A55965" w:rsidP="00BB1260"/>
          <w:p w14:paraId="7A901E91" w14:textId="77777777" w:rsidR="00A55965" w:rsidRPr="00B274E6" w:rsidRDefault="00A55965" w:rsidP="00BB1260">
            <w:r w:rsidRPr="00B274E6">
              <w:t>Step 4. Station attach</w:t>
            </w:r>
            <w:r w:rsidR="00E827CE" w:rsidRPr="00B274E6">
              <w:t>es</w:t>
            </w:r>
            <w:r w:rsidRPr="00B274E6">
              <w:t xml:space="preserve"> debt letters and excel spreadsheet in an email and send to their station accountant.</w:t>
            </w:r>
          </w:p>
          <w:p w14:paraId="05F192DF" w14:textId="77777777" w:rsidR="00A55965" w:rsidRPr="00B274E6" w:rsidRDefault="00A55965" w:rsidP="00BB1260"/>
          <w:p w14:paraId="1F9C2199" w14:textId="77777777" w:rsidR="00316215" w:rsidRPr="00B274E6" w:rsidRDefault="00316215" w:rsidP="00BB1260">
            <w:r w:rsidRPr="00B274E6">
              <w:t xml:space="preserve">As for standardized verbiage when sending debts you want us to refer to TOPs, here’s what teams can use in the body of the e-mail. </w:t>
            </w:r>
          </w:p>
          <w:p w14:paraId="43C1A0FB" w14:textId="77777777" w:rsidR="00316215" w:rsidRPr="00B274E6" w:rsidRDefault="00316215" w:rsidP="00BB1260">
            <w:r w:rsidRPr="00B274E6">
              <w:rPr>
                <w:i/>
                <w:iCs/>
              </w:rPr>
              <w:t xml:space="preserve">Station XXX is submitting the attached TOPs referral spreadsheet and Redacted NOIs for referral to TOPs. </w:t>
            </w:r>
          </w:p>
          <w:p w14:paraId="76499213" w14:textId="77777777" w:rsidR="00E827CE" w:rsidRPr="00B274E6" w:rsidRDefault="00E827CE" w:rsidP="00BB1260">
            <w:pPr>
              <w:rPr>
                <w:rFonts w:cs="Segoe UI"/>
                <w:color w:val="4F81BD" w:themeColor="accent1"/>
              </w:rPr>
            </w:pPr>
          </w:p>
        </w:tc>
      </w:tr>
      <w:tr w:rsidR="00773D80" w:rsidRPr="00B274E6" w14:paraId="3EAA4C0D" w14:textId="77777777" w:rsidTr="00C134C6">
        <w:tblPrEx>
          <w:shd w:val="clear" w:color="auto" w:fill="auto"/>
        </w:tblPrEx>
        <w:trPr>
          <w:trHeight w:val="3662"/>
        </w:trPr>
        <w:tc>
          <w:tcPr>
            <w:tcW w:w="3675" w:type="dxa"/>
            <w:shd w:val="clear" w:color="auto" w:fill="auto"/>
          </w:tcPr>
          <w:p w14:paraId="676E41CD" w14:textId="77777777" w:rsidR="00773D80" w:rsidRPr="00B274E6" w:rsidRDefault="00773D80" w:rsidP="00C134C6">
            <w:r>
              <w:lastRenderedPageBreak/>
              <w:t xml:space="preserve">What are the updated guidelines to process Jury Duty fees as of 2020? </w:t>
            </w:r>
          </w:p>
        </w:tc>
        <w:tc>
          <w:tcPr>
            <w:tcW w:w="7035" w:type="dxa"/>
            <w:shd w:val="clear" w:color="auto" w:fill="auto"/>
          </w:tcPr>
          <w:p w14:paraId="0BDF316A" w14:textId="77777777" w:rsidR="00773D80" w:rsidRDefault="00773D80" w:rsidP="00773D80">
            <w:pPr>
              <w:rPr>
                <w:sz w:val="22"/>
                <w:szCs w:val="22"/>
              </w:rPr>
            </w:pPr>
            <w:r>
              <w:t>1. The Agent Cashier prepares the VA Form 1027, Field Service Receipt - General – Accountable, for jury duty fees and provides the employee a copy. Also see section D-1 II.3. above.</w:t>
            </w:r>
          </w:p>
          <w:p w14:paraId="0C775E1E" w14:textId="77777777" w:rsidR="00773D80" w:rsidRDefault="00773D80" w:rsidP="00773D80"/>
          <w:p w14:paraId="5A6257A0" w14:textId="77777777" w:rsidR="00773D80" w:rsidRDefault="00773D80" w:rsidP="00773D80">
            <w:pPr>
              <w:numPr>
                <w:ilvl w:val="0"/>
                <w:numId w:val="16"/>
              </w:numPr>
            </w:pPr>
            <w:r>
              <w:t xml:space="preserve">In accordance with </w:t>
            </w:r>
            <w:hyperlink r:id="rId26" w:history="1">
              <w:r>
                <w:rPr>
                  <w:rStyle w:val="Hyperlink"/>
                </w:rPr>
                <w:t>OPM policies</w:t>
              </w:r>
            </w:hyperlink>
            <w:r>
              <w:t xml:space="preserve"> (5 USC sections 6322, 5537 and 5515), jury duty fee which is for compensating an employee’s expenses, such as transportation, parking, or lodging expenses, does not have to be remitted to VA.  if the jury fee is remitted to VA for any reasons, the Agent Cashier deposits it to the current year General Fund Receipts 36X3220, Proprietary Receipts, not otherwise classified.  </w:t>
            </w:r>
          </w:p>
          <w:p w14:paraId="09C86DD8" w14:textId="77777777" w:rsidR="00773D80" w:rsidRDefault="00773D80" w:rsidP="00773D80">
            <w:pPr>
              <w:rPr>
                <w:rFonts w:eastAsiaTheme="minorHAnsi"/>
              </w:rPr>
            </w:pPr>
          </w:p>
          <w:p w14:paraId="692AAD57" w14:textId="77777777" w:rsidR="00773D80" w:rsidRDefault="00773D80" w:rsidP="00773D80">
            <w:pPr>
              <w:numPr>
                <w:ilvl w:val="0"/>
                <w:numId w:val="16"/>
              </w:numPr>
              <w:rPr>
                <w:i/>
                <w:iCs/>
              </w:rPr>
            </w:pPr>
            <w:r>
              <w:t xml:space="preserve">Jury duty fee received from any Federal, State, or local government compensating an employee, who was in a pay status during all or part of the period of jury service, for service rendered as a juror or witness must be remitted to VA.  The employee endorses the check to VA.  The Agent Cashier deposits the funds in the suspense X3875 and ALAC applies the funds to the GOE, the fund from which the employee is paid.  </w:t>
            </w:r>
            <w:r>
              <w:rPr>
                <w:i/>
                <w:iCs/>
              </w:rPr>
              <w:t xml:space="preserve">Note:  Jury duty fees should be recorded as a reduction in expense, not as a reimbursement, a CR 20 using </w:t>
            </w:r>
            <w:r>
              <w:rPr>
                <w:i/>
                <w:iCs/>
              </w:rPr>
              <w:lastRenderedPageBreak/>
              <w:t>the funding that the employee is regularly paid from, with BOC 1101 in FMS.</w:t>
            </w:r>
          </w:p>
          <w:p w14:paraId="2548D373" w14:textId="77777777" w:rsidR="00773D80" w:rsidRDefault="00773D80" w:rsidP="00773D80">
            <w:pPr>
              <w:rPr>
                <w:rFonts w:eastAsiaTheme="minorHAnsi"/>
              </w:rPr>
            </w:pPr>
          </w:p>
          <w:p w14:paraId="75E4AB61" w14:textId="77777777" w:rsidR="00773D80" w:rsidRDefault="00773D80" w:rsidP="00773D80">
            <w:pPr>
              <w:numPr>
                <w:ilvl w:val="0"/>
                <w:numId w:val="16"/>
              </w:numPr>
            </w:pPr>
            <w:r>
              <w:t xml:space="preserve">The Agent Cashier forwards a copy of the VA Form 1027 to the Regional Office Accounting Section for processing in VA’s financial accounting system. </w:t>
            </w:r>
          </w:p>
          <w:p w14:paraId="608FA8D0" w14:textId="77777777" w:rsidR="00773D80" w:rsidRDefault="00773D80" w:rsidP="00773D80">
            <w:pPr>
              <w:rPr>
                <w:rFonts w:eastAsiaTheme="minorHAnsi"/>
              </w:rPr>
            </w:pPr>
          </w:p>
          <w:p w14:paraId="024C2815" w14:textId="77777777" w:rsidR="00773D80" w:rsidRPr="00B274E6" w:rsidRDefault="00773D80" w:rsidP="00773D80">
            <w:pPr>
              <w:autoSpaceDE w:val="0"/>
              <w:autoSpaceDN w:val="0"/>
              <w:adjustRightInd w:val="0"/>
              <w:rPr>
                <w:highlight w:val="yellow"/>
              </w:rPr>
            </w:pPr>
            <w:r>
              <w:rPr>
                <w:i/>
                <w:iCs/>
              </w:rPr>
              <w:t>Note:  Government employees serving as jurors for Federal courts do not receive juror fees, unless they are in a non-pay status during all or part of the period of jury service, but they do receive transportation, parking, and lodging expenses.  These expenses do not have to be remitted to the employee's agency. </w:t>
            </w:r>
          </w:p>
        </w:tc>
      </w:tr>
    </w:tbl>
    <w:p w14:paraId="26345ED3" w14:textId="77777777" w:rsidR="00210F72" w:rsidRDefault="00722CFB">
      <w:pPr>
        <w:rPr>
          <w:rStyle w:val="imsender1"/>
          <w:rFonts w:asciiTheme="minorHAnsi" w:hAnsiTheme="minorHAnsi"/>
          <w:color w:val="auto"/>
          <w:sz w:val="24"/>
          <w:szCs w:val="24"/>
        </w:rPr>
      </w:pPr>
      <w:r>
        <w:rPr>
          <w:noProof/>
        </w:rPr>
        <w:lastRenderedPageBreak/>
        <w:drawing>
          <wp:anchor distT="0" distB="0" distL="114300" distR="114300" simplePos="0" relativeHeight="251662336" behindDoc="0" locked="0" layoutInCell="1" allowOverlap="1" wp14:anchorId="6565E10D" wp14:editId="107791F5">
            <wp:simplePos x="0" y="0"/>
            <wp:positionH relativeFrom="column">
              <wp:posOffset>1895475</wp:posOffset>
            </wp:positionH>
            <wp:positionV relativeFrom="paragraph">
              <wp:posOffset>174625</wp:posOffset>
            </wp:positionV>
            <wp:extent cx="2809875" cy="2680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09875" cy="268079"/>
                    </a:xfrm>
                    <a:prstGeom prst="rect">
                      <a:avLst/>
                    </a:prstGeom>
                  </pic:spPr>
                </pic:pic>
              </a:graphicData>
            </a:graphic>
            <wp14:sizeRelH relativeFrom="page">
              <wp14:pctWidth>0</wp14:pctWidth>
            </wp14:sizeRelH>
            <wp14:sizeRelV relativeFrom="page">
              <wp14:pctHeight>0</wp14:pctHeight>
            </wp14:sizeRelV>
          </wp:anchor>
        </w:drawing>
      </w:r>
    </w:p>
    <w:p w14:paraId="422695CD" w14:textId="77777777" w:rsidR="00210F72" w:rsidRDefault="00210F72">
      <w:pPr>
        <w:rPr>
          <w:rStyle w:val="imsender1"/>
          <w:rFonts w:asciiTheme="minorHAnsi" w:hAnsiTheme="minorHAnsi"/>
          <w:color w:val="auto"/>
          <w:sz w:val="24"/>
          <w:szCs w:val="24"/>
        </w:rPr>
      </w:pPr>
    </w:p>
    <w:p w14:paraId="5D4DA872" w14:textId="77777777" w:rsidR="00210F72" w:rsidRDefault="00210F72">
      <w:pPr>
        <w:rPr>
          <w:rStyle w:val="imsender1"/>
          <w:rFonts w:asciiTheme="minorHAnsi" w:hAnsiTheme="minorHAnsi"/>
          <w:color w:val="auto"/>
          <w:sz w:val="24"/>
          <w:szCs w:val="24"/>
        </w:rPr>
      </w:pPr>
    </w:p>
    <w:p w14:paraId="0744087E" w14:textId="77777777" w:rsidR="00B94888" w:rsidRDefault="00722CFB">
      <w:pPr>
        <w:rPr>
          <w:rStyle w:val="imsender1"/>
          <w:rFonts w:asciiTheme="minorHAnsi" w:hAnsiTheme="minorHAnsi"/>
          <w:color w:val="auto"/>
          <w:sz w:val="24"/>
          <w:szCs w:val="24"/>
        </w:rPr>
      </w:pPr>
      <w:r>
        <w:rPr>
          <w:noProof/>
        </w:rPr>
        <w:drawing>
          <wp:anchor distT="0" distB="0" distL="114300" distR="114300" simplePos="0" relativeHeight="251664384" behindDoc="0" locked="0" layoutInCell="1" allowOverlap="1" wp14:anchorId="56271C80" wp14:editId="357D32B1">
            <wp:simplePos x="0" y="0"/>
            <wp:positionH relativeFrom="column">
              <wp:posOffset>3371850</wp:posOffset>
            </wp:positionH>
            <wp:positionV relativeFrom="paragraph">
              <wp:posOffset>159385</wp:posOffset>
            </wp:positionV>
            <wp:extent cx="3333750" cy="1724025"/>
            <wp:effectExtent l="152400" t="152400" r="361950" b="3714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333938" cy="172412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F0E8220" wp14:editId="0AA2C697">
            <wp:simplePos x="0" y="0"/>
            <wp:positionH relativeFrom="column">
              <wp:posOffset>0</wp:posOffset>
            </wp:positionH>
            <wp:positionV relativeFrom="paragraph">
              <wp:posOffset>159385</wp:posOffset>
            </wp:positionV>
            <wp:extent cx="3133725" cy="1709822"/>
            <wp:effectExtent l="152400" t="152400" r="352425" b="3670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133725" cy="170982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8066C8A" w14:textId="77777777" w:rsidR="00210F72" w:rsidRDefault="00210F72">
      <w:pPr>
        <w:rPr>
          <w:rStyle w:val="imsender1"/>
          <w:rFonts w:asciiTheme="minorHAnsi" w:hAnsiTheme="minorHAnsi"/>
          <w:color w:val="auto"/>
          <w:sz w:val="24"/>
          <w:szCs w:val="24"/>
        </w:rPr>
      </w:pPr>
    </w:p>
    <w:p w14:paraId="097ECEC4" w14:textId="77777777" w:rsidR="00B94888" w:rsidRDefault="00B94888">
      <w:pPr>
        <w:rPr>
          <w:rStyle w:val="imsender1"/>
          <w:rFonts w:asciiTheme="minorHAnsi" w:hAnsiTheme="minorHAnsi"/>
          <w:color w:val="auto"/>
          <w:sz w:val="24"/>
          <w:szCs w:val="24"/>
        </w:rPr>
      </w:pPr>
      <w:r>
        <w:rPr>
          <w:noProof/>
        </w:rPr>
        <w:t xml:space="preserve"> </w:t>
      </w:r>
    </w:p>
    <w:p w14:paraId="60CEE681" w14:textId="77777777" w:rsidR="00B94888" w:rsidRDefault="00B94888">
      <w:pPr>
        <w:rPr>
          <w:rStyle w:val="imsender1"/>
          <w:rFonts w:asciiTheme="minorHAnsi" w:hAnsiTheme="minorHAnsi"/>
          <w:color w:val="auto"/>
          <w:sz w:val="24"/>
          <w:szCs w:val="24"/>
        </w:rPr>
      </w:pPr>
    </w:p>
    <w:p w14:paraId="7C6DD0A1" w14:textId="77777777" w:rsidR="00B94888" w:rsidRDefault="00B94888">
      <w:pPr>
        <w:rPr>
          <w:rStyle w:val="imsender1"/>
          <w:rFonts w:asciiTheme="minorHAnsi" w:hAnsiTheme="minorHAnsi"/>
          <w:color w:val="auto"/>
          <w:sz w:val="24"/>
          <w:szCs w:val="24"/>
        </w:rPr>
      </w:pPr>
    </w:p>
    <w:p w14:paraId="1BE9B4AA" w14:textId="77777777" w:rsidR="00B94888" w:rsidRDefault="00B94888">
      <w:pPr>
        <w:rPr>
          <w:rStyle w:val="imsender1"/>
          <w:rFonts w:asciiTheme="minorHAnsi" w:hAnsiTheme="minorHAnsi"/>
          <w:color w:val="auto"/>
          <w:sz w:val="24"/>
          <w:szCs w:val="24"/>
        </w:rPr>
      </w:pPr>
    </w:p>
    <w:p w14:paraId="6FC4A11E" w14:textId="77777777" w:rsidR="00B94888" w:rsidRPr="00697A27" w:rsidRDefault="00B94888">
      <w:pPr>
        <w:rPr>
          <w:rStyle w:val="imsender1"/>
          <w:rFonts w:asciiTheme="minorHAnsi" w:hAnsiTheme="minorHAnsi"/>
          <w:color w:val="auto"/>
          <w:sz w:val="24"/>
          <w:szCs w:val="24"/>
        </w:rPr>
      </w:pPr>
      <w:r>
        <w:rPr>
          <w:noProof/>
        </w:rPr>
        <w:t xml:space="preserve"> </w:t>
      </w:r>
    </w:p>
    <w:sectPr w:rsidR="00B94888" w:rsidRPr="00697A27" w:rsidSect="000E349C">
      <w:footerReference w:type="default" r:id="rId31"/>
      <w:headerReference w:type="first" r:id="rId3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6067A" w14:textId="77777777" w:rsidR="002E3D91" w:rsidRDefault="002E3D91" w:rsidP="0000682A">
      <w:r>
        <w:separator/>
      </w:r>
    </w:p>
  </w:endnote>
  <w:endnote w:type="continuationSeparator" w:id="0">
    <w:p w14:paraId="45A06906" w14:textId="77777777" w:rsidR="002E3D91" w:rsidRDefault="002E3D91" w:rsidP="0000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EC05" w14:textId="77777777" w:rsidR="00383304" w:rsidRDefault="00383304">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605B4A">
      <w:rPr>
        <w:noProof/>
        <w:color w:val="17365D" w:themeColor="text2" w:themeShade="BF"/>
      </w:rPr>
      <w:t>9</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605B4A">
      <w:rPr>
        <w:noProof/>
        <w:color w:val="17365D" w:themeColor="text2" w:themeShade="BF"/>
      </w:rPr>
      <w:t>9</w:t>
    </w:r>
    <w:r>
      <w:rPr>
        <w:color w:val="17365D" w:themeColor="text2" w:themeShade="BF"/>
      </w:rPr>
      <w:fldChar w:fldCharType="end"/>
    </w:r>
  </w:p>
  <w:p w14:paraId="3CA2597A" w14:textId="77777777" w:rsidR="00383304" w:rsidRDefault="0038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3376A" w14:textId="77777777" w:rsidR="002E3D91" w:rsidRDefault="002E3D91" w:rsidP="0000682A">
      <w:r>
        <w:separator/>
      </w:r>
    </w:p>
  </w:footnote>
  <w:footnote w:type="continuationSeparator" w:id="0">
    <w:p w14:paraId="1E43989B" w14:textId="77777777" w:rsidR="002E3D91" w:rsidRDefault="002E3D91" w:rsidP="0000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5EE33" w14:textId="77777777" w:rsidR="00383304" w:rsidRPr="00253E68" w:rsidRDefault="00383304" w:rsidP="00383304">
    <w:pPr>
      <w:pStyle w:val="Title"/>
      <w:pBdr>
        <w:bottom w:val="single" w:sz="8" w:space="4" w:color="C0504D" w:themeColor="accent2"/>
      </w:pBdr>
      <w:spacing w:after="240"/>
      <w:jc w:val="center"/>
      <w:rPr>
        <w:b/>
        <w:sz w:val="32"/>
        <w:szCs w:val="32"/>
      </w:rPr>
    </w:pPr>
    <w:r>
      <w:rPr>
        <w:noProof/>
      </w:rPr>
      <w:drawing>
        <wp:inline distT="0" distB="0" distL="0" distR="0" wp14:anchorId="50F9774A" wp14:editId="0D62395D">
          <wp:extent cx="1554480" cy="530225"/>
          <wp:effectExtent l="0" t="0" r="7620" b="3175"/>
          <wp:docPr id="1" name="Picture 1" descr="U.S. Department of Veterans Affair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US Department of VA Affairs.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30225"/>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9F02238" w14:textId="77777777" w:rsidR="0000682A" w:rsidRDefault="00006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27FB"/>
    <w:multiLevelType w:val="hybridMultilevel"/>
    <w:tmpl w:val="91D89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12A2F"/>
    <w:multiLevelType w:val="hybridMultilevel"/>
    <w:tmpl w:val="FA4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B2FB2"/>
    <w:multiLevelType w:val="hybridMultilevel"/>
    <w:tmpl w:val="EFFE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D380E"/>
    <w:multiLevelType w:val="hybridMultilevel"/>
    <w:tmpl w:val="41D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41D77"/>
    <w:multiLevelType w:val="hybridMultilevel"/>
    <w:tmpl w:val="0E449C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B34E5A"/>
    <w:multiLevelType w:val="hybridMultilevel"/>
    <w:tmpl w:val="3AF8A2A0"/>
    <w:lvl w:ilvl="0" w:tplc="4480472A">
      <w:start w:val="1"/>
      <w:numFmt w:val="bullet"/>
      <w:lvlText w:val="•"/>
      <w:lvlJc w:val="left"/>
      <w:pPr>
        <w:tabs>
          <w:tab w:val="num" w:pos="720"/>
        </w:tabs>
        <w:ind w:left="720" w:hanging="360"/>
      </w:pPr>
      <w:rPr>
        <w:rFonts w:ascii="Arial" w:hAnsi="Arial" w:hint="default"/>
      </w:rPr>
    </w:lvl>
    <w:lvl w:ilvl="1" w:tplc="853A7D54" w:tentative="1">
      <w:start w:val="1"/>
      <w:numFmt w:val="bullet"/>
      <w:lvlText w:val="•"/>
      <w:lvlJc w:val="left"/>
      <w:pPr>
        <w:tabs>
          <w:tab w:val="num" w:pos="1440"/>
        </w:tabs>
        <w:ind w:left="1440" w:hanging="360"/>
      </w:pPr>
      <w:rPr>
        <w:rFonts w:ascii="Arial" w:hAnsi="Arial" w:hint="default"/>
      </w:rPr>
    </w:lvl>
    <w:lvl w:ilvl="2" w:tplc="686A3D66" w:tentative="1">
      <w:start w:val="1"/>
      <w:numFmt w:val="bullet"/>
      <w:lvlText w:val="•"/>
      <w:lvlJc w:val="left"/>
      <w:pPr>
        <w:tabs>
          <w:tab w:val="num" w:pos="2160"/>
        </w:tabs>
        <w:ind w:left="2160" w:hanging="360"/>
      </w:pPr>
      <w:rPr>
        <w:rFonts w:ascii="Arial" w:hAnsi="Arial" w:hint="default"/>
      </w:rPr>
    </w:lvl>
    <w:lvl w:ilvl="3" w:tplc="F3407654" w:tentative="1">
      <w:start w:val="1"/>
      <w:numFmt w:val="bullet"/>
      <w:lvlText w:val="•"/>
      <w:lvlJc w:val="left"/>
      <w:pPr>
        <w:tabs>
          <w:tab w:val="num" w:pos="2880"/>
        </w:tabs>
        <w:ind w:left="2880" w:hanging="360"/>
      </w:pPr>
      <w:rPr>
        <w:rFonts w:ascii="Arial" w:hAnsi="Arial" w:hint="default"/>
      </w:rPr>
    </w:lvl>
    <w:lvl w:ilvl="4" w:tplc="E5709604" w:tentative="1">
      <w:start w:val="1"/>
      <w:numFmt w:val="bullet"/>
      <w:lvlText w:val="•"/>
      <w:lvlJc w:val="left"/>
      <w:pPr>
        <w:tabs>
          <w:tab w:val="num" w:pos="3600"/>
        </w:tabs>
        <w:ind w:left="3600" w:hanging="360"/>
      </w:pPr>
      <w:rPr>
        <w:rFonts w:ascii="Arial" w:hAnsi="Arial" w:hint="default"/>
      </w:rPr>
    </w:lvl>
    <w:lvl w:ilvl="5" w:tplc="C408F70E" w:tentative="1">
      <w:start w:val="1"/>
      <w:numFmt w:val="bullet"/>
      <w:lvlText w:val="•"/>
      <w:lvlJc w:val="left"/>
      <w:pPr>
        <w:tabs>
          <w:tab w:val="num" w:pos="4320"/>
        </w:tabs>
        <w:ind w:left="4320" w:hanging="360"/>
      </w:pPr>
      <w:rPr>
        <w:rFonts w:ascii="Arial" w:hAnsi="Arial" w:hint="default"/>
      </w:rPr>
    </w:lvl>
    <w:lvl w:ilvl="6" w:tplc="9980550A" w:tentative="1">
      <w:start w:val="1"/>
      <w:numFmt w:val="bullet"/>
      <w:lvlText w:val="•"/>
      <w:lvlJc w:val="left"/>
      <w:pPr>
        <w:tabs>
          <w:tab w:val="num" w:pos="5040"/>
        </w:tabs>
        <w:ind w:left="5040" w:hanging="360"/>
      </w:pPr>
      <w:rPr>
        <w:rFonts w:ascii="Arial" w:hAnsi="Arial" w:hint="default"/>
      </w:rPr>
    </w:lvl>
    <w:lvl w:ilvl="7" w:tplc="C8727592" w:tentative="1">
      <w:start w:val="1"/>
      <w:numFmt w:val="bullet"/>
      <w:lvlText w:val="•"/>
      <w:lvlJc w:val="left"/>
      <w:pPr>
        <w:tabs>
          <w:tab w:val="num" w:pos="5760"/>
        </w:tabs>
        <w:ind w:left="5760" w:hanging="360"/>
      </w:pPr>
      <w:rPr>
        <w:rFonts w:ascii="Arial" w:hAnsi="Arial" w:hint="default"/>
      </w:rPr>
    </w:lvl>
    <w:lvl w:ilvl="8" w:tplc="E8FEE6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E75E74"/>
    <w:multiLevelType w:val="hybridMultilevel"/>
    <w:tmpl w:val="16B0C73A"/>
    <w:lvl w:ilvl="0" w:tplc="B63A427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26C23"/>
    <w:multiLevelType w:val="hybridMultilevel"/>
    <w:tmpl w:val="6FF6C80A"/>
    <w:lvl w:ilvl="0" w:tplc="C17421BA">
      <w:start w:val="1"/>
      <w:numFmt w:val="bullet"/>
      <w:lvlText w:val="•"/>
      <w:lvlJc w:val="left"/>
      <w:pPr>
        <w:tabs>
          <w:tab w:val="num" w:pos="720"/>
        </w:tabs>
        <w:ind w:left="720" w:hanging="360"/>
      </w:pPr>
      <w:rPr>
        <w:rFonts w:ascii="Arial" w:hAnsi="Arial" w:hint="default"/>
      </w:rPr>
    </w:lvl>
    <w:lvl w:ilvl="1" w:tplc="217E56BA">
      <w:numFmt w:val="bullet"/>
      <w:lvlText w:val=""/>
      <w:lvlJc w:val="left"/>
      <w:pPr>
        <w:tabs>
          <w:tab w:val="num" w:pos="1440"/>
        </w:tabs>
        <w:ind w:left="1440" w:hanging="360"/>
      </w:pPr>
      <w:rPr>
        <w:rFonts w:ascii="Wingdings" w:hAnsi="Wingdings" w:hint="default"/>
      </w:rPr>
    </w:lvl>
    <w:lvl w:ilvl="2" w:tplc="B6E2A2B4" w:tentative="1">
      <w:start w:val="1"/>
      <w:numFmt w:val="bullet"/>
      <w:lvlText w:val="•"/>
      <w:lvlJc w:val="left"/>
      <w:pPr>
        <w:tabs>
          <w:tab w:val="num" w:pos="2160"/>
        </w:tabs>
        <w:ind w:left="2160" w:hanging="360"/>
      </w:pPr>
      <w:rPr>
        <w:rFonts w:ascii="Arial" w:hAnsi="Arial" w:hint="default"/>
      </w:rPr>
    </w:lvl>
    <w:lvl w:ilvl="3" w:tplc="464A142C" w:tentative="1">
      <w:start w:val="1"/>
      <w:numFmt w:val="bullet"/>
      <w:lvlText w:val="•"/>
      <w:lvlJc w:val="left"/>
      <w:pPr>
        <w:tabs>
          <w:tab w:val="num" w:pos="2880"/>
        </w:tabs>
        <w:ind w:left="2880" w:hanging="360"/>
      </w:pPr>
      <w:rPr>
        <w:rFonts w:ascii="Arial" w:hAnsi="Arial" w:hint="default"/>
      </w:rPr>
    </w:lvl>
    <w:lvl w:ilvl="4" w:tplc="4E605240" w:tentative="1">
      <w:start w:val="1"/>
      <w:numFmt w:val="bullet"/>
      <w:lvlText w:val="•"/>
      <w:lvlJc w:val="left"/>
      <w:pPr>
        <w:tabs>
          <w:tab w:val="num" w:pos="3600"/>
        </w:tabs>
        <w:ind w:left="3600" w:hanging="360"/>
      </w:pPr>
      <w:rPr>
        <w:rFonts w:ascii="Arial" w:hAnsi="Arial" w:hint="default"/>
      </w:rPr>
    </w:lvl>
    <w:lvl w:ilvl="5" w:tplc="BD9CA1F0" w:tentative="1">
      <w:start w:val="1"/>
      <w:numFmt w:val="bullet"/>
      <w:lvlText w:val="•"/>
      <w:lvlJc w:val="left"/>
      <w:pPr>
        <w:tabs>
          <w:tab w:val="num" w:pos="4320"/>
        </w:tabs>
        <w:ind w:left="4320" w:hanging="360"/>
      </w:pPr>
      <w:rPr>
        <w:rFonts w:ascii="Arial" w:hAnsi="Arial" w:hint="default"/>
      </w:rPr>
    </w:lvl>
    <w:lvl w:ilvl="6" w:tplc="238AAEBA" w:tentative="1">
      <w:start w:val="1"/>
      <w:numFmt w:val="bullet"/>
      <w:lvlText w:val="•"/>
      <w:lvlJc w:val="left"/>
      <w:pPr>
        <w:tabs>
          <w:tab w:val="num" w:pos="5040"/>
        </w:tabs>
        <w:ind w:left="5040" w:hanging="360"/>
      </w:pPr>
      <w:rPr>
        <w:rFonts w:ascii="Arial" w:hAnsi="Arial" w:hint="default"/>
      </w:rPr>
    </w:lvl>
    <w:lvl w:ilvl="7" w:tplc="8D08F158" w:tentative="1">
      <w:start w:val="1"/>
      <w:numFmt w:val="bullet"/>
      <w:lvlText w:val="•"/>
      <w:lvlJc w:val="left"/>
      <w:pPr>
        <w:tabs>
          <w:tab w:val="num" w:pos="5760"/>
        </w:tabs>
        <w:ind w:left="5760" w:hanging="360"/>
      </w:pPr>
      <w:rPr>
        <w:rFonts w:ascii="Arial" w:hAnsi="Arial" w:hint="default"/>
      </w:rPr>
    </w:lvl>
    <w:lvl w:ilvl="8" w:tplc="41CECD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E96E71"/>
    <w:multiLevelType w:val="hybridMultilevel"/>
    <w:tmpl w:val="7DFE0B24"/>
    <w:lvl w:ilvl="0" w:tplc="04090003">
      <w:start w:val="1"/>
      <w:numFmt w:val="bullet"/>
      <w:lvlText w:val="o"/>
      <w:lvlJc w:val="left"/>
      <w:pPr>
        <w:ind w:left="885" w:hanging="360"/>
      </w:pPr>
      <w:rPr>
        <w:rFonts w:ascii="Courier New" w:hAnsi="Courier New" w:cs="Courier New"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4DB6780A"/>
    <w:multiLevelType w:val="hybridMultilevel"/>
    <w:tmpl w:val="EF182E8C"/>
    <w:lvl w:ilvl="0" w:tplc="310876B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5E35DD"/>
    <w:multiLevelType w:val="hybridMultilevel"/>
    <w:tmpl w:val="45C6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14649"/>
    <w:multiLevelType w:val="hybridMultilevel"/>
    <w:tmpl w:val="D430A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4FE28F0"/>
    <w:multiLevelType w:val="hybridMultilevel"/>
    <w:tmpl w:val="6DB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917DF"/>
    <w:multiLevelType w:val="hybridMultilevel"/>
    <w:tmpl w:val="0442A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92CD6"/>
    <w:multiLevelType w:val="hybridMultilevel"/>
    <w:tmpl w:val="722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23947"/>
    <w:multiLevelType w:val="hybridMultilevel"/>
    <w:tmpl w:val="5FA6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
  </w:num>
  <w:num w:numId="4">
    <w:abstractNumId w:val="10"/>
  </w:num>
  <w:num w:numId="5">
    <w:abstractNumId w:val="3"/>
  </w:num>
  <w:num w:numId="6">
    <w:abstractNumId w:val="7"/>
  </w:num>
  <w:num w:numId="7">
    <w:abstractNumId w:val="6"/>
  </w:num>
  <w:num w:numId="8">
    <w:abstractNumId w:val="15"/>
  </w:num>
  <w:num w:numId="9">
    <w:abstractNumId w:val="13"/>
  </w:num>
  <w:num w:numId="10">
    <w:abstractNumId w:val="14"/>
  </w:num>
  <w:num w:numId="11">
    <w:abstractNumId w:val="8"/>
  </w:num>
  <w:num w:numId="12">
    <w:abstractNumId w:val="2"/>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2A"/>
    <w:rsid w:val="0000682A"/>
    <w:rsid w:val="00007D4B"/>
    <w:rsid w:val="00013055"/>
    <w:rsid w:val="00017C17"/>
    <w:rsid w:val="0002014C"/>
    <w:rsid w:val="00021B2F"/>
    <w:rsid w:val="00025CD5"/>
    <w:rsid w:val="00033675"/>
    <w:rsid w:val="0003753D"/>
    <w:rsid w:val="000737C7"/>
    <w:rsid w:val="00074489"/>
    <w:rsid w:val="00076FBE"/>
    <w:rsid w:val="00082309"/>
    <w:rsid w:val="0008693C"/>
    <w:rsid w:val="00086992"/>
    <w:rsid w:val="000A1987"/>
    <w:rsid w:val="000B7ED4"/>
    <w:rsid w:val="000C1815"/>
    <w:rsid w:val="000C5571"/>
    <w:rsid w:val="000D69E3"/>
    <w:rsid w:val="000E349C"/>
    <w:rsid w:val="000F1A6C"/>
    <w:rsid w:val="000F3E24"/>
    <w:rsid w:val="001020FC"/>
    <w:rsid w:val="00106D6E"/>
    <w:rsid w:val="00107B6A"/>
    <w:rsid w:val="00113C57"/>
    <w:rsid w:val="00117553"/>
    <w:rsid w:val="00122D83"/>
    <w:rsid w:val="00124729"/>
    <w:rsid w:val="0014133F"/>
    <w:rsid w:val="0015126B"/>
    <w:rsid w:val="00156CB4"/>
    <w:rsid w:val="0016074B"/>
    <w:rsid w:val="00161C7C"/>
    <w:rsid w:val="00163890"/>
    <w:rsid w:val="0017666F"/>
    <w:rsid w:val="00187627"/>
    <w:rsid w:val="001A2B14"/>
    <w:rsid w:val="001B15FD"/>
    <w:rsid w:val="001D651A"/>
    <w:rsid w:val="001E00DF"/>
    <w:rsid w:val="001F114E"/>
    <w:rsid w:val="001F2E7C"/>
    <w:rsid w:val="00201F96"/>
    <w:rsid w:val="00205094"/>
    <w:rsid w:val="002076D9"/>
    <w:rsid w:val="00210295"/>
    <w:rsid w:val="00210F72"/>
    <w:rsid w:val="002119FE"/>
    <w:rsid w:val="00212E0A"/>
    <w:rsid w:val="00222C90"/>
    <w:rsid w:val="0023546F"/>
    <w:rsid w:val="002360E6"/>
    <w:rsid w:val="0024437F"/>
    <w:rsid w:val="002655E1"/>
    <w:rsid w:val="00271CCA"/>
    <w:rsid w:val="00274453"/>
    <w:rsid w:val="00286E48"/>
    <w:rsid w:val="00294FCC"/>
    <w:rsid w:val="00295CEC"/>
    <w:rsid w:val="002E2AB7"/>
    <w:rsid w:val="002E3D91"/>
    <w:rsid w:val="002F3FFE"/>
    <w:rsid w:val="0031532D"/>
    <w:rsid w:val="00316215"/>
    <w:rsid w:val="00321D2E"/>
    <w:rsid w:val="0033138A"/>
    <w:rsid w:val="0033376D"/>
    <w:rsid w:val="0033644F"/>
    <w:rsid w:val="00345D49"/>
    <w:rsid w:val="0035142C"/>
    <w:rsid w:val="00363E6C"/>
    <w:rsid w:val="003673BD"/>
    <w:rsid w:val="00376FF0"/>
    <w:rsid w:val="003811D0"/>
    <w:rsid w:val="00383304"/>
    <w:rsid w:val="003A70EC"/>
    <w:rsid w:val="003B692E"/>
    <w:rsid w:val="003C111A"/>
    <w:rsid w:val="003E12A0"/>
    <w:rsid w:val="003F15D0"/>
    <w:rsid w:val="00403647"/>
    <w:rsid w:val="004073B0"/>
    <w:rsid w:val="0041320E"/>
    <w:rsid w:val="004202F9"/>
    <w:rsid w:val="00432BBE"/>
    <w:rsid w:val="00432F3D"/>
    <w:rsid w:val="00443228"/>
    <w:rsid w:val="004461C8"/>
    <w:rsid w:val="004619C5"/>
    <w:rsid w:val="00461A67"/>
    <w:rsid w:val="00463F0E"/>
    <w:rsid w:val="00473F78"/>
    <w:rsid w:val="004804DC"/>
    <w:rsid w:val="004808D3"/>
    <w:rsid w:val="004A7389"/>
    <w:rsid w:val="004B3C64"/>
    <w:rsid w:val="004C0825"/>
    <w:rsid w:val="004C21E2"/>
    <w:rsid w:val="004C4AEC"/>
    <w:rsid w:val="004D0C82"/>
    <w:rsid w:val="00510DCB"/>
    <w:rsid w:val="00511312"/>
    <w:rsid w:val="00511B3F"/>
    <w:rsid w:val="00515AE2"/>
    <w:rsid w:val="00520FC7"/>
    <w:rsid w:val="0053577B"/>
    <w:rsid w:val="00535CF2"/>
    <w:rsid w:val="005372A7"/>
    <w:rsid w:val="0054729F"/>
    <w:rsid w:val="00551B30"/>
    <w:rsid w:val="005535FF"/>
    <w:rsid w:val="00563990"/>
    <w:rsid w:val="005655DF"/>
    <w:rsid w:val="005815A5"/>
    <w:rsid w:val="00583AC0"/>
    <w:rsid w:val="005A005F"/>
    <w:rsid w:val="005A2829"/>
    <w:rsid w:val="005D584B"/>
    <w:rsid w:val="005D7C6E"/>
    <w:rsid w:val="005E154C"/>
    <w:rsid w:val="005E24D9"/>
    <w:rsid w:val="005E357B"/>
    <w:rsid w:val="005E62B9"/>
    <w:rsid w:val="0060111A"/>
    <w:rsid w:val="00602537"/>
    <w:rsid w:val="00605B4A"/>
    <w:rsid w:val="006139DD"/>
    <w:rsid w:val="00616D10"/>
    <w:rsid w:val="00621C6D"/>
    <w:rsid w:val="00627EFC"/>
    <w:rsid w:val="00630880"/>
    <w:rsid w:val="006440C1"/>
    <w:rsid w:val="00646135"/>
    <w:rsid w:val="00666F08"/>
    <w:rsid w:val="006770C3"/>
    <w:rsid w:val="00683872"/>
    <w:rsid w:val="00685909"/>
    <w:rsid w:val="00685D13"/>
    <w:rsid w:val="00697A27"/>
    <w:rsid w:val="006A0384"/>
    <w:rsid w:val="006A7A2A"/>
    <w:rsid w:val="006D1F6E"/>
    <w:rsid w:val="006D6112"/>
    <w:rsid w:val="00706C26"/>
    <w:rsid w:val="00707F57"/>
    <w:rsid w:val="007156E3"/>
    <w:rsid w:val="007206A3"/>
    <w:rsid w:val="00722CFB"/>
    <w:rsid w:val="0072707A"/>
    <w:rsid w:val="00730FD8"/>
    <w:rsid w:val="00731315"/>
    <w:rsid w:val="00733961"/>
    <w:rsid w:val="007604A1"/>
    <w:rsid w:val="00760BC0"/>
    <w:rsid w:val="00770FDF"/>
    <w:rsid w:val="00773D80"/>
    <w:rsid w:val="007A3833"/>
    <w:rsid w:val="007C2E1D"/>
    <w:rsid w:val="007D317D"/>
    <w:rsid w:val="007D7C7D"/>
    <w:rsid w:val="007F07F8"/>
    <w:rsid w:val="00817363"/>
    <w:rsid w:val="00834983"/>
    <w:rsid w:val="008361DC"/>
    <w:rsid w:val="008416F6"/>
    <w:rsid w:val="00850962"/>
    <w:rsid w:val="00856E01"/>
    <w:rsid w:val="00865FB6"/>
    <w:rsid w:val="0086617A"/>
    <w:rsid w:val="0087256B"/>
    <w:rsid w:val="0087734F"/>
    <w:rsid w:val="00881C68"/>
    <w:rsid w:val="00884826"/>
    <w:rsid w:val="00885CF6"/>
    <w:rsid w:val="0089589A"/>
    <w:rsid w:val="00897F1E"/>
    <w:rsid w:val="008A10DA"/>
    <w:rsid w:val="008B2F0A"/>
    <w:rsid w:val="008B4753"/>
    <w:rsid w:val="008B53FC"/>
    <w:rsid w:val="008C3F10"/>
    <w:rsid w:val="008D2AAF"/>
    <w:rsid w:val="008D3C2A"/>
    <w:rsid w:val="008E2C26"/>
    <w:rsid w:val="00904867"/>
    <w:rsid w:val="00910891"/>
    <w:rsid w:val="009201F5"/>
    <w:rsid w:val="00922966"/>
    <w:rsid w:val="009269EE"/>
    <w:rsid w:val="00931FAA"/>
    <w:rsid w:val="00936857"/>
    <w:rsid w:val="00940647"/>
    <w:rsid w:val="00946D8A"/>
    <w:rsid w:val="0095230A"/>
    <w:rsid w:val="00967CCD"/>
    <w:rsid w:val="00967E59"/>
    <w:rsid w:val="00971BC5"/>
    <w:rsid w:val="00975AF7"/>
    <w:rsid w:val="009B2633"/>
    <w:rsid w:val="009C2CF4"/>
    <w:rsid w:val="009D6C69"/>
    <w:rsid w:val="009D7D09"/>
    <w:rsid w:val="009E754F"/>
    <w:rsid w:val="009F1121"/>
    <w:rsid w:val="009F2428"/>
    <w:rsid w:val="00A04F8D"/>
    <w:rsid w:val="00A06A66"/>
    <w:rsid w:val="00A120AB"/>
    <w:rsid w:val="00A55965"/>
    <w:rsid w:val="00A57E54"/>
    <w:rsid w:val="00A60DC9"/>
    <w:rsid w:val="00A67232"/>
    <w:rsid w:val="00A90F4B"/>
    <w:rsid w:val="00A957D7"/>
    <w:rsid w:val="00AC6F02"/>
    <w:rsid w:val="00AC7F22"/>
    <w:rsid w:val="00AD70B4"/>
    <w:rsid w:val="00AE119E"/>
    <w:rsid w:val="00AE2356"/>
    <w:rsid w:val="00AE2FC3"/>
    <w:rsid w:val="00AE4673"/>
    <w:rsid w:val="00AF1033"/>
    <w:rsid w:val="00AF2B71"/>
    <w:rsid w:val="00AF3954"/>
    <w:rsid w:val="00B12D99"/>
    <w:rsid w:val="00B16E90"/>
    <w:rsid w:val="00B230F8"/>
    <w:rsid w:val="00B26D9F"/>
    <w:rsid w:val="00B274E6"/>
    <w:rsid w:val="00B316C7"/>
    <w:rsid w:val="00B3179A"/>
    <w:rsid w:val="00B36DA3"/>
    <w:rsid w:val="00B47E27"/>
    <w:rsid w:val="00B5026B"/>
    <w:rsid w:val="00B56374"/>
    <w:rsid w:val="00B67BED"/>
    <w:rsid w:val="00B86932"/>
    <w:rsid w:val="00B94888"/>
    <w:rsid w:val="00B96024"/>
    <w:rsid w:val="00BA16F0"/>
    <w:rsid w:val="00BA73AE"/>
    <w:rsid w:val="00BA77A8"/>
    <w:rsid w:val="00BB0DDC"/>
    <w:rsid w:val="00BB1260"/>
    <w:rsid w:val="00BB1EC0"/>
    <w:rsid w:val="00BD1784"/>
    <w:rsid w:val="00BD2B53"/>
    <w:rsid w:val="00BF12AB"/>
    <w:rsid w:val="00BF405A"/>
    <w:rsid w:val="00C41A75"/>
    <w:rsid w:val="00C512C0"/>
    <w:rsid w:val="00C5287C"/>
    <w:rsid w:val="00C66C74"/>
    <w:rsid w:val="00C7288D"/>
    <w:rsid w:val="00C81655"/>
    <w:rsid w:val="00C91F69"/>
    <w:rsid w:val="00C92FE9"/>
    <w:rsid w:val="00C96F56"/>
    <w:rsid w:val="00CA1D72"/>
    <w:rsid w:val="00CA622C"/>
    <w:rsid w:val="00CB02EF"/>
    <w:rsid w:val="00CB7529"/>
    <w:rsid w:val="00CC2364"/>
    <w:rsid w:val="00CC2C6A"/>
    <w:rsid w:val="00CC335B"/>
    <w:rsid w:val="00CD211F"/>
    <w:rsid w:val="00CD2427"/>
    <w:rsid w:val="00D073ED"/>
    <w:rsid w:val="00D25F75"/>
    <w:rsid w:val="00D315AE"/>
    <w:rsid w:val="00D3698C"/>
    <w:rsid w:val="00D43D2B"/>
    <w:rsid w:val="00D57DB1"/>
    <w:rsid w:val="00D743B1"/>
    <w:rsid w:val="00D8119A"/>
    <w:rsid w:val="00D858A8"/>
    <w:rsid w:val="00D907A6"/>
    <w:rsid w:val="00D9735A"/>
    <w:rsid w:val="00D97A6F"/>
    <w:rsid w:val="00DA7E87"/>
    <w:rsid w:val="00DB1A89"/>
    <w:rsid w:val="00DE58D5"/>
    <w:rsid w:val="00DF1C01"/>
    <w:rsid w:val="00E0348F"/>
    <w:rsid w:val="00E04F9E"/>
    <w:rsid w:val="00E125AC"/>
    <w:rsid w:val="00E21E56"/>
    <w:rsid w:val="00E24675"/>
    <w:rsid w:val="00E25EA4"/>
    <w:rsid w:val="00E34696"/>
    <w:rsid w:val="00E37803"/>
    <w:rsid w:val="00E4558B"/>
    <w:rsid w:val="00E475CB"/>
    <w:rsid w:val="00E52568"/>
    <w:rsid w:val="00E55468"/>
    <w:rsid w:val="00E574FD"/>
    <w:rsid w:val="00E628B4"/>
    <w:rsid w:val="00E827CE"/>
    <w:rsid w:val="00E936D1"/>
    <w:rsid w:val="00EA37CC"/>
    <w:rsid w:val="00EA5A2A"/>
    <w:rsid w:val="00EA6398"/>
    <w:rsid w:val="00EB6190"/>
    <w:rsid w:val="00EC50F1"/>
    <w:rsid w:val="00EF33E9"/>
    <w:rsid w:val="00F07514"/>
    <w:rsid w:val="00F17092"/>
    <w:rsid w:val="00F253BB"/>
    <w:rsid w:val="00F25FED"/>
    <w:rsid w:val="00F277A9"/>
    <w:rsid w:val="00F4602D"/>
    <w:rsid w:val="00F52287"/>
    <w:rsid w:val="00F76952"/>
    <w:rsid w:val="00FA2CF1"/>
    <w:rsid w:val="00FA48D2"/>
    <w:rsid w:val="00FB1E6A"/>
    <w:rsid w:val="00FC745A"/>
    <w:rsid w:val="00FD5D81"/>
    <w:rsid w:val="00FD7343"/>
    <w:rsid w:val="00FE1905"/>
    <w:rsid w:val="00FE54BB"/>
    <w:rsid w:val="00FF0530"/>
    <w:rsid w:val="00FF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93686"/>
  <w15:chartTrackingRefBased/>
  <w15:docId w15:val="{8D4B6C12-16F1-4E8F-A625-E628BA95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2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682A"/>
    <w:pPr>
      <w:numPr>
        <w:numId w:val="2"/>
      </w:numPr>
      <w:contextualSpacing/>
    </w:pPr>
    <w:rPr>
      <w:rFonts w:ascii="Calibri" w:eastAsiaTheme="minorHAnsi" w:hAnsi="Calibri"/>
      <w:b/>
      <w:sz w:val="22"/>
      <w:szCs w:val="22"/>
    </w:rPr>
  </w:style>
  <w:style w:type="character" w:customStyle="1" w:styleId="ListParagraphChar">
    <w:name w:val="List Paragraph Char"/>
    <w:basedOn w:val="DefaultParagraphFont"/>
    <w:link w:val="ListParagraph"/>
    <w:uiPriority w:val="34"/>
    <w:rsid w:val="0000682A"/>
    <w:rPr>
      <w:rFonts w:ascii="Calibri" w:hAnsi="Calibri" w:cs="Times New Roman"/>
      <w:b/>
    </w:rPr>
  </w:style>
  <w:style w:type="table" w:styleId="TableGrid">
    <w:name w:val="Table Grid"/>
    <w:basedOn w:val="TableNormal"/>
    <w:uiPriority w:val="59"/>
    <w:rsid w:val="0000682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0682A"/>
    <w:pPr>
      <w:spacing w:before="40" w:after="40"/>
    </w:pPr>
  </w:style>
  <w:style w:type="character" w:styleId="Hyperlink">
    <w:name w:val="Hyperlink"/>
    <w:basedOn w:val="DefaultParagraphFont"/>
    <w:uiPriority w:val="99"/>
    <w:unhideWhenUsed/>
    <w:rsid w:val="0000682A"/>
    <w:rPr>
      <w:color w:val="0000FF" w:themeColor="hyperlink"/>
      <w:u w:val="single"/>
    </w:rPr>
  </w:style>
  <w:style w:type="character" w:customStyle="1" w:styleId="TableTextChar">
    <w:name w:val="Table Text Char"/>
    <w:basedOn w:val="DefaultParagraphFont"/>
    <w:link w:val="TableText"/>
    <w:rsid w:val="0000682A"/>
    <w:rPr>
      <w:rFonts w:eastAsia="Times New Roman" w:cs="Times New Roman"/>
      <w:sz w:val="24"/>
      <w:szCs w:val="24"/>
    </w:rPr>
  </w:style>
  <w:style w:type="character" w:customStyle="1" w:styleId="imsender1">
    <w:name w:val="im_sender1"/>
    <w:basedOn w:val="DefaultParagraphFont"/>
    <w:rsid w:val="0000682A"/>
    <w:rPr>
      <w:rFonts w:ascii="Segoe UI" w:hAnsi="Segoe UI" w:cs="Segoe UI" w:hint="default"/>
      <w:b/>
      <w:bCs/>
      <w:i w:val="0"/>
      <w:iCs w:val="0"/>
      <w:caps w:val="0"/>
      <w:smallCaps w:val="0"/>
      <w:strike w:val="0"/>
      <w:dstrike w:val="0"/>
      <w:color w:val="666666"/>
      <w:sz w:val="17"/>
      <w:szCs w:val="17"/>
      <w:u w:val="none"/>
      <w:effect w:val="none"/>
    </w:rPr>
  </w:style>
  <w:style w:type="character" w:styleId="FollowedHyperlink">
    <w:name w:val="FollowedHyperlink"/>
    <w:basedOn w:val="DefaultParagraphFont"/>
    <w:uiPriority w:val="99"/>
    <w:semiHidden/>
    <w:unhideWhenUsed/>
    <w:rsid w:val="0000682A"/>
    <w:rPr>
      <w:color w:val="800080" w:themeColor="followedHyperlink"/>
      <w:u w:val="single"/>
    </w:rPr>
  </w:style>
  <w:style w:type="paragraph" w:styleId="Header">
    <w:name w:val="header"/>
    <w:basedOn w:val="Normal"/>
    <w:link w:val="HeaderChar"/>
    <w:uiPriority w:val="99"/>
    <w:unhideWhenUsed/>
    <w:rsid w:val="0000682A"/>
    <w:pPr>
      <w:tabs>
        <w:tab w:val="center" w:pos="4680"/>
        <w:tab w:val="right" w:pos="9360"/>
      </w:tabs>
    </w:pPr>
  </w:style>
  <w:style w:type="character" w:customStyle="1" w:styleId="HeaderChar">
    <w:name w:val="Header Char"/>
    <w:basedOn w:val="DefaultParagraphFont"/>
    <w:link w:val="Header"/>
    <w:uiPriority w:val="99"/>
    <w:rsid w:val="0000682A"/>
    <w:rPr>
      <w:rFonts w:eastAsia="Times New Roman" w:cs="Times New Roman"/>
      <w:sz w:val="24"/>
      <w:szCs w:val="24"/>
    </w:rPr>
  </w:style>
  <w:style w:type="paragraph" w:styleId="Footer">
    <w:name w:val="footer"/>
    <w:basedOn w:val="Normal"/>
    <w:link w:val="FooterChar"/>
    <w:uiPriority w:val="99"/>
    <w:unhideWhenUsed/>
    <w:rsid w:val="0000682A"/>
    <w:pPr>
      <w:tabs>
        <w:tab w:val="center" w:pos="4680"/>
        <w:tab w:val="right" w:pos="9360"/>
      </w:tabs>
    </w:pPr>
  </w:style>
  <w:style w:type="character" w:customStyle="1" w:styleId="FooterChar">
    <w:name w:val="Footer Char"/>
    <w:basedOn w:val="DefaultParagraphFont"/>
    <w:link w:val="Footer"/>
    <w:uiPriority w:val="99"/>
    <w:rsid w:val="0000682A"/>
    <w:rPr>
      <w:rFonts w:eastAsia="Times New Roman" w:cs="Times New Roman"/>
      <w:sz w:val="24"/>
      <w:szCs w:val="24"/>
    </w:rPr>
  </w:style>
  <w:style w:type="paragraph" w:styleId="Title">
    <w:name w:val="Title"/>
    <w:basedOn w:val="Normal"/>
    <w:next w:val="Normal"/>
    <w:link w:val="TitleChar"/>
    <w:uiPriority w:val="10"/>
    <w:qFormat/>
    <w:rsid w:val="0000682A"/>
    <w:pPr>
      <w:pBdr>
        <w:bottom w:val="single" w:sz="8" w:space="4" w:color="39888C"/>
      </w:pBdr>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00682A"/>
    <w:rPr>
      <w:rFonts w:eastAsiaTheme="majorEastAsia" w:cstheme="majorBidi"/>
      <w:spacing w:val="5"/>
      <w:kern w:val="28"/>
      <w:sz w:val="36"/>
      <w:szCs w:val="52"/>
    </w:rPr>
  </w:style>
  <w:style w:type="character" w:styleId="UnresolvedMention">
    <w:name w:val="Unresolved Mention"/>
    <w:basedOn w:val="DefaultParagraphFont"/>
    <w:uiPriority w:val="99"/>
    <w:semiHidden/>
    <w:unhideWhenUsed/>
    <w:rsid w:val="00C96F56"/>
    <w:rPr>
      <w:color w:val="808080"/>
      <w:shd w:val="clear" w:color="auto" w:fill="E6E6E6"/>
    </w:rPr>
  </w:style>
  <w:style w:type="paragraph" w:styleId="NoSpacing">
    <w:name w:val="No Spacing"/>
    <w:uiPriority w:val="1"/>
    <w:qFormat/>
    <w:rsid w:val="00C5287C"/>
    <w:pPr>
      <w:spacing w:after="0" w:line="240" w:lineRule="auto"/>
    </w:pPr>
    <w:rPr>
      <w:rFonts w:eastAsia="Times New Roman" w:cs="Times New Roman"/>
      <w:sz w:val="24"/>
      <w:szCs w:val="24"/>
    </w:rPr>
  </w:style>
  <w:style w:type="paragraph" w:styleId="NormalWeb">
    <w:name w:val="Normal (Web)"/>
    <w:basedOn w:val="Normal"/>
    <w:uiPriority w:val="99"/>
    <w:unhideWhenUsed/>
    <w:rsid w:val="00074489"/>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BB1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EC0"/>
    <w:rPr>
      <w:rFonts w:ascii="Segoe UI" w:eastAsia="Times New Roman" w:hAnsi="Segoe UI" w:cs="Segoe UI"/>
      <w:sz w:val="18"/>
      <w:szCs w:val="18"/>
    </w:rPr>
  </w:style>
  <w:style w:type="paragraph" w:customStyle="1" w:styleId="Default">
    <w:name w:val="Default"/>
    <w:rsid w:val="000C55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69972">
      <w:bodyDiv w:val="1"/>
      <w:marLeft w:val="0"/>
      <w:marRight w:val="0"/>
      <w:marTop w:val="0"/>
      <w:marBottom w:val="0"/>
      <w:divBdr>
        <w:top w:val="none" w:sz="0" w:space="0" w:color="auto"/>
        <w:left w:val="none" w:sz="0" w:space="0" w:color="auto"/>
        <w:bottom w:val="none" w:sz="0" w:space="0" w:color="auto"/>
        <w:right w:val="none" w:sz="0" w:space="0" w:color="auto"/>
      </w:divBdr>
    </w:div>
    <w:div w:id="206767761">
      <w:bodyDiv w:val="1"/>
      <w:marLeft w:val="0"/>
      <w:marRight w:val="0"/>
      <w:marTop w:val="0"/>
      <w:marBottom w:val="0"/>
      <w:divBdr>
        <w:top w:val="none" w:sz="0" w:space="0" w:color="auto"/>
        <w:left w:val="none" w:sz="0" w:space="0" w:color="auto"/>
        <w:bottom w:val="none" w:sz="0" w:space="0" w:color="auto"/>
        <w:right w:val="none" w:sz="0" w:space="0" w:color="auto"/>
      </w:divBdr>
    </w:div>
    <w:div w:id="382096709">
      <w:bodyDiv w:val="1"/>
      <w:marLeft w:val="0"/>
      <w:marRight w:val="0"/>
      <w:marTop w:val="0"/>
      <w:marBottom w:val="0"/>
      <w:divBdr>
        <w:top w:val="none" w:sz="0" w:space="0" w:color="auto"/>
        <w:left w:val="none" w:sz="0" w:space="0" w:color="auto"/>
        <w:bottom w:val="none" w:sz="0" w:space="0" w:color="auto"/>
        <w:right w:val="none" w:sz="0" w:space="0" w:color="auto"/>
      </w:divBdr>
    </w:div>
    <w:div w:id="428039285">
      <w:bodyDiv w:val="1"/>
      <w:marLeft w:val="0"/>
      <w:marRight w:val="0"/>
      <w:marTop w:val="0"/>
      <w:marBottom w:val="0"/>
      <w:divBdr>
        <w:top w:val="none" w:sz="0" w:space="0" w:color="auto"/>
        <w:left w:val="none" w:sz="0" w:space="0" w:color="auto"/>
        <w:bottom w:val="none" w:sz="0" w:space="0" w:color="auto"/>
        <w:right w:val="none" w:sz="0" w:space="0" w:color="auto"/>
      </w:divBdr>
      <w:divsChild>
        <w:div w:id="1379628357">
          <w:marLeft w:val="547"/>
          <w:marRight w:val="0"/>
          <w:marTop w:val="106"/>
          <w:marBottom w:val="0"/>
          <w:divBdr>
            <w:top w:val="none" w:sz="0" w:space="0" w:color="auto"/>
            <w:left w:val="none" w:sz="0" w:space="0" w:color="auto"/>
            <w:bottom w:val="none" w:sz="0" w:space="0" w:color="auto"/>
            <w:right w:val="none" w:sz="0" w:space="0" w:color="auto"/>
          </w:divBdr>
        </w:div>
        <w:div w:id="416755039">
          <w:marLeft w:val="1166"/>
          <w:marRight w:val="0"/>
          <w:marTop w:val="106"/>
          <w:marBottom w:val="0"/>
          <w:divBdr>
            <w:top w:val="none" w:sz="0" w:space="0" w:color="auto"/>
            <w:left w:val="none" w:sz="0" w:space="0" w:color="auto"/>
            <w:bottom w:val="none" w:sz="0" w:space="0" w:color="auto"/>
            <w:right w:val="none" w:sz="0" w:space="0" w:color="auto"/>
          </w:divBdr>
        </w:div>
      </w:divsChild>
    </w:div>
    <w:div w:id="480270765">
      <w:bodyDiv w:val="1"/>
      <w:marLeft w:val="0"/>
      <w:marRight w:val="0"/>
      <w:marTop w:val="0"/>
      <w:marBottom w:val="0"/>
      <w:divBdr>
        <w:top w:val="none" w:sz="0" w:space="0" w:color="auto"/>
        <w:left w:val="none" w:sz="0" w:space="0" w:color="auto"/>
        <w:bottom w:val="none" w:sz="0" w:space="0" w:color="auto"/>
        <w:right w:val="none" w:sz="0" w:space="0" w:color="auto"/>
      </w:divBdr>
    </w:div>
    <w:div w:id="499197696">
      <w:bodyDiv w:val="1"/>
      <w:marLeft w:val="0"/>
      <w:marRight w:val="0"/>
      <w:marTop w:val="0"/>
      <w:marBottom w:val="0"/>
      <w:divBdr>
        <w:top w:val="none" w:sz="0" w:space="0" w:color="auto"/>
        <w:left w:val="none" w:sz="0" w:space="0" w:color="auto"/>
        <w:bottom w:val="none" w:sz="0" w:space="0" w:color="auto"/>
        <w:right w:val="none" w:sz="0" w:space="0" w:color="auto"/>
      </w:divBdr>
    </w:div>
    <w:div w:id="711072695">
      <w:bodyDiv w:val="1"/>
      <w:marLeft w:val="0"/>
      <w:marRight w:val="0"/>
      <w:marTop w:val="0"/>
      <w:marBottom w:val="0"/>
      <w:divBdr>
        <w:top w:val="none" w:sz="0" w:space="0" w:color="auto"/>
        <w:left w:val="none" w:sz="0" w:space="0" w:color="auto"/>
        <w:bottom w:val="none" w:sz="0" w:space="0" w:color="auto"/>
        <w:right w:val="none" w:sz="0" w:space="0" w:color="auto"/>
      </w:divBdr>
    </w:div>
    <w:div w:id="965355952">
      <w:bodyDiv w:val="1"/>
      <w:marLeft w:val="0"/>
      <w:marRight w:val="0"/>
      <w:marTop w:val="0"/>
      <w:marBottom w:val="0"/>
      <w:divBdr>
        <w:top w:val="none" w:sz="0" w:space="0" w:color="auto"/>
        <w:left w:val="none" w:sz="0" w:space="0" w:color="auto"/>
        <w:bottom w:val="none" w:sz="0" w:space="0" w:color="auto"/>
        <w:right w:val="none" w:sz="0" w:space="0" w:color="auto"/>
      </w:divBdr>
      <w:divsChild>
        <w:div w:id="1953705235">
          <w:marLeft w:val="547"/>
          <w:marRight w:val="0"/>
          <w:marTop w:val="115"/>
          <w:marBottom w:val="0"/>
          <w:divBdr>
            <w:top w:val="none" w:sz="0" w:space="0" w:color="auto"/>
            <w:left w:val="none" w:sz="0" w:space="0" w:color="auto"/>
            <w:bottom w:val="none" w:sz="0" w:space="0" w:color="auto"/>
            <w:right w:val="none" w:sz="0" w:space="0" w:color="auto"/>
          </w:divBdr>
        </w:div>
      </w:divsChild>
    </w:div>
    <w:div w:id="1145007144">
      <w:bodyDiv w:val="1"/>
      <w:marLeft w:val="0"/>
      <w:marRight w:val="0"/>
      <w:marTop w:val="0"/>
      <w:marBottom w:val="0"/>
      <w:divBdr>
        <w:top w:val="none" w:sz="0" w:space="0" w:color="auto"/>
        <w:left w:val="none" w:sz="0" w:space="0" w:color="auto"/>
        <w:bottom w:val="none" w:sz="0" w:space="0" w:color="auto"/>
        <w:right w:val="none" w:sz="0" w:space="0" w:color="auto"/>
      </w:divBdr>
    </w:div>
    <w:div w:id="1759866193">
      <w:bodyDiv w:val="1"/>
      <w:marLeft w:val="0"/>
      <w:marRight w:val="0"/>
      <w:marTop w:val="0"/>
      <w:marBottom w:val="0"/>
      <w:divBdr>
        <w:top w:val="none" w:sz="0" w:space="0" w:color="auto"/>
        <w:left w:val="none" w:sz="0" w:space="0" w:color="auto"/>
        <w:bottom w:val="none" w:sz="0" w:space="0" w:color="auto"/>
        <w:right w:val="none" w:sz="0" w:space="0" w:color="auto"/>
      </w:divBdr>
    </w:div>
    <w:div w:id="2000307336">
      <w:bodyDiv w:val="1"/>
      <w:marLeft w:val="0"/>
      <w:marRight w:val="0"/>
      <w:marTop w:val="0"/>
      <w:marBottom w:val="0"/>
      <w:divBdr>
        <w:top w:val="none" w:sz="0" w:space="0" w:color="auto"/>
        <w:left w:val="none" w:sz="0" w:space="0" w:color="auto"/>
        <w:bottom w:val="none" w:sz="0" w:space="0" w:color="auto"/>
        <w:right w:val="none" w:sz="0" w:space="0" w:color="auto"/>
      </w:divBdr>
    </w:div>
    <w:div w:id="20614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finance/docs/VA-FinancialPolicyVolumeXIIChapter09.pdf" TargetMode="External"/><Relationship Id="rId13" Type="http://schemas.openxmlformats.org/officeDocument/2006/relationships/hyperlink" Target="https://www.va.gov/finance/docs/VA-FinancialPolicyVolumeXIIChapter01.pdf" TargetMode="External"/><Relationship Id="rId18" Type="http://schemas.openxmlformats.org/officeDocument/2006/relationships/hyperlink" Target="mailto:ADMINACCTG.VBAMLA@va.gov" TargetMode="External"/><Relationship Id="rId26" Type="http://schemas.openxmlformats.org/officeDocument/2006/relationships/hyperlink" Target="https://www.opm.gov/policy-data-oversight/pay-leave/leave-administration/fact-sheets/court-leave/" TargetMode="External"/><Relationship Id="rId3" Type="http://schemas.openxmlformats.org/officeDocument/2006/relationships/styles" Target="styles.xml"/><Relationship Id="rId21" Type="http://schemas.openxmlformats.org/officeDocument/2006/relationships/hyperlink" Target="https://vbaw.vba.va.gov/VBAORM/alac/training.as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baw.vba.va.gov/VBAORM/alac/training.asp" TargetMode="External"/><Relationship Id="rId17" Type="http://schemas.openxmlformats.org/officeDocument/2006/relationships/hyperlink" Target="https://vbaw.vba.va.gov/bl/20/cfo/Fin/Fin241C/MP4%20PartIV/Chapter%2013%20-%20Fiduciary%20Misuse%20Debt%20December%202016.docx" TargetMode="External"/><Relationship Id="rId25" Type="http://schemas.openxmlformats.org/officeDocument/2006/relationships/hyperlink" Target="https://vbaw.vba.va.gov/VBAORM/alac/docs/2nd_NOI_Letter_TOP_REFERRAL.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a.gov/finance/docs/guideOfpRssSetup.PDF" TargetMode="External"/><Relationship Id="rId20" Type="http://schemas.openxmlformats.org/officeDocument/2006/relationships/hyperlink" Target="https://www.va.gov/finance/docs/VA-FinancialPolicyVolumeXIIChapter09.pdf"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gov/finance/docs/VA-FinancialPolicyVolumeXIIChapter01.pdf" TargetMode="External"/><Relationship Id="rId24" Type="http://schemas.openxmlformats.org/officeDocument/2006/relationships/hyperlink" Target="https://vbaw.vba.va.gov/VBAORM/alac/docs/1st_NOI_Letter.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va.gov/finance/docs/VA-FinancialPolicyVolumeXIIChapter09.pdf" TargetMode="External"/><Relationship Id="rId23" Type="http://schemas.openxmlformats.org/officeDocument/2006/relationships/hyperlink" Target="https://www.va.gov/finance/docs/VA-FinancialPolicyVolumeXIIChapter01.pdf" TargetMode="External"/><Relationship Id="rId28" Type="http://schemas.openxmlformats.org/officeDocument/2006/relationships/image" Target="media/image2.png"/><Relationship Id="rId10" Type="http://schemas.openxmlformats.org/officeDocument/2006/relationships/hyperlink" Target="mailto:ADMINACCTG.VBAMLA@va.gov" TargetMode="External"/><Relationship Id="rId19" Type="http://schemas.openxmlformats.org/officeDocument/2006/relationships/hyperlink" Target="https://www.va.gov/finance/docs/VA-FinancialPolicyVolumeXIIChapter01B.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a.gov/finance/docs/VA-FinancialPolicyVolumeXIIChapter09.pdf" TargetMode="External"/><Relationship Id="rId14" Type="http://schemas.openxmlformats.org/officeDocument/2006/relationships/hyperlink" Target="https://www.va.gov/finance/docs/VA-FinancialPolicyVolumeXIIChapter01I.pdf" TargetMode="External"/><Relationship Id="rId22" Type="http://schemas.openxmlformats.org/officeDocument/2006/relationships/hyperlink" Target="https://vbaw.vba.va.gov/VBAORM/alac/docs/TOP_Referral_Spreadsheet.xls" TargetMode="External"/><Relationship Id="rId27" Type="http://schemas.openxmlformats.org/officeDocument/2006/relationships/image" Target="media/image1.png"/><Relationship Id="rId30"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D497E-707F-4A03-8AAE-B80B4623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VBA Accounts Receivable Webinar Question &amp; Answer Resource Guide</vt:lpstr>
    </vt:vector>
  </TitlesOfParts>
  <Company>Veterans Benefits Administration</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Accounts Receivable Webinar Question &amp; Answer Resource Guide</dc:title>
  <dc:subject/>
  <dc:creator>Department of Veterans Affairs, Veterans Benefits Administration, STAFF</dc:creator>
  <cp:keywords/>
  <dc:description/>
  <cp:lastModifiedBy>Kathy Poole</cp:lastModifiedBy>
  <cp:revision>8</cp:revision>
  <dcterms:created xsi:type="dcterms:W3CDTF">2019-12-20T13:08:00Z</dcterms:created>
  <dcterms:modified xsi:type="dcterms:W3CDTF">2020-02-04T14:54:00Z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