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0E844" w14:textId="77777777" w:rsidR="0000682A" w:rsidRPr="001432B7" w:rsidRDefault="0000682A" w:rsidP="0000682A">
      <w:pPr>
        <w:spacing w:before="1440" w:after="1080" w:line="276" w:lineRule="auto"/>
        <w:jc w:val="center"/>
        <w:rPr>
          <w:b/>
          <w:sz w:val="72"/>
          <w:szCs w:val="72"/>
        </w:rPr>
      </w:pPr>
      <w:bookmarkStart w:id="0" w:name="_Toc343007190"/>
      <w:bookmarkStart w:id="1" w:name="_GoBack"/>
      <w:bookmarkEnd w:id="1"/>
      <w:r w:rsidRPr="001432B7">
        <w:rPr>
          <w:b/>
          <w:sz w:val="72"/>
          <w:szCs w:val="72"/>
        </w:rPr>
        <w:t xml:space="preserve">VBA </w:t>
      </w:r>
      <w:r>
        <w:rPr>
          <w:b/>
          <w:sz w:val="72"/>
          <w:szCs w:val="72"/>
        </w:rPr>
        <w:t xml:space="preserve">Advances </w:t>
      </w:r>
    </w:p>
    <w:p w14:paraId="4CEB4654" w14:textId="77777777" w:rsidR="0000682A" w:rsidRDefault="0000682A" w:rsidP="0000682A">
      <w:pPr>
        <w:spacing w:after="200" w:line="276" w:lineRule="auto"/>
        <w:jc w:val="center"/>
        <w:rPr>
          <w:b/>
          <w:sz w:val="72"/>
          <w:szCs w:val="72"/>
        </w:rPr>
      </w:pPr>
      <w:r>
        <w:rPr>
          <w:b/>
          <w:sz w:val="72"/>
          <w:szCs w:val="72"/>
        </w:rPr>
        <w:t>Webinar</w:t>
      </w:r>
    </w:p>
    <w:p w14:paraId="78F5E53F" w14:textId="77777777" w:rsidR="0000682A" w:rsidRDefault="0000682A" w:rsidP="0000682A">
      <w:pPr>
        <w:spacing w:after="200" w:line="276" w:lineRule="auto"/>
        <w:jc w:val="center"/>
        <w:rPr>
          <w:b/>
          <w:sz w:val="72"/>
          <w:szCs w:val="72"/>
        </w:rPr>
      </w:pPr>
      <w:r>
        <w:rPr>
          <w:b/>
          <w:sz w:val="72"/>
          <w:szCs w:val="72"/>
        </w:rPr>
        <w:t xml:space="preserve">Question &amp; Answer </w:t>
      </w:r>
    </w:p>
    <w:p w14:paraId="0C688ED6" w14:textId="77777777" w:rsidR="0000682A" w:rsidRPr="001432B7" w:rsidRDefault="0000682A" w:rsidP="0000682A">
      <w:pPr>
        <w:spacing w:after="200" w:line="276" w:lineRule="auto"/>
        <w:jc w:val="center"/>
        <w:rPr>
          <w:b/>
          <w:sz w:val="72"/>
          <w:szCs w:val="72"/>
        </w:rPr>
      </w:pPr>
      <w:r>
        <w:rPr>
          <w:b/>
          <w:sz w:val="72"/>
          <w:szCs w:val="72"/>
        </w:rPr>
        <w:t>Resource Guide</w:t>
      </w:r>
    </w:p>
    <w:p w14:paraId="223C5F6B" w14:textId="77777777" w:rsidR="0000682A" w:rsidRDefault="0000682A" w:rsidP="0000682A">
      <w:pPr>
        <w:spacing w:before="1440" w:after="840" w:line="276" w:lineRule="auto"/>
        <w:jc w:val="center"/>
        <w:rPr>
          <w:b/>
          <w:sz w:val="72"/>
          <w:szCs w:val="72"/>
        </w:rPr>
      </w:pPr>
      <w:r>
        <w:rPr>
          <w:b/>
          <w:sz w:val="72"/>
          <w:szCs w:val="72"/>
        </w:rPr>
        <w:t>August 2018</w:t>
      </w:r>
    </w:p>
    <w:p w14:paraId="01253DC7" w14:textId="77777777" w:rsidR="0000682A" w:rsidRPr="00296938" w:rsidRDefault="0000682A" w:rsidP="0000682A">
      <w:pPr>
        <w:rPr>
          <w:b/>
          <w:sz w:val="32"/>
          <w:szCs w:val="32"/>
        </w:rPr>
      </w:pPr>
      <w:r w:rsidRPr="00296938">
        <w:rPr>
          <w:b/>
          <w:sz w:val="32"/>
          <w:szCs w:val="32"/>
        </w:rPr>
        <w:t xml:space="preserve">Sponsored by: </w:t>
      </w:r>
    </w:p>
    <w:p w14:paraId="0CBFADB9" w14:textId="77777777" w:rsidR="0000682A" w:rsidRPr="00554514" w:rsidRDefault="0000682A" w:rsidP="0000682A">
      <w:pPr>
        <w:pStyle w:val="ListParagraph"/>
        <w:numPr>
          <w:ilvl w:val="0"/>
          <w:numId w:val="1"/>
        </w:numPr>
        <w:rPr>
          <w:sz w:val="24"/>
          <w:szCs w:val="24"/>
        </w:rPr>
      </w:pPr>
      <w:r w:rsidRPr="00554514">
        <w:rPr>
          <w:sz w:val="24"/>
          <w:szCs w:val="24"/>
        </w:rPr>
        <w:t>Veterans Benefits Administration (VBA)</w:t>
      </w:r>
    </w:p>
    <w:p w14:paraId="30784F0D" w14:textId="77777777" w:rsidR="0000682A" w:rsidRDefault="0000682A" w:rsidP="0000682A">
      <w:pPr>
        <w:pStyle w:val="ListParagraph"/>
        <w:numPr>
          <w:ilvl w:val="0"/>
          <w:numId w:val="1"/>
        </w:numPr>
        <w:rPr>
          <w:sz w:val="24"/>
          <w:szCs w:val="24"/>
        </w:rPr>
      </w:pPr>
      <w:r w:rsidRPr="00554514">
        <w:rPr>
          <w:sz w:val="24"/>
          <w:szCs w:val="24"/>
        </w:rPr>
        <w:t xml:space="preserve">Office of </w:t>
      </w:r>
      <w:r>
        <w:rPr>
          <w:sz w:val="24"/>
          <w:szCs w:val="24"/>
        </w:rPr>
        <w:t xml:space="preserve">Financial </w:t>
      </w:r>
      <w:r w:rsidRPr="00554514">
        <w:rPr>
          <w:sz w:val="24"/>
          <w:szCs w:val="24"/>
        </w:rPr>
        <w:t>Management (O</w:t>
      </w:r>
      <w:r>
        <w:rPr>
          <w:sz w:val="24"/>
          <w:szCs w:val="24"/>
        </w:rPr>
        <w:t>F</w:t>
      </w:r>
      <w:r w:rsidRPr="00554514">
        <w:rPr>
          <w:sz w:val="24"/>
          <w:szCs w:val="24"/>
        </w:rPr>
        <w:t>M)</w:t>
      </w:r>
    </w:p>
    <w:p w14:paraId="127D7796" w14:textId="77777777" w:rsidR="0000682A" w:rsidRPr="00AF118C" w:rsidRDefault="0000682A" w:rsidP="0000682A">
      <w:pPr>
        <w:pStyle w:val="ListParagraph"/>
        <w:numPr>
          <w:ilvl w:val="0"/>
          <w:numId w:val="1"/>
        </w:numPr>
        <w:rPr>
          <w:sz w:val="24"/>
          <w:szCs w:val="24"/>
        </w:rPr>
      </w:pPr>
      <w:r>
        <w:rPr>
          <w:sz w:val="24"/>
          <w:szCs w:val="24"/>
        </w:rPr>
        <w:t>V</w:t>
      </w:r>
      <w:r w:rsidRPr="00AF118C">
        <w:rPr>
          <w:sz w:val="24"/>
          <w:szCs w:val="24"/>
        </w:rPr>
        <w:t>BA Administrative and Loan Accounting Center (ALAC)</w:t>
      </w:r>
    </w:p>
    <w:bookmarkEnd w:id="0"/>
    <w:p w14:paraId="726166C1" w14:textId="77777777" w:rsidR="00850D80" w:rsidRDefault="00695530"/>
    <w:p w14:paraId="1DAFF795" w14:textId="77777777" w:rsidR="0000682A" w:rsidRDefault="0000682A"/>
    <w:p w14:paraId="02B9DBEF" w14:textId="77777777" w:rsidR="0000682A" w:rsidRDefault="0000682A" w:rsidP="0000682A">
      <w:pPr>
        <w:spacing w:line="276" w:lineRule="auto"/>
      </w:pPr>
      <w:r>
        <w:lastRenderedPageBreak/>
        <w:t>This resource guide provides answers to questions asked during the VBA Advances webinar delivered by VBA Administrative Loan and Accounting Center (ALAC) on August 23, 2018.   The questions are listed in the order they were asked during the training.</w:t>
      </w:r>
    </w:p>
    <w:tbl>
      <w:tblPr>
        <w:tblStyle w:val="TableGrid"/>
        <w:tblW w:w="0" w:type="auto"/>
        <w:shd w:val="clear" w:color="auto" w:fill="DBE5F1" w:themeFill="accent1" w:themeFillTint="33"/>
        <w:tblLook w:val="04A0" w:firstRow="1" w:lastRow="0" w:firstColumn="1" w:lastColumn="0" w:noHBand="0" w:noVBand="1"/>
      </w:tblPr>
      <w:tblGrid>
        <w:gridCol w:w="4284"/>
        <w:gridCol w:w="5066"/>
      </w:tblGrid>
      <w:tr w:rsidR="0000682A" w:rsidRPr="009D3099" w14:paraId="60CC45BA" w14:textId="77777777" w:rsidTr="00567B35">
        <w:trPr>
          <w:tblHeader/>
        </w:trPr>
        <w:tc>
          <w:tcPr>
            <w:tcW w:w="4284" w:type="dxa"/>
            <w:shd w:val="clear" w:color="auto" w:fill="DBE5F1" w:themeFill="accent1" w:themeFillTint="33"/>
          </w:tcPr>
          <w:p w14:paraId="2F371A45" w14:textId="77777777" w:rsidR="0000682A" w:rsidRDefault="0000682A" w:rsidP="00567B35">
            <w:pPr>
              <w:pStyle w:val="TableText"/>
              <w:jc w:val="center"/>
              <w:rPr>
                <w:b/>
              </w:rPr>
            </w:pPr>
            <w:r>
              <w:rPr>
                <w:b/>
              </w:rPr>
              <w:t>Advances</w:t>
            </w:r>
          </w:p>
          <w:p w14:paraId="6FF7969E" w14:textId="77777777" w:rsidR="0000682A" w:rsidRPr="009D3099" w:rsidRDefault="0000682A" w:rsidP="00567B35">
            <w:pPr>
              <w:pStyle w:val="TableText"/>
              <w:jc w:val="center"/>
              <w:rPr>
                <w:b/>
              </w:rPr>
            </w:pPr>
            <w:r>
              <w:rPr>
                <w:b/>
              </w:rPr>
              <w:t xml:space="preserve"> </w:t>
            </w:r>
            <w:r w:rsidRPr="009D3099">
              <w:rPr>
                <w:b/>
              </w:rPr>
              <w:t>Question</w:t>
            </w:r>
          </w:p>
        </w:tc>
        <w:tc>
          <w:tcPr>
            <w:tcW w:w="5066" w:type="dxa"/>
            <w:shd w:val="clear" w:color="auto" w:fill="DBE5F1" w:themeFill="accent1" w:themeFillTint="33"/>
          </w:tcPr>
          <w:p w14:paraId="085A1C2B" w14:textId="77777777" w:rsidR="0000682A" w:rsidRDefault="0000682A" w:rsidP="00567B35">
            <w:pPr>
              <w:pStyle w:val="TableText"/>
              <w:jc w:val="center"/>
              <w:rPr>
                <w:b/>
              </w:rPr>
            </w:pPr>
            <w:r>
              <w:rPr>
                <w:b/>
              </w:rPr>
              <w:t>Advances</w:t>
            </w:r>
          </w:p>
          <w:p w14:paraId="03F75F56" w14:textId="77777777" w:rsidR="0000682A" w:rsidRDefault="0000682A" w:rsidP="00567B35">
            <w:pPr>
              <w:pStyle w:val="TableText"/>
              <w:jc w:val="center"/>
              <w:rPr>
                <w:b/>
              </w:rPr>
            </w:pPr>
            <w:r>
              <w:rPr>
                <w:b/>
              </w:rPr>
              <w:t xml:space="preserve"> Answer</w:t>
            </w:r>
          </w:p>
          <w:p w14:paraId="4411252F" w14:textId="77777777" w:rsidR="0000682A" w:rsidRPr="009D3099" w:rsidRDefault="0000682A" w:rsidP="00567B35">
            <w:pPr>
              <w:pStyle w:val="TableText"/>
              <w:jc w:val="center"/>
              <w:rPr>
                <w:b/>
              </w:rPr>
            </w:pPr>
          </w:p>
        </w:tc>
      </w:tr>
      <w:tr w:rsidR="0000682A" w:rsidRPr="009D3099" w14:paraId="6841E108" w14:textId="77777777" w:rsidTr="00567B35">
        <w:tc>
          <w:tcPr>
            <w:tcW w:w="4284" w:type="dxa"/>
            <w:shd w:val="clear" w:color="auto" w:fill="auto"/>
          </w:tcPr>
          <w:p w14:paraId="179BDF9E" w14:textId="77777777" w:rsidR="0000682A" w:rsidRPr="00BA0FBF" w:rsidRDefault="0000682A" w:rsidP="00567B35">
            <w:pPr>
              <w:spacing w:after="200" w:line="276" w:lineRule="auto"/>
              <w:rPr>
                <w:bCs/>
              </w:rPr>
            </w:pPr>
            <w:r w:rsidRPr="00BA0FBF">
              <w:t>Will you be going over Fund 6278 and how to clear negatives and clearing all others in the same fund?</w:t>
            </w:r>
            <w:r w:rsidRPr="00BA0FBF">
              <w:rPr>
                <w:bCs/>
              </w:rPr>
              <w:t xml:space="preserve">  </w:t>
            </w:r>
          </w:p>
          <w:p w14:paraId="51DE6B37" w14:textId="77777777" w:rsidR="0000682A" w:rsidRPr="00BA0FBF" w:rsidRDefault="0000682A" w:rsidP="00567B35">
            <w:pPr>
              <w:spacing w:after="200" w:line="276" w:lineRule="auto"/>
              <w:rPr>
                <w:rStyle w:val="imsender1"/>
                <w:b w:val="0"/>
                <w:highlight w:val="yellow"/>
              </w:rPr>
            </w:pPr>
          </w:p>
        </w:tc>
        <w:tc>
          <w:tcPr>
            <w:tcW w:w="5066" w:type="dxa"/>
            <w:shd w:val="clear" w:color="auto" w:fill="auto"/>
          </w:tcPr>
          <w:p w14:paraId="5CC40D5F" w14:textId="77777777" w:rsidR="0000682A" w:rsidRPr="00BA0FBF" w:rsidRDefault="0000682A" w:rsidP="00567B35">
            <w:pPr>
              <w:rPr>
                <w:rFonts w:cs="Segoe UI"/>
                <w:color w:val="000000"/>
                <w:highlight w:val="yellow"/>
              </w:rPr>
            </w:pPr>
            <w:r w:rsidRPr="00BA0FBF">
              <w:rPr>
                <w:rFonts w:cs="Segoe UI"/>
                <w:color w:val="000000"/>
              </w:rPr>
              <w:t xml:space="preserve">Items in 6278 Deposit Fund accounts are specifically earmarked for VA payroll withholdings.  The Financial Services Center FSC processes payroll related journal vouchers (i.e. employee deductions, refunds, </w:t>
            </w:r>
            <w:proofErr w:type="spellStart"/>
            <w:r w:rsidRPr="00BA0FBF">
              <w:rPr>
                <w:rFonts w:cs="Segoe UI"/>
                <w:color w:val="000000"/>
              </w:rPr>
              <w:t>etc</w:t>
            </w:r>
            <w:proofErr w:type="spellEnd"/>
            <w:r w:rsidRPr="00BA0FBF">
              <w:rPr>
                <w:rFonts w:cs="Segoe UI"/>
                <w:color w:val="000000"/>
              </w:rPr>
              <w:t xml:space="preserve">) to station appropriations and 6278 deposit fund accounts using PR transaction codes.  FSC issued two New Flashes that provide instructions on clearing the 3875 deposit fund account:  </w:t>
            </w:r>
            <w:hyperlink r:id="rId7" w:history="1">
              <w:r w:rsidRPr="00BA0FBF">
                <w:rPr>
                  <w:rStyle w:val="Hyperlink"/>
                  <w:rFonts w:cs="Segoe UI"/>
                </w:rPr>
                <w:t xml:space="preserve">FSC News Flash FY 11 Issue 01 FSC Payroll </w:t>
              </w:r>
              <w:proofErr w:type="spellStart"/>
              <w:r w:rsidRPr="00BA0FBF">
                <w:rPr>
                  <w:rStyle w:val="Hyperlink"/>
                  <w:rFonts w:cs="Segoe UI"/>
                </w:rPr>
                <w:t>JVsa</w:t>
              </w:r>
              <w:proofErr w:type="spellEnd"/>
            </w:hyperlink>
            <w:r w:rsidRPr="00BA0FBF">
              <w:rPr>
                <w:rFonts w:cs="Segoe UI"/>
                <w:color w:val="000000"/>
              </w:rPr>
              <w:t xml:space="preserve"> and </w:t>
            </w:r>
            <w:hyperlink r:id="rId8" w:history="1">
              <w:r w:rsidRPr="00BA0FBF">
                <w:rPr>
                  <w:rStyle w:val="Hyperlink"/>
                  <w:rFonts w:cs="Segoe UI"/>
                </w:rPr>
                <w:t>News Flash FY 2011 Issue 34, DFAS Clear Special Pay Transactions</w:t>
              </w:r>
            </w:hyperlink>
          </w:p>
        </w:tc>
      </w:tr>
      <w:tr w:rsidR="0000682A" w:rsidRPr="009D3099" w14:paraId="72FC8835" w14:textId="77777777" w:rsidTr="00567B35">
        <w:tc>
          <w:tcPr>
            <w:tcW w:w="4284" w:type="dxa"/>
            <w:shd w:val="clear" w:color="auto" w:fill="auto"/>
          </w:tcPr>
          <w:p w14:paraId="4262E2D9" w14:textId="77777777" w:rsidR="0000682A" w:rsidRPr="00BA0FBF" w:rsidRDefault="0000682A" w:rsidP="00567B35">
            <w:pPr>
              <w:spacing w:after="200" w:line="276" w:lineRule="auto"/>
              <w:rPr>
                <w:rStyle w:val="imsender1"/>
                <w:b w:val="0"/>
              </w:rPr>
            </w:pPr>
            <w:r w:rsidRPr="00BA0FBF">
              <w:t>Can assistance be provided with completing the 7006 A and B forms for IPAC upload for vendors?</w:t>
            </w:r>
          </w:p>
        </w:tc>
        <w:tc>
          <w:tcPr>
            <w:tcW w:w="5066" w:type="dxa"/>
            <w:shd w:val="clear" w:color="auto" w:fill="auto"/>
          </w:tcPr>
          <w:p w14:paraId="66A56ABB" w14:textId="77777777" w:rsidR="0000682A" w:rsidRPr="00BA0FBF" w:rsidRDefault="0000682A" w:rsidP="00567B35">
            <w:pPr>
              <w:rPr>
                <w:rFonts w:cs="Segoe UI"/>
                <w:color w:val="000000"/>
                <w:sz w:val="20"/>
                <w:szCs w:val="20"/>
              </w:rPr>
            </w:pPr>
            <w:r w:rsidRPr="00BA0FBF">
              <w:rPr>
                <w:rFonts w:cs="Segoe UI"/>
                <w:color w:val="000000"/>
              </w:rPr>
              <w:t xml:space="preserve">Yes.  The </w:t>
            </w:r>
            <w:hyperlink r:id="rId9" w:history="1">
              <w:r w:rsidRPr="00BA0FBF">
                <w:rPr>
                  <w:rStyle w:val="Hyperlink"/>
                  <w:rFonts w:cs="Segoe UI"/>
                </w:rPr>
                <w:t>VAFSC Agreement Repository</w:t>
              </w:r>
            </w:hyperlink>
            <w:r w:rsidRPr="00BA0FBF">
              <w:rPr>
                <w:rFonts w:cs="Segoe UI"/>
                <w:color w:val="000000"/>
              </w:rPr>
              <w:t xml:space="preserve"> will be able to assist with the completion of IAA 7600 A&amp;B forms.</w:t>
            </w:r>
            <w:r w:rsidRPr="00BA0FBF">
              <w:rPr>
                <w:rFonts w:cs="Segoe UI"/>
                <w:color w:val="000000"/>
                <w:sz w:val="20"/>
                <w:szCs w:val="20"/>
              </w:rPr>
              <w:t xml:space="preserve"> </w:t>
            </w:r>
          </w:p>
        </w:tc>
      </w:tr>
      <w:tr w:rsidR="0000682A" w:rsidRPr="009D3099" w14:paraId="3B9F6C5C" w14:textId="77777777" w:rsidTr="00567B35">
        <w:tc>
          <w:tcPr>
            <w:tcW w:w="4284" w:type="dxa"/>
            <w:shd w:val="clear" w:color="auto" w:fill="auto"/>
          </w:tcPr>
          <w:p w14:paraId="5D025842" w14:textId="77777777" w:rsidR="0000682A" w:rsidRPr="00BA0FBF" w:rsidRDefault="00C41A75" w:rsidP="00567B35">
            <w:pPr>
              <w:spacing w:before="40" w:after="40"/>
            </w:pPr>
            <w:r>
              <w:t>W</w:t>
            </w:r>
            <w:r w:rsidR="0000682A" w:rsidRPr="00BA0FBF">
              <w:t xml:space="preserve">ill the </w:t>
            </w:r>
            <w:r w:rsidR="00122D83" w:rsidRPr="00BA0FBF">
              <w:t>Motor pool</w:t>
            </w:r>
            <w:r w:rsidR="0000682A" w:rsidRPr="00BA0FBF">
              <w:t xml:space="preserve"> be offset to our FY19 obligations and how will we get the obligation number to ALAC</w:t>
            </w:r>
            <w:r w:rsidR="0000682A">
              <w:t>?</w:t>
            </w:r>
          </w:p>
        </w:tc>
        <w:tc>
          <w:tcPr>
            <w:tcW w:w="5066" w:type="dxa"/>
            <w:shd w:val="clear" w:color="auto" w:fill="auto"/>
          </w:tcPr>
          <w:p w14:paraId="3E00B152" w14:textId="77777777" w:rsidR="0000682A" w:rsidRPr="00BA0FBF" w:rsidRDefault="0000682A" w:rsidP="00567B35">
            <w:pPr>
              <w:rPr>
                <w:rFonts w:cs="Segoe UI"/>
              </w:rPr>
            </w:pPr>
            <w:r>
              <w:rPr>
                <w:rFonts w:cs="Segoe UI"/>
              </w:rPr>
              <w:t xml:space="preserve">Yes.  </w:t>
            </w:r>
            <w:r w:rsidRPr="00BA0FBF">
              <w:rPr>
                <w:rFonts w:cs="Segoe UI"/>
              </w:rPr>
              <w:t xml:space="preserve">ALAC </w:t>
            </w:r>
            <w:r>
              <w:rPr>
                <w:rFonts w:cs="Segoe UI"/>
              </w:rPr>
              <w:t xml:space="preserve">will provide the list of BFY19 </w:t>
            </w:r>
            <w:r w:rsidR="00122D83">
              <w:rPr>
                <w:rFonts w:cs="Segoe UI"/>
              </w:rPr>
              <w:t>Motor pool</w:t>
            </w:r>
            <w:r>
              <w:rPr>
                <w:rFonts w:cs="Segoe UI"/>
              </w:rPr>
              <w:t xml:space="preserve"> obligations, along with the Regional Offices’ six-digit account code to the </w:t>
            </w:r>
            <w:hyperlink r:id="rId10" w:history="1">
              <w:r w:rsidRPr="00885EFE">
                <w:rPr>
                  <w:rStyle w:val="Hyperlink"/>
                  <w:rFonts w:cs="Segoe UI"/>
                </w:rPr>
                <w:t>VAFSC IPAC Processing Team</w:t>
              </w:r>
            </w:hyperlink>
            <w:r>
              <w:rPr>
                <w:rFonts w:cs="Segoe UI"/>
              </w:rPr>
              <w:t xml:space="preserve"> to</w:t>
            </w:r>
            <w:r w:rsidRPr="00BA0FBF">
              <w:rPr>
                <w:rFonts w:cs="Segoe UI"/>
              </w:rPr>
              <w:t xml:space="preserve"> offsetting/ expensing monthly GSA </w:t>
            </w:r>
            <w:r w:rsidR="00122D83" w:rsidRPr="00BA0FBF">
              <w:rPr>
                <w:rFonts w:cs="Segoe UI"/>
              </w:rPr>
              <w:t>Motor pool</w:t>
            </w:r>
            <w:r w:rsidRPr="00BA0FBF">
              <w:rPr>
                <w:rFonts w:cs="Segoe UI"/>
              </w:rPr>
              <w:t xml:space="preserve"> </w:t>
            </w:r>
            <w:proofErr w:type="gramStart"/>
            <w:r w:rsidRPr="00BA0FBF">
              <w:rPr>
                <w:rFonts w:cs="Segoe UI"/>
              </w:rPr>
              <w:t xml:space="preserve">invoices </w:t>
            </w:r>
            <w:r>
              <w:rPr>
                <w:rFonts w:cs="Segoe UI"/>
              </w:rPr>
              <w:t>.</w:t>
            </w:r>
            <w:proofErr w:type="gramEnd"/>
          </w:p>
        </w:tc>
      </w:tr>
      <w:tr w:rsidR="0000682A" w:rsidRPr="009D3099" w14:paraId="34FD5B30" w14:textId="77777777" w:rsidTr="0000682A">
        <w:tblPrEx>
          <w:shd w:val="clear" w:color="auto" w:fill="auto"/>
        </w:tblPrEx>
        <w:tc>
          <w:tcPr>
            <w:tcW w:w="4284" w:type="dxa"/>
          </w:tcPr>
          <w:p w14:paraId="6E0CC987" w14:textId="77777777" w:rsidR="0000682A" w:rsidRPr="00BA0FBF" w:rsidRDefault="0000682A" w:rsidP="00567B35">
            <w:pPr>
              <w:rPr>
                <w:rStyle w:val="imsender1"/>
                <w:b w:val="0"/>
              </w:rPr>
            </w:pPr>
            <w:r w:rsidRPr="00BA0FBF">
              <w:rPr>
                <w:rStyle w:val="imsender1"/>
                <w:b w:val="0"/>
              </w:rPr>
              <w:t xml:space="preserve"> </w:t>
            </w:r>
            <w:r w:rsidRPr="00BA0FBF">
              <w:t xml:space="preserve">Is there a </w:t>
            </w:r>
            <w:proofErr w:type="gramStart"/>
            <w:r w:rsidRPr="00BA0FBF">
              <w:t>particular date</w:t>
            </w:r>
            <w:proofErr w:type="gramEnd"/>
            <w:r w:rsidRPr="00BA0FBF">
              <w:t xml:space="preserve"> that we need to clear our 3885 and 3875 by?</w:t>
            </w:r>
          </w:p>
        </w:tc>
        <w:tc>
          <w:tcPr>
            <w:tcW w:w="5066" w:type="dxa"/>
          </w:tcPr>
          <w:p w14:paraId="7B9C4483" w14:textId="77777777" w:rsidR="0000682A" w:rsidRPr="003D0535" w:rsidRDefault="0000682A" w:rsidP="00567B35">
            <w:pPr>
              <w:rPr>
                <w:rFonts w:cs="Segoe UI"/>
                <w:color w:val="000000"/>
              </w:rPr>
            </w:pPr>
            <w:r w:rsidRPr="003D0535">
              <w:t>Throughout the fiscal year and at year end, Regional Offices must take appropriate action to review and clear items that are pending in 3875 and 3885 clearing (suspense) funds for 60+ days. Annual Year certifications require that 3875 and 3885 suspense funds do not include transactions older than 60 days, as of 7/31/2018. ALAC will continue to monitor 3875 &amp; 3885 suspense balances, to ensure outstanding items greater than 60</w:t>
            </w:r>
            <w:r>
              <w:t xml:space="preserve"> </w:t>
            </w:r>
            <w:r w:rsidRPr="003D0535">
              <w:t>days are cleared as of 09/30/2018.</w:t>
            </w:r>
            <w:r w:rsidRPr="003D0535">
              <w:rPr>
                <w:rFonts w:cs="Segoe UI"/>
                <w:color w:val="000000"/>
              </w:rPr>
              <w:t xml:space="preserve">     </w:t>
            </w:r>
          </w:p>
        </w:tc>
      </w:tr>
      <w:tr w:rsidR="0000682A" w:rsidRPr="009D3099" w14:paraId="60347934" w14:textId="77777777" w:rsidTr="0000682A">
        <w:tblPrEx>
          <w:shd w:val="clear" w:color="auto" w:fill="auto"/>
        </w:tblPrEx>
        <w:tc>
          <w:tcPr>
            <w:tcW w:w="4284" w:type="dxa"/>
          </w:tcPr>
          <w:p w14:paraId="76A0152E" w14:textId="77777777" w:rsidR="0000682A" w:rsidRPr="00BA0FBF" w:rsidRDefault="0000682A" w:rsidP="00567B35">
            <w:r w:rsidRPr="00BA0FBF">
              <w:t>To clear payments made sitting in fund 6278 would we use CAATS Offset Fed/</w:t>
            </w:r>
            <w:proofErr w:type="gramStart"/>
            <w:r w:rsidRPr="00BA0FBF">
              <w:t>Non Fed</w:t>
            </w:r>
            <w:proofErr w:type="gramEnd"/>
            <w:r w:rsidRPr="00BA0FBF">
              <w:t xml:space="preserve"> Advance to clear them?</w:t>
            </w:r>
          </w:p>
        </w:tc>
        <w:tc>
          <w:tcPr>
            <w:tcW w:w="5066" w:type="dxa"/>
          </w:tcPr>
          <w:p w14:paraId="76597042" w14:textId="77777777" w:rsidR="0000682A" w:rsidRPr="00BA0FBF" w:rsidRDefault="0000682A" w:rsidP="00567B35">
            <w:pPr>
              <w:tabs>
                <w:tab w:val="left" w:pos="1245"/>
              </w:tabs>
            </w:pPr>
            <w:r>
              <w:t>Regional Offices may use CAATS, ‘</w:t>
            </w:r>
            <w:r w:rsidRPr="00BA0FBF">
              <w:t>Cost/Revenue-Suspense Transfer</w:t>
            </w:r>
            <w:r>
              <w:t>’</w:t>
            </w:r>
            <w:r w:rsidRPr="00BA0FBF">
              <w:t xml:space="preserve"> module, </w:t>
            </w:r>
            <w:r>
              <w:t xml:space="preserve">‘Within Station’ </w:t>
            </w:r>
            <w:r w:rsidRPr="00BA0FBF">
              <w:t xml:space="preserve">submodule </w:t>
            </w:r>
            <w:r>
              <w:t>to clear Payroll Transactions</w:t>
            </w:r>
            <w:r w:rsidRPr="00BA0FBF">
              <w:t xml:space="preserve"> or</w:t>
            </w:r>
            <w:r>
              <w:t xml:space="preserve"> ‘Suspense Offsetting Receivable’</w:t>
            </w:r>
            <w:r w:rsidRPr="00BA0FBF">
              <w:t xml:space="preserve"> submodule </w:t>
            </w:r>
            <w:r>
              <w:t xml:space="preserve">to </w:t>
            </w:r>
            <w:r>
              <w:lastRenderedPageBreak/>
              <w:t>process</w:t>
            </w:r>
            <w:r w:rsidRPr="00BA0FBF">
              <w:t xml:space="preserve"> BD transactions</w:t>
            </w:r>
            <w:r>
              <w:t xml:space="preserve"> and clear funds in the 6278 </w:t>
            </w:r>
            <w:r w:rsidRPr="00BA0FBF">
              <w:t xml:space="preserve">Deposit Fund </w:t>
            </w:r>
            <w:r>
              <w:t>Account.</w:t>
            </w:r>
          </w:p>
        </w:tc>
      </w:tr>
      <w:tr w:rsidR="0000682A" w:rsidRPr="009D3099" w14:paraId="5FD7B164" w14:textId="77777777" w:rsidTr="0000682A">
        <w:tblPrEx>
          <w:shd w:val="clear" w:color="auto" w:fill="auto"/>
        </w:tblPrEx>
        <w:tc>
          <w:tcPr>
            <w:tcW w:w="4284" w:type="dxa"/>
          </w:tcPr>
          <w:p w14:paraId="581AA904" w14:textId="77777777" w:rsidR="0000682A" w:rsidRPr="00BA0FBF" w:rsidRDefault="0000682A" w:rsidP="00567B35">
            <w:r w:rsidRPr="00BA0FBF">
              <w:lastRenderedPageBreak/>
              <w:t>How do we offset from the IPAC control point?</w:t>
            </w:r>
          </w:p>
        </w:tc>
        <w:tc>
          <w:tcPr>
            <w:tcW w:w="5066" w:type="dxa"/>
          </w:tcPr>
          <w:p w14:paraId="11D2D23A" w14:textId="77777777" w:rsidR="0000682A" w:rsidRPr="00BA0FBF" w:rsidRDefault="0000682A" w:rsidP="00567B35">
            <w:r w:rsidRPr="00BA0FBF">
              <w:t>Regional Offices must submit a Miscellaneous Transfer Form (MTF) to their ALAC accountant, with proper costing elements to transfer funds from the FCP: IPACDSB05 default accounting string to the correct obligation.  The elements must match the original transaction per the F859 RSD report</w:t>
            </w:r>
            <w:r>
              <w:t xml:space="preserve"> </w:t>
            </w:r>
            <w:r w:rsidRPr="00BA0FBF">
              <w:t xml:space="preserve">i.e. SDD, Vendor Code, Line #, etc.  ALAC will subsequently process the offset in FMS and clear the F859 report.   </w:t>
            </w:r>
          </w:p>
        </w:tc>
      </w:tr>
      <w:tr w:rsidR="0000682A" w:rsidRPr="009D3099" w14:paraId="2078EC1E" w14:textId="77777777" w:rsidTr="0000682A">
        <w:tblPrEx>
          <w:shd w:val="clear" w:color="auto" w:fill="auto"/>
        </w:tblPrEx>
        <w:tc>
          <w:tcPr>
            <w:tcW w:w="4284" w:type="dxa"/>
          </w:tcPr>
          <w:p w14:paraId="70BD3D9D" w14:textId="77777777" w:rsidR="0000682A" w:rsidRPr="00BA0FBF" w:rsidRDefault="0000682A" w:rsidP="00567B35">
            <w:pPr>
              <w:rPr>
                <w:b/>
                <w:u w:val="single"/>
              </w:rPr>
            </w:pPr>
            <w:r w:rsidRPr="00BA0FBF">
              <w:t>Can a station used these tools to see about researching an IPAC from previous year or 2?</w:t>
            </w:r>
          </w:p>
        </w:tc>
        <w:tc>
          <w:tcPr>
            <w:tcW w:w="5066" w:type="dxa"/>
          </w:tcPr>
          <w:p w14:paraId="26F1ACA5" w14:textId="77777777" w:rsidR="0000682A" w:rsidRPr="00BA0FBF" w:rsidRDefault="0000682A" w:rsidP="00567B35">
            <w:r>
              <w:t xml:space="preserve">Regional Offices </w:t>
            </w:r>
            <w:r w:rsidRPr="00BA0FBF">
              <w:t xml:space="preserve">may use FASPAC to research old IPACs.  If the IPAC is greater than 2 years, they should click the option to search in “Archived IPACs”.  Research may be performed in the ‘Query IPAC’ section, using the IPAC Document Reference Number, station number, amount and/or ALC (Agency Location Code) of the other federal agency.  Limit the number of filters used in the query, to yield successful results. </w:t>
            </w:r>
          </w:p>
        </w:tc>
      </w:tr>
      <w:tr w:rsidR="0000682A" w:rsidRPr="009D3099" w14:paraId="22733557" w14:textId="77777777" w:rsidTr="0000682A">
        <w:tblPrEx>
          <w:shd w:val="clear" w:color="auto" w:fill="auto"/>
        </w:tblPrEx>
        <w:tc>
          <w:tcPr>
            <w:tcW w:w="4284" w:type="dxa"/>
          </w:tcPr>
          <w:p w14:paraId="5A06FAE3" w14:textId="77777777" w:rsidR="0000682A" w:rsidRPr="00BA0FBF" w:rsidRDefault="00F17092" w:rsidP="00567B35">
            <w:r>
              <w:t xml:space="preserve">1. </w:t>
            </w:r>
            <w:r w:rsidR="0000682A" w:rsidRPr="00BA0FBF">
              <w:t xml:space="preserve">Will the IPAC invoices have </w:t>
            </w:r>
            <w:r w:rsidRPr="00BA0FBF">
              <w:t>a cutoff date</w:t>
            </w:r>
            <w:r w:rsidR="0000682A" w:rsidRPr="00BA0FBF">
              <w:t xml:space="preserve">?  </w:t>
            </w:r>
            <w:r w:rsidR="00C41A75">
              <w:t xml:space="preserve">2.  </w:t>
            </w:r>
            <w:r w:rsidR="0000682A" w:rsidRPr="00BA0FBF">
              <w:t xml:space="preserve">When can we </w:t>
            </w:r>
            <w:proofErr w:type="spellStart"/>
            <w:r w:rsidR="0000682A" w:rsidRPr="00BA0FBF">
              <w:t>deobligate</w:t>
            </w:r>
            <w:proofErr w:type="spellEnd"/>
            <w:r w:rsidR="0000682A" w:rsidRPr="00BA0FBF">
              <w:t xml:space="preserve"> the remaining funds from the 1358</w:t>
            </w:r>
          </w:p>
        </w:tc>
        <w:tc>
          <w:tcPr>
            <w:tcW w:w="5066" w:type="dxa"/>
          </w:tcPr>
          <w:p w14:paraId="58D3B4F3" w14:textId="77777777" w:rsidR="0000682A" w:rsidRDefault="0000682A" w:rsidP="00567B35">
            <w:r w:rsidRPr="00BA0FBF">
              <w:t>1. The monthly cutoff date for processing IPACs is determined by the 5-day window at each end of month, around the 24</w:t>
            </w:r>
            <w:r w:rsidRPr="00BA0FBF">
              <w:rPr>
                <w:vertAlign w:val="superscript"/>
              </w:rPr>
              <w:t>th</w:t>
            </w:r>
            <w:r w:rsidRPr="00BA0FBF">
              <w:t xml:space="preserve"> or 25</w:t>
            </w:r>
            <w:r w:rsidRPr="00BA0FBF">
              <w:rPr>
                <w:vertAlign w:val="superscript"/>
              </w:rPr>
              <w:t>th</w:t>
            </w:r>
            <w:r>
              <w:rPr>
                <w:vertAlign w:val="superscript"/>
              </w:rPr>
              <w:t xml:space="preserve"> </w:t>
            </w:r>
            <w:r>
              <w:t>of each month.</w:t>
            </w:r>
            <w:r w:rsidRPr="00BA0FBF">
              <w:t xml:space="preserve">  The last day that ALAC will process IPACs for BFY18 is close of business September 21, 2018. </w:t>
            </w:r>
            <w:r w:rsidR="00F17092">
              <w:t xml:space="preserve">  </w:t>
            </w:r>
            <w:r w:rsidRPr="00BA0FBF">
              <w:t xml:space="preserve"> </w:t>
            </w:r>
          </w:p>
          <w:p w14:paraId="4CD1A9FD" w14:textId="77777777" w:rsidR="0000682A" w:rsidRPr="00BA0FBF" w:rsidRDefault="0000682A" w:rsidP="00567B35">
            <w:r w:rsidRPr="00BC7233">
              <w:t xml:space="preserve">2. Remaining funds on 1358 obligations should be de-obligated after </w:t>
            </w:r>
            <w:r w:rsidRPr="00BC7233">
              <w:rPr>
                <w:u w:val="single"/>
              </w:rPr>
              <w:t>all</w:t>
            </w:r>
            <w:r w:rsidRPr="00BC7233">
              <w:t xml:space="preserve"> invoices have been offset/expensed.</w:t>
            </w:r>
          </w:p>
        </w:tc>
      </w:tr>
      <w:tr w:rsidR="0000682A" w:rsidRPr="009D3099" w14:paraId="3A97A96A" w14:textId="77777777" w:rsidTr="0000682A">
        <w:tblPrEx>
          <w:shd w:val="clear" w:color="auto" w:fill="auto"/>
        </w:tblPrEx>
        <w:trPr>
          <w:trHeight w:val="1025"/>
        </w:trPr>
        <w:tc>
          <w:tcPr>
            <w:tcW w:w="4284" w:type="dxa"/>
          </w:tcPr>
          <w:p w14:paraId="38D209B2" w14:textId="77777777" w:rsidR="0000682A" w:rsidRPr="00BA0FBF" w:rsidRDefault="0000682A" w:rsidP="00567B35">
            <w:r w:rsidRPr="00BA0FBF">
              <w:t>Has there been dates established that we should be aware of for year end?</w:t>
            </w:r>
          </w:p>
        </w:tc>
        <w:tc>
          <w:tcPr>
            <w:tcW w:w="5066" w:type="dxa"/>
          </w:tcPr>
          <w:p w14:paraId="6CCAC941" w14:textId="77777777" w:rsidR="0000682A" w:rsidRPr="00BA0FBF" w:rsidRDefault="0000682A" w:rsidP="0000682A">
            <w:r w:rsidRPr="00BA0FBF">
              <w:t xml:space="preserve">The </w:t>
            </w:r>
            <w:r w:rsidRPr="00BA0FBF">
              <w:rPr>
                <w:b/>
              </w:rPr>
              <w:t>FY 18 Annual Close Memorandum</w:t>
            </w:r>
            <w:r w:rsidRPr="00BA0FBF">
              <w:t xml:space="preserve"> was sent to the VBA Regional Offices on July 31, 2018</w:t>
            </w:r>
            <w:r>
              <w:t>. It includes</w:t>
            </w:r>
            <w:r w:rsidRPr="00BA0FBF">
              <w:t xml:space="preserve"> important dates and </w:t>
            </w:r>
            <w:r>
              <w:t xml:space="preserve">required actions to be accomplished by </w:t>
            </w:r>
            <w:r w:rsidRPr="00BA0FBF">
              <w:t>September</w:t>
            </w:r>
            <w:r>
              <w:t xml:space="preserve"> 30, 2018</w:t>
            </w:r>
            <w:r w:rsidRPr="00BA0FBF">
              <w:t xml:space="preserve">.  </w:t>
            </w:r>
            <w:r>
              <w:t xml:space="preserve">Also, the </w:t>
            </w:r>
            <w:r w:rsidRPr="00BA0FBF">
              <w:rPr>
                <w:b/>
              </w:rPr>
              <w:t xml:space="preserve">FY 18 Annual Close Webinar </w:t>
            </w:r>
            <w:r w:rsidRPr="00BA0FBF">
              <w:t xml:space="preserve">was presented </w:t>
            </w:r>
            <w:r>
              <w:t xml:space="preserve">to Regional Offices on </w:t>
            </w:r>
            <w:r w:rsidRPr="00BA0FBF">
              <w:t xml:space="preserve">July 26, 2018.  The training </w:t>
            </w:r>
            <w:r>
              <w:t>materials are</w:t>
            </w:r>
            <w:r w:rsidRPr="00BA0FBF">
              <w:t xml:space="preserve"> available </w:t>
            </w:r>
            <w:r>
              <w:t xml:space="preserve">on the </w:t>
            </w:r>
            <w:hyperlink r:id="rId11" w:history="1">
              <w:r w:rsidRPr="00BA0FBF">
                <w:rPr>
                  <w:rStyle w:val="Hyperlink"/>
                </w:rPr>
                <w:t>VBA Administrative &amp; Loan Accounting Center website</w:t>
              </w:r>
            </w:hyperlink>
            <w:r>
              <w:t xml:space="preserve">.   </w:t>
            </w:r>
          </w:p>
        </w:tc>
      </w:tr>
      <w:tr w:rsidR="0000682A" w:rsidRPr="009D3099" w14:paraId="0B8C1CF3" w14:textId="77777777" w:rsidTr="0000682A">
        <w:tblPrEx>
          <w:shd w:val="clear" w:color="auto" w:fill="auto"/>
        </w:tblPrEx>
        <w:tc>
          <w:tcPr>
            <w:tcW w:w="4284" w:type="dxa"/>
          </w:tcPr>
          <w:p w14:paraId="674B2970" w14:textId="77777777" w:rsidR="0000682A" w:rsidRPr="00BA0FBF" w:rsidRDefault="0000682A" w:rsidP="00567B35">
            <w:r w:rsidRPr="00BA0FBF">
              <w:t>How do I get FASPAC access?</w:t>
            </w:r>
          </w:p>
        </w:tc>
        <w:tc>
          <w:tcPr>
            <w:tcW w:w="5066" w:type="dxa"/>
          </w:tcPr>
          <w:p w14:paraId="49819709" w14:textId="77777777" w:rsidR="0000682A" w:rsidRPr="00BA0FBF" w:rsidRDefault="0000682A" w:rsidP="00567B35">
            <w:r>
              <w:t xml:space="preserve">A VA Form 9957 is required for access to the FASPAC System.  Regional Offices may contact the </w:t>
            </w:r>
            <w:hyperlink r:id="rId12" w:history="1">
              <w:r w:rsidRPr="00BC7233">
                <w:rPr>
                  <w:rStyle w:val="Hyperlink"/>
                </w:rPr>
                <w:t>VAFSC IPAC Processing Group</w:t>
              </w:r>
            </w:hyperlink>
            <w:r>
              <w:t xml:space="preserve"> or the CUPS </w:t>
            </w:r>
            <w:r>
              <w:lastRenderedPageBreak/>
              <w:t xml:space="preserve">personnel at your station for specific instructions on completing the access form. </w:t>
            </w:r>
          </w:p>
        </w:tc>
      </w:tr>
    </w:tbl>
    <w:p w14:paraId="193F403D" w14:textId="77777777" w:rsidR="0000682A" w:rsidRDefault="0000682A"/>
    <w:p w14:paraId="2A903336" w14:textId="77777777" w:rsidR="0000682A" w:rsidRDefault="0000682A"/>
    <w:p w14:paraId="79096A4B" w14:textId="77777777" w:rsidR="0000682A" w:rsidRDefault="0000682A"/>
    <w:sectPr w:rsidR="0000682A" w:rsidSect="00383304">
      <w:foot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9E181" w14:textId="77777777" w:rsidR="00695530" w:rsidRDefault="00695530" w:rsidP="0000682A">
      <w:r>
        <w:separator/>
      </w:r>
    </w:p>
  </w:endnote>
  <w:endnote w:type="continuationSeparator" w:id="0">
    <w:p w14:paraId="084896D0" w14:textId="77777777" w:rsidR="00695530" w:rsidRDefault="00695530" w:rsidP="0000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5E8D0" w14:textId="77777777" w:rsidR="00383304" w:rsidRDefault="00383304">
    <w:pPr>
      <w:tabs>
        <w:tab w:val="center" w:pos="4550"/>
        <w:tab w:val="left" w:pos="5818"/>
      </w:tabs>
      <w:ind w:right="260"/>
      <w:jc w:val="right"/>
      <w:rPr>
        <w:color w:val="0F243E" w:themeColor="text2" w:themeShade="80"/>
      </w:rPr>
    </w:pPr>
    <w:r>
      <w:rPr>
        <w:color w:val="548DD4" w:themeColor="text2" w:themeTint="99"/>
        <w:spacing w:val="60"/>
      </w:rPr>
      <w:t>Page</w:t>
    </w:r>
    <w:r>
      <w:rPr>
        <w:color w:val="548DD4" w:themeColor="text2" w:themeTint="99"/>
      </w:rPr>
      <w:t xml:space="preserve"> </w:t>
    </w:r>
    <w:r>
      <w:rPr>
        <w:color w:val="17365D" w:themeColor="text2" w:themeShade="BF"/>
      </w:rPr>
      <w:fldChar w:fldCharType="begin"/>
    </w:r>
    <w:r>
      <w:rPr>
        <w:color w:val="17365D" w:themeColor="text2" w:themeShade="BF"/>
      </w:rPr>
      <w:instrText xml:space="preserve"> PAGE   \* MERGEFORMAT </w:instrText>
    </w:r>
    <w:r>
      <w:rPr>
        <w:color w:val="17365D" w:themeColor="text2" w:themeShade="BF"/>
      </w:rPr>
      <w:fldChar w:fldCharType="separate"/>
    </w:r>
    <w:r w:rsidR="00F17092">
      <w:rPr>
        <w:noProof/>
        <w:color w:val="17365D" w:themeColor="text2" w:themeShade="BF"/>
      </w:rPr>
      <w:t>4</w:t>
    </w:r>
    <w:r>
      <w:rPr>
        <w:color w:val="17365D" w:themeColor="text2" w:themeShade="BF"/>
      </w:rPr>
      <w:fldChar w:fldCharType="end"/>
    </w:r>
    <w:r>
      <w:rPr>
        <w:color w:val="17365D" w:themeColor="text2" w:themeShade="BF"/>
      </w:rPr>
      <w:t xml:space="preserve"> | </w:t>
    </w:r>
    <w:r>
      <w:rPr>
        <w:color w:val="17365D" w:themeColor="text2" w:themeShade="BF"/>
      </w:rPr>
      <w:fldChar w:fldCharType="begin"/>
    </w:r>
    <w:r>
      <w:rPr>
        <w:color w:val="17365D" w:themeColor="text2" w:themeShade="BF"/>
      </w:rPr>
      <w:instrText xml:space="preserve"> NUMPAGES  \* Arabic  \* MERGEFORMAT </w:instrText>
    </w:r>
    <w:r>
      <w:rPr>
        <w:color w:val="17365D" w:themeColor="text2" w:themeShade="BF"/>
      </w:rPr>
      <w:fldChar w:fldCharType="separate"/>
    </w:r>
    <w:r w:rsidR="00F17092">
      <w:rPr>
        <w:noProof/>
        <w:color w:val="17365D" w:themeColor="text2" w:themeShade="BF"/>
      </w:rPr>
      <w:t>4</w:t>
    </w:r>
    <w:r>
      <w:rPr>
        <w:color w:val="17365D" w:themeColor="text2" w:themeShade="BF"/>
      </w:rPr>
      <w:fldChar w:fldCharType="end"/>
    </w:r>
  </w:p>
  <w:p w14:paraId="20713ECB" w14:textId="77777777" w:rsidR="00383304" w:rsidRDefault="00383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C3ABD" w14:textId="77777777" w:rsidR="00695530" w:rsidRDefault="00695530" w:rsidP="0000682A">
      <w:r>
        <w:separator/>
      </w:r>
    </w:p>
  </w:footnote>
  <w:footnote w:type="continuationSeparator" w:id="0">
    <w:p w14:paraId="5D89536B" w14:textId="77777777" w:rsidR="00695530" w:rsidRDefault="00695530" w:rsidP="00006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5B511" w14:textId="77777777" w:rsidR="00383304" w:rsidRPr="00253E68" w:rsidRDefault="00383304" w:rsidP="00383304">
    <w:pPr>
      <w:pStyle w:val="Title"/>
      <w:pBdr>
        <w:bottom w:val="single" w:sz="8" w:space="4" w:color="C0504D" w:themeColor="accent2"/>
      </w:pBdr>
      <w:spacing w:after="240"/>
      <w:jc w:val="center"/>
      <w:rPr>
        <w:b/>
        <w:sz w:val="32"/>
        <w:szCs w:val="32"/>
      </w:rPr>
    </w:pPr>
    <w:r>
      <w:rPr>
        <w:noProof/>
      </w:rPr>
      <w:drawing>
        <wp:inline distT="0" distB="0" distL="0" distR="0" wp14:anchorId="6F7BE92F" wp14:editId="7FAD97D9">
          <wp:extent cx="1554480" cy="530225"/>
          <wp:effectExtent l="0" t="0" r="7620" b="3175"/>
          <wp:docPr id="5" name="Picture 5" descr="U.S. Department of Veterans Affairs 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T US Department of VA Affairs.jpg"/>
                  <pic:cNvPicPr/>
                </pic:nvPicPr>
                <pic:blipFill>
                  <a:blip r:embed="rId1">
                    <a:extLst>
                      <a:ext uri="{28A0092B-C50C-407E-A947-70E740481C1C}">
                        <a14:useLocalDpi xmlns:a14="http://schemas.microsoft.com/office/drawing/2010/main" val="0"/>
                      </a:ext>
                    </a:extLst>
                  </a:blip>
                  <a:stretch>
                    <a:fillRect/>
                  </a:stretch>
                </pic:blipFill>
                <pic:spPr>
                  <a:xfrm>
                    <a:off x="0" y="0"/>
                    <a:ext cx="1554480" cy="530225"/>
                  </a:xfrm>
                  <a:prstGeom prst="rect">
                    <a:avLst/>
                  </a:prstGeom>
                </pic:spPr>
              </pic:pic>
            </a:graphicData>
          </a:graphic>
        </wp:inline>
      </w:drawing>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19A01F13" w14:textId="77777777" w:rsidR="0000682A" w:rsidRDefault="00006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B6780A"/>
    <w:multiLevelType w:val="hybridMultilevel"/>
    <w:tmpl w:val="EF182E8C"/>
    <w:lvl w:ilvl="0" w:tplc="310876B2">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4FE28F0"/>
    <w:multiLevelType w:val="hybridMultilevel"/>
    <w:tmpl w:val="6DBC6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82A"/>
    <w:rsid w:val="0000682A"/>
    <w:rsid w:val="00122D83"/>
    <w:rsid w:val="00383304"/>
    <w:rsid w:val="00695530"/>
    <w:rsid w:val="00833C2E"/>
    <w:rsid w:val="00931FAA"/>
    <w:rsid w:val="00C41A75"/>
    <w:rsid w:val="00DA7E87"/>
    <w:rsid w:val="00E25EA4"/>
    <w:rsid w:val="00EB6190"/>
    <w:rsid w:val="00F17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96736"/>
  <w15:chartTrackingRefBased/>
  <w15:docId w15:val="{8D4B6C12-16F1-4E8F-A625-E628BA95F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682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0682A"/>
    <w:pPr>
      <w:numPr>
        <w:numId w:val="2"/>
      </w:numPr>
      <w:contextualSpacing/>
    </w:pPr>
    <w:rPr>
      <w:rFonts w:ascii="Calibri" w:eastAsiaTheme="minorHAnsi" w:hAnsi="Calibri"/>
      <w:b/>
      <w:sz w:val="22"/>
      <w:szCs w:val="22"/>
    </w:rPr>
  </w:style>
  <w:style w:type="character" w:customStyle="1" w:styleId="ListParagraphChar">
    <w:name w:val="List Paragraph Char"/>
    <w:basedOn w:val="DefaultParagraphFont"/>
    <w:link w:val="ListParagraph"/>
    <w:uiPriority w:val="34"/>
    <w:rsid w:val="0000682A"/>
    <w:rPr>
      <w:rFonts w:ascii="Calibri" w:hAnsi="Calibri" w:cs="Times New Roman"/>
      <w:b/>
    </w:rPr>
  </w:style>
  <w:style w:type="table" w:styleId="TableGrid">
    <w:name w:val="Table Grid"/>
    <w:basedOn w:val="TableNormal"/>
    <w:uiPriority w:val="59"/>
    <w:rsid w:val="0000682A"/>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00682A"/>
    <w:pPr>
      <w:spacing w:before="40" w:after="40"/>
    </w:pPr>
  </w:style>
  <w:style w:type="character" w:styleId="Hyperlink">
    <w:name w:val="Hyperlink"/>
    <w:basedOn w:val="DefaultParagraphFont"/>
    <w:uiPriority w:val="99"/>
    <w:unhideWhenUsed/>
    <w:rsid w:val="0000682A"/>
    <w:rPr>
      <w:color w:val="0000FF" w:themeColor="hyperlink"/>
      <w:u w:val="single"/>
    </w:rPr>
  </w:style>
  <w:style w:type="character" w:customStyle="1" w:styleId="TableTextChar">
    <w:name w:val="Table Text Char"/>
    <w:basedOn w:val="DefaultParagraphFont"/>
    <w:link w:val="TableText"/>
    <w:rsid w:val="0000682A"/>
    <w:rPr>
      <w:rFonts w:eastAsia="Times New Roman" w:cs="Times New Roman"/>
      <w:sz w:val="24"/>
      <w:szCs w:val="24"/>
    </w:rPr>
  </w:style>
  <w:style w:type="character" w:customStyle="1" w:styleId="imsender1">
    <w:name w:val="im_sender1"/>
    <w:basedOn w:val="DefaultParagraphFont"/>
    <w:rsid w:val="0000682A"/>
    <w:rPr>
      <w:rFonts w:ascii="Segoe UI" w:hAnsi="Segoe UI" w:cs="Segoe UI" w:hint="default"/>
      <w:b/>
      <w:bCs/>
      <w:i w:val="0"/>
      <w:iCs w:val="0"/>
      <w:caps w:val="0"/>
      <w:smallCaps w:val="0"/>
      <w:strike w:val="0"/>
      <w:dstrike w:val="0"/>
      <w:color w:val="666666"/>
      <w:sz w:val="17"/>
      <w:szCs w:val="17"/>
      <w:u w:val="none"/>
      <w:effect w:val="none"/>
    </w:rPr>
  </w:style>
  <w:style w:type="character" w:styleId="FollowedHyperlink">
    <w:name w:val="FollowedHyperlink"/>
    <w:basedOn w:val="DefaultParagraphFont"/>
    <w:uiPriority w:val="99"/>
    <w:semiHidden/>
    <w:unhideWhenUsed/>
    <w:rsid w:val="0000682A"/>
    <w:rPr>
      <w:color w:val="800080" w:themeColor="followedHyperlink"/>
      <w:u w:val="single"/>
    </w:rPr>
  </w:style>
  <w:style w:type="paragraph" w:styleId="Header">
    <w:name w:val="header"/>
    <w:basedOn w:val="Normal"/>
    <w:link w:val="HeaderChar"/>
    <w:uiPriority w:val="99"/>
    <w:unhideWhenUsed/>
    <w:rsid w:val="0000682A"/>
    <w:pPr>
      <w:tabs>
        <w:tab w:val="center" w:pos="4680"/>
        <w:tab w:val="right" w:pos="9360"/>
      </w:tabs>
    </w:pPr>
  </w:style>
  <w:style w:type="character" w:customStyle="1" w:styleId="HeaderChar">
    <w:name w:val="Header Char"/>
    <w:basedOn w:val="DefaultParagraphFont"/>
    <w:link w:val="Header"/>
    <w:uiPriority w:val="99"/>
    <w:rsid w:val="0000682A"/>
    <w:rPr>
      <w:rFonts w:eastAsia="Times New Roman" w:cs="Times New Roman"/>
      <w:sz w:val="24"/>
      <w:szCs w:val="24"/>
    </w:rPr>
  </w:style>
  <w:style w:type="paragraph" w:styleId="Footer">
    <w:name w:val="footer"/>
    <w:basedOn w:val="Normal"/>
    <w:link w:val="FooterChar"/>
    <w:uiPriority w:val="99"/>
    <w:unhideWhenUsed/>
    <w:rsid w:val="0000682A"/>
    <w:pPr>
      <w:tabs>
        <w:tab w:val="center" w:pos="4680"/>
        <w:tab w:val="right" w:pos="9360"/>
      </w:tabs>
    </w:pPr>
  </w:style>
  <w:style w:type="character" w:customStyle="1" w:styleId="FooterChar">
    <w:name w:val="Footer Char"/>
    <w:basedOn w:val="DefaultParagraphFont"/>
    <w:link w:val="Footer"/>
    <w:uiPriority w:val="99"/>
    <w:rsid w:val="0000682A"/>
    <w:rPr>
      <w:rFonts w:eastAsia="Times New Roman" w:cs="Times New Roman"/>
      <w:sz w:val="24"/>
      <w:szCs w:val="24"/>
    </w:rPr>
  </w:style>
  <w:style w:type="paragraph" w:styleId="Title">
    <w:name w:val="Title"/>
    <w:basedOn w:val="Normal"/>
    <w:next w:val="Normal"/>
    <w:link w:val="TitleChar"/>
    <w:uiPriority w:val="10"/>
    <w:qFormat/>
    <w:rsid w:val="0000682A"/>
    <w:pPr>
      <w:pBdr>
        <w:bottom w:val="single" w:sz="8" w:space="4" w:color="39888C"/>
      </w:pBdr>
      <w:contextualSpacing/>
    </w:pPr>
    <w:rPr>
      <w:rFonts w:eastAsiaTheme="majorEastAsia" w:cstheme="majorBidi"/>
      <w:spacing w:val="5"/>
      <w:kern w:val="28"/>
      <w:sz w:val="36"/>
      <w:szCs w:val="52"/>
    </w:rPr>
  </w:style>
  <w:style w:type="character" w:customStyle="1" w:styleId="TitleChar">
    <w:name w:val="Title Char"/>
    <w:basedOn w:val="DefaultParagraphFont"/>
    <w:link w:val="Title"/>
    <w:uiPriority w:val="10"/>
    <w:rsid w:val="0000682A"/>
    <w:rPr>
      <w:rFonts w:eastAsiaTheme="majorEastAsia" w:cstheme="majorBidi"/>
      <w:spacing w:val="5"/>
      <w:kern w:val="28"/>
      <w:sz w:val="36"/>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ww.fscdocs.fsc.va.gov/newsflash/News%20Flash%20FY%2011/FSC%20News%20Flash%20FY11%20Issue%2034%20Clear%20Special%20Pay%20Transactions.doc"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vaww.fscdocs.fsc.va.gov/newsflash/News%20Flash%20FY%2012/FSC%20News%20Flash%20FY%2011%20Issue%2001%20FSC%20Payroll%20JVsa.doc" TargetMode="External"/><Relationship Id="rId12" Type="http://schemas.openxmlformats.org/officeDocument/2006/relationships/hyperlink" Target="mailto:vafscipacprocessing@va.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baw.vba.va.gov/VBAORM/alac/training.as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20vafscipacprocessing@va.gov" TargetMode="External"/><Relationship Id="rId4" Type="http://schemas.openxmlformats.org/officeDocument/2006/relationships/webSettings" Target="webSettings.xml"/><Relationship Id="rId9" Type="http://schemas.openxmlformats.org/officeDocument/2006/relationships/hyperlink" Target="mailto:vafscagreementrepository@va.go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VBA Advances FAQ (August 2018)</vt:lpstr>
    </vt:vector>
  </TitlesOfParts>
  <Company>Veterans Benefits Administration</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VBA Advances FAQ (August 2018)</dc:title>
  <dc:subject>Staff, Field, SSD Chief, Specialist, Tech</dc:subject>
  <dc:creator>Department of Veterans Affairs, Veterans Benefits Administration, STAFF</dc:creator>
  <cp:keywords/>
  <dc:description>In this webinar, participants learn to identify federal or non-federal advances for goods and services. Participants also learn to utilitze CAATS modules to process transactions and use the FMS table for research.</dc:description>
  <cp:lastModifiedBy>Kathy Poole</cp:lastModifiedBy>
  <cp:revision>4</cp:revision>
  <dcterms:created xsi:type="dcterms:W3CDTF">2018-09-04T12:37:00Z</dcterms:created>
  <dcterms:modified xsi:type="dcterms:W3CDTF">2018-09-07T20:25:00Z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