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3D24E" w14:textId="67CBB357" w:rsidR="003E5F1F" w:rsidRDefault="004A2017" w:rsidP="004A2017">
      <w:pPr>
        <w:jc w:val="center"/>
        <w:rPr>
          <w:sz w:val="28"/>
          <w:szCs w:val="28"/>
        </w:rPr>
      </w:pPr>
      <w:r>
        <w:rPr>
          <w:sz w:val="28"/>
          <w:szCs w:val="28"/>
        </w:rPr>
        <w:t>I</w:t>
      </w:r>
      <w:r w:rsidR="00531FDC">
        <w:rPr>
          <w:sz w:val="28"/>
          <w:szCs w:val="28"/>
        </w:rPr>
        <w:t>GE NARRATIVE</w:t>
      </w:r>
    </w:p>
    <w:p w14:paraId="0CC7542A" w14:textId="35081C56" w:rsidR="003D102A" w:rsidRDefault="003D102A" w:rsidP="00846196">
      <w:pPr>
        <w:rPr>
          <w:sz w:val="28"/>
          <w:szCs w:val="28"/>
        </w:rPr>
      </w:pPr>
      <w:r>
        <w:rPr>
          <w:sz w:val="28"/>
          <w:szCs w:val="28"/>
        </w:rPr>
        <w:t xml:space="preserve">Requirement: </w:t>
      </w:r>
    </w:p>
    <w:p w14:paraId="4C84F728" w14:textId="4D363B87" w:rsidR="00727412" w:rsidRDefault="003D102A" w:rsidP="00846196">
      <w:pPr>
        <w:rPr>
          <w:color w:val="4472C4" w:themeColor="accent1"/>
          <w:sz w:val="28"/>
          <w:szCs w:val="28"/>
        </w:rPr>
      </w:pPr>
      <w:r>
        <w:rPr>
          <w:color w:val="4472C4" w:themeColor="accent1"/>
          <w:sz w:val="28"/>
          <w:szCs w:val="28"/>
        </w:rPr>
        <w:t xml:space="preserve">The Little Rock Regional Office (350) has a requirement for a performance-based contract for janitorial services. The contractor shall provide full </w:t>
      </w:r>
      <w:r w:rsidR="00727412">
        <w:rPr>
          <w:color w:val="4472C4" w:themeColor="accent1"/>
          <w:sz w:val="28"/>
          <w:szCs w:val="28"/>
        </w:rPr>
        <w:t xml:space="preserve">janitorial </w:t>
      </w:r>
      <w:r>
        <w:rPr>
          <w:color w:val="4472C4" w:themeColor="accent1"/>
          <w:sz w:val="28"/>
          <w:szCs w:val="28"/>
        </w:rPr>
        <w:t>services</w:t>
      </w:r>
      <w:r w:rsidR="00727412">
        <w:rPr>
          <w:color w:val="4472C4" w:themeColor="accent1"/>
          <w:sz w:val="28"/>
          <w:szCs w:val="28"/>
        </w:rPr>
        <w:t xml:space="preserve"> for </w:t>
      </w:r>
      <w:r>
        <w:rPr>
          <w:color w:val="4472C4" w:themeColor="accent1"/>
          <w:sz w:val="28"/>
          <w:szCs w:val="28"/>
        </w:rPr>
        <w:t>approximately</w:t>
      </w:r>
      <w:r w:rsidR="00727412">
        <w:rPr>
          <w:color w:val="4472C4" w:themeColor="accent1"/>
          <w:sz w:val="28"/>
          <w:szCs w:val="28"/>
        </w:rPr>
        <w:t xml:space="preserve"> </w:t>
      </w:r>
      <w:r w:rsidR="00C42BCC">
        <w:rPr>
          <w:color w:val="4472C4" w:themeColor="accent1"/>
          <w:sz w:val="28"/>
          <w:szCs w:val="28"/>
        </w:rPr>
        <w:t>45</w:t>
      </w:r>
      <w:r w:rsidR="00727412">
        <w:rPr>
          <w:color w:val="4472C4" w:themeColor="accent1"/>
          <w:sz w:val="28"/>
          <w:szCs w:val="28"/>
        </w:rPr>
        <w:t xml:space="preserve">,000 square feet of office space to include refuse collection, light dusting, cleaning of restrooms, carpet vacuuming, and other elements of work as defined on the </w:t>
      </w:r>
      <w:r w:rsidR="000F01D4">
        <w:rPr>
          <w:color w:val="4472C4" w:themeColor="accent1"/>
          <w:sz w:val="28"/>
          <w:szCs w:val="28"/>
        </w:rPr>
        <w:t>P</w:t>
      </w:r>
      <w:r w:rsidR="00727412">
        <w:rPr>
          <w:color w:val="4472C4" w:themeColor="accent1"/>
          <w:sz w:val="28"/>
          <w:szCs w:val="28"/>
        </w:rPr>
        <w:t xml:space="preserve">erformance </w:t>
      </w:r>
      <w:r w:rsidR="000F01D4">
        <w:rPr>
          <w:color w:val="4472C4" w:themeColor="accent1"/>
          <w:sz w:val="28"/>
          <w:szCs w:val="28"/>
        </w:rPr>
        <w:t>W</w:t>
      </w:r>
      <w:r w:rsidR="00727412">
        <w:rPr>
          <w:color w:val="4472C4" w:themeColor="accent1"/>
          <w:sz w:val="28"/>
          <w:szCs w:val="28"/>
        </w:rPr>
        <w:t xml:space="preserve">ork </w:t>
      </w:r>
      <w:r w:rsidR="000F01D4">
        <w:rPr>
          <w:color w:val="4472C4" w:themeColor="accent1"/>
          <w:sz w:val="28"/>
          <w:szCs w:val="28"/>
        </w:rPr>
        <w:t>S</w:t>
      </w:r>
      <w:r w:rsidR="00727412">
        <w:rPr>
          <w:color w:val="4472C4" w:themeColor="accent1"/>
          <w:sz w:val="28"/>
          <w:szCs w:val="28"/>
        </w:rPr>
        <w:t>tatement</w:t>
      </w:r>
      <w:r w:rsidR="000F01D4">
        <w:rPr>
          <w:color w:val="4472C4" w:themeColor="accent1"/>
          <w:sz w:val="28"/>
          <w:szCs w:val="28"/>
        </w:rPr>
        <w:t xml:space="preserve"> (PWS)</w:t>
      </w:r>
      <w:r w:rsidR="00727412">
        <w:rPr>
          <w:color w:val="4472C4" w:themeColor="accent1"/>
          <w:sz w:val="28"/>
          <w:szCs w:val="28"/>
        </w:rPr>
        <w:t>.</w:t>
      </w:r>
      <w:r w:rsidR="0093755C">
        <w:rPr>
          <w:color w:val="4472C4" w:themeColor="accent1"/>
          <w:sz w:val="28"/>
          <w:szCs w:val="28"/>
        </w:rPr>
        <w:t xml:space="preserve"> </w:t>
      </w:r>
      <w:r w:rsidR="00626504">
        <w:rPr>
          <w:color w:val="4472C4" w:themeColor="accent1"/>
          <w:sz w:val="28"/>
          <w:szCs w:val="28"/>
        </w:rPr>
        <w:t>The Regional Office will need the</w:t>
      </w:r>
      <w:r w:rsidR="000F01D4">
        <w:rPr>
          <w:color w:val="4472C4" w:themeColor="accent1"/>
          <w:sz w:val="28"/>
          <w:szCs w:val="28"/>
        </w:rPr>
        <w:t xml:space="preserve"> </w:t>
      </w:r>
      <w:r w:rsidR="00626504">
        <w:rPr>
          <w:color w:val="4472C4" w:themeColor="accent1"/>
          <w:sz w:val="28"/>
          <w:szCs w:val="28"/>
        </w:rPr>
        <w:t>services</w:t>
      </w:r>
      <w:r w:rsidR="000F01D4">
        <w:rPr>
          <w:color w:val="4472C4" w:themeColor="accent1"/>
          <w:sz w:val="28"/>
          <w:szCs w:val="28"/>
        </w:rPr>
        <w:t xml:space="preserve"> under the contract o</w:t>
      </w:r>
      <w:r w:rsidR="00626504">
        <w:rPr>
          <w:color w:val="4472C4" w:themeColor="accent1"/>
          <w:sz w:val="28"/>
          <w:szCs w:val="28"/>
        </w:rPr>
        <w:t>n a</w:t>
      </w:r>
      <w:r w:rsidR="000F01D4">
        <w:rPr>
          <w:color w:val="4472C4" w:themeColor="accent1"/>
          <w:sz w:val="28"/>
          <w:szCs w:val="28"/>
        </w:rPr>
        <w:t xml:space="preserve"> long term and</w:t>
      </w:r>
      <w:r w:rsidR="00626504">
        <w:rPr>
          <w:color w:val="4472C4" w:themeColor="accent1"/>
          <w:sz w:val="28"/>
          <w:szCs w:val="28"/>
        </w:rPr>
        <w:t xml:space="preserve"> recurring basis.</w:t>
      </w:r>
    </w:p>
    <w:p w14:paraId="439EE3A3" w14:textId="77777777" w:rsidR="00372A22" w:rsidRDefault="00372A22" w:rsidP="00846196">
      <w:pPr>
        <w:rPr>
          <w:sz w:val="28"/>
          <w:szCs w:val="28"/>
        </w:rPr>
      </w:pPr>
      <w:r>
        <w:rPr>
          <w:sz w:val="28"/>
          <w:szCs w:val="28"/>
        </w:rPr>
        <w:t xml:space="preserve">Assumptions:  </w:t>
      </w:r>
    </w:p>
    <w:p w14:paraId="0655EA84" w14:textId="5240477E" w:rsidR="00626504" w:rsidRDefault="00372A22" w:rsidP="00846196">
      <w:pPr>
        <w:rPr>
          <w:color w:val="0070C0"/>
          <w:sz w:val="28"/>
          <w:szCs w:val="28"/>
        </w:rPr>
      </w:pPr>
      <w:r w:rsidRPr="00372A22">
        <w:rPr>
          <w:color w:val="0070C0"/>
          <w:sz w:val="28"/>
          <w:szCs w:val="28"/>
        </w:rPr>
        <w:t>The contractor will provide two employee</w:t>
      </w:r>
      <w:r>
        <w:rPr>
          <w:color w:val="0070C0"/>
          <w:sz w:val="28"/>
          <w:szCs w:val="28"/>
        </w:rPr>
        <w:t>s per day</w:t>
      </w:r>
      <w:r w:rsidR="00576D44">
        <w:rPr>
          <w:color w:val="0070C0"/>
          <w:sz w:val="28"/>
          <w:szCs w:val="28"/>
        </w:rPr>
        <w:t xml:space="preserve"> for eight (8) hours a day and supplies needed to perform the services.  The contract employees will be paid in accordance with the Department of Labor (DOL) wage determination for the area and pursuant to Executive Order </w:t>
      </w:r>
      <w:r w:rsidR="00626504">
        <w:rPr>
          <w:color w:val="0070C0"/>
          <w:sz w:val="28"/>
          <w:szCs w:val="28"/>
        </w:rPr>
        <w:t xml:space="preserve">14026, Minimum Wages for Contractor Workers.  The </w:t>
      </w:r>
      <w:r w:rsidR="007C2AC0">
        <w:rPr>
          <w:color w:val="0070C0"/>
          <w:sz w:val="28"/>
          <w:szCs w:val="28"/>
        </w:rPr>
        <w:t xml:space="preserve">applicable DOL Wage Determination is 2015-5117 and the occupational code used to calculate the labor rate is 111150, Janitor.  The hourly rate for the labor category in the wage determination is $11.36.  Since this rate is below the $15 per hour required by the Executive Order, an hourly rate of $15.00 plus </w:t>
      </w:r>
      <w:r w:rsidR="00ED7CE0">
        <w:rPr>
          <w:color w:val="0070C0"/>
          <w:sz w:val="28"/>
          <w:szCs w:val="28"/>
        </w:rPr>
        <w:t>$4.60 per hour for fringe benefits was used to calculate the labor rate. The estimate also uses a flat rate of $</w:t>
      </w:r>
      <w:r w:rsidR="000F01D4">
        <w:rPr>
          <w:color w:val="0070C0"/>
          <w:sz w:val="28"/>
          <w:szCs w:val="28"/>
        </w:rPr>
        <w:t>2</w:t>
      </w:r>
      <w:r w:rsidR="00ED7CE0">
        <w:rPr>
          <w:color w:val="0070C0"/>
          <w:sz w:val="28"/>
          <w:szCs w:val="28"/>
        </w:rPr>
        <w:t>0.00 per day for supplies.  The estimate also assumes 3.3% overhead for insurance costs and a 10% general and administrative as well as a 10% profit rate.</w:t>
      </w:r>
    </w:p>
    <w:p w14:paraId="5302A856" w14:textId="06042ED1" w:rsidR="00626504" w:rsidRDefault="000F01D4" w:rsidP="00846196">
      <w:pPr>
        <w:rPr>
          <w:sz w:val="28"/>
          <w:szCs w:val="28"/>
        </w:rPr>
      </w:pPr>
      <w:r>
        <w:rPr>
          <w:sz w:val="28"/>
          <w:szCs w:val="28"/>
        </w:rPr>
        <w:t>Market Research:</w:t>
      </w:r>
    </w:p>
    <w:p w14:paraId="6984AB8D" w14:textId="5A2A5DF1" w:rsidR="000F01D4" w:rsidRDefault="000F01D4" w:rsidP="000F01D4">
      <w:pPr>
        <w:pStyle w:val="ListParagraph"/>
        <w:numPr>
          <w:ilvl w:val="0"/>
          <w:numId w:val="6"/>
        </w:numPr>
        <w:rPr>
          <w:color w:val="0070C0"/>
          <w:sz w:val="28"/>
          <w:szCs w:val="28"/>
        </w:rPr>
      </w:pPr>
      <w:r>
        <w:rPr>
          <w:color w:val="0070C0"/>
          <w:sz w:val="28"/>
          <w:szCs w:val="28"/>
        </w:rPr>
        <w:t>Task Order</w:t>
      </w:r>
      <w:r w:rsidRPr="000F01D4">
        <w:rPr>
          <w:color w:val="0070C0"/>
          <w:sz w:val="28"/>
          <w:szCs w:val="28"/>
        </w:rPr>
        <w:t xml:space="preserve"> VA101V-17-F-0228</w:t>
      </w:r>
      <w:r>
        <w:rPr>
          <w:color w:val="0070C0"/>
          <w:sz w:val="28"/>
          <w:szCs w:val="28"/>
        </w:rPr>
        <w:t xml:space="preserve"> </w:t>
      </w:r>
      <w:r w:rsidRPr="000F01D4">
        <w:rPr>
          <w:color w:val="0070C0"/>
          <w:sz w:val="28"/>
          <w:szCs w:val="28"/>
        </w:rPr>
        <w:t>for the Little Rock RO</w:t>
      </w:r>
      <w:r>
        <w:rPr>
          <w:color w:val="0070C0"/>
          <w:sz w:val="28"/>
          <w:szCs w:val="28"/>
        </w:rPr>
        <w:t xml:space="preserve"> </w:t>
      </w:r>
      <w:r w:rsidRPr="000F01D4">
        <w:rPr>
          <w:color w:val="0070C0"/>
          <w:sz w:val="28"/>
          <w:szCs w:val="28"/>
        </w:rPr>
        <w:t xml:space="preserve">was awarded </w:t>
      </w:r>
      <w:r>
        <w:rPr>
          <w:color w:val="0070C0"/>
          <w:sz w:val="28"/>
          <w:szCs w:val="28"/>
        </w:rPr>
        <w:t>in</w:t>
      </w:r>
      <w:r w:rsidRPr="000F01D4">
        <w:rPr>
          <w:color w:val="0070C0"/>
          <w:sz w:val="28"/>
          <w:szCs w:val="28"/>
        </w:rPr>
        <w:t xml:space="preserve"> October</w:t>
      </w:r>
      <w:r>
        <w:rPr>
          <w:color w:val="0070C0"/>
          <w:sz w:val="28"/>
          <w:szCs w:val="28"/>
        </w:rPr>
        <w:t xml:space="preserve"> </w:t>
      </w:r>
      <w:r w:rsidRPr="000F01D4">
        <w:rPr>
          <w:color w:val="0070C0"/>
          <w:sz w:val="28"/>
          <w:szCs w:val="28"/>
        </w:rPr>
        <w:t>2017</w:t>
      </w:r>
      <w:r w:rsidR="003A27C3">
        <w:rPr>
          <w:color w:val="0070C0"/>
          <w:sz w:val="28"/>
          <w:szCs w:val="28"/>
        </w:rPr>
        <w:t xml:space="preserve"> to a SDVOSB concern</w:t>
      </w:r>
      <w:r>
        <w:rPr>
          <w:color w:val="0070C0"/>
          <w:sz w:val="28"/>
          <w:szCs w:val="28"/>
        </w:rPr>
        <w:t xml:space="preserve"> with</w:t>
      </w:r>
      <w:r w:rsidRPr="000F01D4">
        <w:rPr>
          <w:color w:val="0070C0"/>
          <w:sz w:val="28"/>
          <w:szCs w:val="28"/>
        </w:rPr>
        <w:t xml:space="preserve"> base and total options amount of $</w:t>
      </w:r>
      <w:r>
        <w:rPr>
          <w:color w:val="0070C0"/>
          <w:sz w:val="28"/>
          <w:szCs w:val="28"/>
        </w:rPr>
        <w:t xml:space="preserve">537,897.24. </w:t>
      </w:r>
    </w:p>
    <w:p w14:paraId="2D33DA8A" w14:textId="5704D153" w:rsidR="000F01D4" w:rsidRDefault="000F01D4" w:rsidP="000F01D4">
      <w:pPr>
        <w:pStyle w:val="ListParagraph"/>
        <w:rPr>
          <w:color w:val="0070C0"/>
          <w:sz w:val="28"/>
          <w:szCs w:val="28"/>
        </w:rPr>
      </w:pPr>
    </w:p>
    <w:p w14:paraId="16306A1B" w14:textId="73C17A27" w:rsidR="000F01D4" w:rsidRDefault="000F01D4" w:rsidP="000F01D4">
      <w:pPr>
        <w:pStyle w:val="ListParagraph"/>
        <w:numPr>
          <w:ilvl w:val="0"/>
          <w:numId w:val="6"/>
        </w:numPr>
        <w:rPr>
          <w:color w:val="0070C0"/>
          <w:sz w:val="28"/>
          <w:szCs w:val="28"/>
        </w:rPr>
      </w:pPr>
      <w:r>
        <w:rPr>
          <w:color w:val="0070C0"/>
          <w:sz w:val="28"/>
          <w:szCs w:val="28"/>
        </w:rPr>
        <w:t xml:space="preserve">Task Order 36C10E20F0111 for the Montgomery RO was awarded in April 2020 </w:t>
      </w:r>
      <w:r w:rsidR="003A27C3">
        <w:rPr>
          <w:color w:val="0070C0"/>
          <w:sz w:val="28"/>
          <w:szCs w:val="28"/>
        </w:rPr>
        <w:t xml:space="preserve">to a SDVOSB concern </w:t>
      </w:r>
      <w:r>
        <w:rPr>
          <w:color w:val="0070C0"/>
          <w:sz w:val="28"/>
          <w:szCs w:val="28"/>
        </w:rPr>
        <w:t>with a base and total options amount of $</w:t>
      </w:r>
      <w:r w:rsidR="003A27C3">
        <w:rPr>
          <w:color w:val="0070C0"/>
          <w:sz w:val="28"/>
          <w:szCs w:val="28"/>
        </w:rPr>
        <w:t>1.36M.</w:t>
      </w:r>
    </w:p>
    <w:p w14:paraId="0FA822BC" w14:textId="77777777" w:rsidR="003A27C3" w:rsidRPr="003A27C3" w:rsidRDefault="003A27C3" w:rsidP="003A27C3">
      <w:pPr>
        <w:pStyle w:val="ListParagraph"/>
        <w:rPr>
          <w:color w:val="0070C0"/>
          <w:sz w:val="28"/>
          <w:szCs w:val="28"/>
        </w:rPr>
      </w:pPr>
    </w:p>
    <w:p w14:paraId="26B883E1" w14:textId="57CCCA95" w:rsidR="003A27C3" w:rsidRDefault="003A27C3" w:rsidP="000F01D4">
      <w:pPr>
        <w:pStyle w:val="ListParagraph"/>
        <w:numPr>
          <w:ilvl w:val="0"/>
          <w:numId w:val="6"/>
        </w:numPr>
        <w:rPr>
          <w:color w:val="0070C0"/>
          <w:sz w:val="28"/>
          <w:szCs w:val="28"/>
        </w:rPr>
      </w:pPr>
      <w:r>
        <w:rPr>
          <w:color w:val="0070C0"/>
          <w:sz w:val="28"/>
          <w:szCs w:val="28"/>
        </w:rPr>
        <w:lastRenderedPageBreak/>
        <w:t>Task Order 36C10E20F0007 for the Jackson RO was awarded in October 2020 to a SDVOSB concern with a base and total options amount of $1.39M.</w:t>
      </w:r>
    </w:p>
    <w:p w14:paraId="45D743D1" w14:textId="0EA0633D" w:rsidR="003A27C3" w:rsidRPr="003A27C3" w:rsidRDefault="003A27C3" w:rsidP="003A27C3">
      <w:pPr>
        <w:rPr>
          <w:sz w:val="28"/>
          <w:szCs w:val="28"/>
        </w:rPr>
      </w:pPr>
      <w:r w:rsidRPr="003A27C3">
        <w:rPr>
          <w:sz w:val="28"/>
          <w:szCs w:val="28"/>
        </w:rPr>
        <w:t>Analysis</w:t>
      </w:r>
      <w:r>
        <w:rPr>
          <w:sz w:val="28"/>
          <w:szCs w:val="28"/>
        </w:rPr>
        <w:t>:</w:t>
      </w:r>
    </w:p>
    <w:p w14:paraId="7351902A" w14:textId="48BF41F0" w:rsidR="003A27C3" w:rsidRPr="00921BAD" w:rsidRDefault="003A27C3" w:rsidP="00921BAD">
      <w:pPr>
        <w:pStyle w:val="ListParagraph"/>
        <w:numPr>
          <w:ilvl w:val="0"/>
          <w:numId w:val="7"/>
        </w:numPr>
        <w:rPr>
          <w:color w:val="0070C0"/>
          <w:sz w:val="28"/>
          <w:szCs w:val="28"/>
        </w:rPr>
      </w:pPr>
      <w:r w:rsidRPr="00921BAD">
        <w:rPr>
          <w:color w:val="0070C0"/>
          <w:sz w:val="28"/>
          <w:szCs w:val="28"/>
        </w:rPr>
        <w:t xml:space="preserve">Task Order VA101V-17-F-0228 </w:t>
      </w:r>
      <w:r w:rsidR="00C42BCC" w:rsidRPr="00921BAD">
        <w:rPr>
          <w:color w:val="0070C0"/>
          <w:sz w:val="28"/>
          <w:szCs w:val="28"/>
        </w:rPr>
        <w:t>was awarded for $2.66 per square foot per year</w:t>
      </w:r>
      <w:r w:rsidR="00531FDC" w:rsidRPr="00921BAD">
        <w:rPr>
          <w:color w:val="0070C0"/>
          <w:sz w:val="28"/>
          <w:szCs w:val="28"/>
        </w:rPr>
        <w:t xml:space="preserve"> at 45,000 square feet, or $119,700.00.</w:t>
      </w:r>
      <w:r w:rsidR="00921BAD">
        <w:rPr>
          <w:color w:val="0070C0"/>
          <w:sz w:val="28"/>
          <w:szCs w:val="28"/>
        </w:rPr>
        <w:br/>
      </w:r>
    </w:p>
    <w:p w14:paraId="10F5B2E0" w14:textId="6C5161E3" w:rsidR="00C42BCC" w:rsidRPr="00921BAD" w:rsidRDefault="00C42BCC" w:rsidP="00921BAD">
      <w:pPr>
        <w:pStyle w:val="ListParagraph"/>
        <w:numPr>
          <w:ilvl w:val="0"/>
          <w:numId w:val="7"/>
        </w:numPr>
        <w:rPr>
          <w:color w:val="0070C0"/>
          <w:sz w:val="28"/>
          <w:szCs w:val="28"/>
        </w:rPr>
      </w:pPr>
      <w:r w:rsidRPr="00921BAD">
        <w:rPr>
          <w:color w:val="0070C0"/>
          <w:sz w:val="28"/>
          <w:szCs w:val="28"/>
        </w:rPr>
        <w:t>Task Order 36C10E20F0111</w:t>
      </w:r>
      <w:r w:rsidR="00531FDC" w:rsidRPr="00921BAD">
        <w:rPr>
          <w:color w:val="0070C0"/>
          <w:sz w:val="28"/>
          <w:szCs w:val="28"/>
        </w:rPr>
        <w:t xml:space="preserve"> was awarded for $2.72 per square foot per year at 52,242 square feet, or $142,098.00. </w:t>
      </w:r>
      <w:r w:rsidR="00921BAD">
        <w:rPr>
          <w:color w:val="0070C0"/>
          <w:sz w:val="28"/>
          <w:szCs w:val="28"/>
        </w:rPr>
        <w:br/>
      </w:r>
    </w:p>
    <w:p w14:paraId="6F486FA7" w14:textId="0925292B" w:rsidR="00C42BCC" w:rsidRPr="00921BAD" w:rsidRDefault="00C42BCC" w:rsidP="00921BAD">
      <w:pPr>
        <w:pStyle w:val="ListParagraph"/>
        <w:numPr>
          <w:ilvl w:val="0"/>
          <w:numId w:val="7"/>
        </w:numPr>
        <w:rPr>
          <w:color w:val="0070C0"/>
          <w:sz w:val="28"/>
          <w:szCs w:val="28"/>
        </w:rPr>
      </w:pPr>
      <w:r w:rsidRPr="00921BAD">
        <w:rPr>
          <w:color w:val="0070C0"/>
          <w:sz w:val="28"/>
          <w:szCs w:val="28"/>
        </w:rPr>
        <w:t>Task Order 36C10E20F0007</w:t>
      </w:r>
      <w:r w:rsidR="00921BAD" w:rsidRPr="00921BAD">
        <w:rPr>
          <w:color w:val="0070C0"/>
          <w:sz w:val="28"/>
          <w:szCs w:val="28"/>
        </w:rPr>
        <w:t xml:space="preserve"> was awarded for $3.18 per square foot per year at 86,000 square feet or $273,186.96</w:t>
      </w:r>
      <w:r w:rsidR="00921BAD">
        <w:rPr>
          <w:color w:val="0070C0"/>
          <w:sz w:val="28"/>
          <w:szCs w:val="28"/>
        </w:rPr>
        <w:br/>
      </w:r>
    </w:p>
    <w:p w14:paraId="5F860EEA" w14:textId="0CABA9CA" w:rsidR="00C42BCC" w:rsidRDefault="00921BAD" w:rsidP="00921BAD">
      <w:pPr>
        <w:pStyle w:val="ListParagraph"/>
        <w:numPr>
          <w:ilvl w:val="0"/>
          <w:numId w:val="7"/>
        </w:numPr>
        <w:rPr>
          <w:color w:val="0070C0"/>
          <w:sz w:val="28"/>
          <w:szCs w:val="28"/>
        </w:rPr>
      </w:pPr>
      <w:r w:rsidRPr="00921BAD">
        <w:rPr>
          <w:color w:val="0070C0"/>
          <w:sz w:val="28"/>
          <w:szCs w:val="28"/>
        </w:rPr>
        <w:t>The average price per square foot is $2.85 or $128,250 per year for 45,000 square feet at Little Rock RO (350).</w:t>
      </w:r>
    </w:p>
    <w:p w14:paraId="309D5E76" w14:textId="77777777" w:rsidR="00921BAD" w:rsidRDefault="00921BAD" w:rsidP="00921BAD">
      <w:pPr>
        <w:pStyle w:val="ListParagraph"/>
        <w:rPr>
          <w:color w:val="0070C0"/>
          <w:sz w:val="28"/>
          <w:szCs w:val="28"/>
        </w:rPr>
      </w:pPr>
    </w:p>
    <w:p w14:paraId="532F0A9D" w14:textId="442D1E04" w:rsidR="004A2017" w:rsidRDefault="004A2017" w:rsidP="004A2017">
      <w:pPr>
        <w:pStyle w:val="ListParagraph"/>
        <w:numPr>
          <w:ilvl w:val="0"/>
          <w:numId w:val="7"/>
        </w:numPr>
        <w:rPr>
          <w:color w:val="0070C0"/>
          <w:sz w:val="28"/>
          <w:szCs w:val="28"/>
        </w:rPr>
      </w:pPr>
      <w:r w:rsidRPr="004A2017">
        <w:rPr>
          <w:color w:val="0070C0"/>
          <w:sz w:val="28"/>
          <w:szCs w:val="28"/>
        </w:rPr>
        <w:t xml:space="preserve">The CPI for the Services sector in the South Region per the Bureau of Labor Statistics is 3.0 yielding the following five year cost estimate:   </w:t>
      </w:r>
    </w:p>
    <w:p w14:paraId="29206714" w14:textId="77777777" w:rsidR="004A2017" w:rsidRPr="004A2017" w:rsidRDefault="004A2017" w:rsidP="004A2017">
      <w:pPr>
        <w:pStyle w:val="ListParagraph"/>
        <w:rPr>
          <w:color w:val="0070C0"/>
          <w:sz w:val="28"/>
          <w:szCs w:val="28"/>
        </w:rPr>
      </w:pPr>
    </w:p>
    <w:tbl>
      <w:tblPr>
        <w:tblStyle w:val="TableGrid"/>
        <w:tblW w:w="0" w:type="auto"/>
        <w:tblInd w:w="715" w:type="dxa"/>
        <w:tblLook w:val="04A0" w:firstRow="1" w:lastRow="0" w:firstColumn="1" w:lastColumn="0" w:noHBand="0" w:noVBand="1"/>
      </w:tblPr>
      <w:tblGrid>
        <w:gridCol w:w="1710"/>
        <w:gridCol w:w="1710"/>
      </w:tblGrid>
      <w:tr w:rsidR="004A2017" w14:paraId="1AF2FDA7" w14:textId="77777777" w:rsidTr="004A2017">
        <w:tc>
          <w:tcPr>
            <w:tcW w:w="1710" w:type="dxa"/>
          </w:tcPr>
          <w:p w14:paraId="1DC98BC3" w14:textId="77777777" w:rsidR="004A2017" w:rsidRDefault="004A2017" w:rsidP="004A2017">
            <w:pPr>
              <w:rPr>
                <w:color w:val="0070C0"/>
                <w:sz w:val="28"/>
                <w:szCs w:val="28"/>
              </w:rPr>
            </w:pPr>
          </w:p>
        </w:tc>
        <w:tc>
          <w:tcPr>
            <w:tcW w:w="1710" w:type="dxa"/>
          </w:tcPr>
          <w:p w14:paraId="58038ADC" w14:textId="77777777" w:rsidR="004A2017" w:rsidRDefault="004A2017" w:rsidP="004A2017">
            <w:pPr>
              <w:rPr>
                <w:color w:val="0070C0"/>
                <w:sz w:val="28"/>
                <w:szCs w:val="28"/>
              </w:rPr>
            </w:pPr>
          </w:p>
        </w:tc>
      </w:tr>
      <w:tr w:rsidR="004A2017" w14:paraId="6C6EB13F" w14:textId="77777777" w:rsidTr="004A2017">
        <w:tc>
          <w:tcPr>
            <w:tcW w:w="1710" w:type="dxa"/>
          </w:tcPr>
          <w:p w14:paraId="76F9C070" w14:textId="15D41218" w:rsidR="004A2017" w:rsidRDefault="004A2017" w:rsidP="004A2017">
            <w:pPr>
              <w:rPr>
                <w:color w:val="0070C0"/>
                <w:sz w:val="28"/>
                <w:szCs w:val="28"/>
              </w:rPr>
            </w:pPr>
            <w:r>
              <w:rPr>
                <w:color w:val="0070C0"/>
                <w:sz w:val="28"/>
                <w:szCs w:val="28"/>
              </w:rPr>
              <w:t>Base Period</w:t>
            </w:r>
          </w:p>
        </w:tc>
        <w:tc>
          <w:tcPr>
            <w:tcW w:w="1710" w:type="dxa"/>
          </w:tcPr>
          <w:p w14:paraId="6658818B" w14:textId="25E2E283" w:rsidR="004A2017" w:rsidRDefault="004A2017" w:rsidP="004A2017">
            <w:pPr>
              <w:rPr>
                <w:color w:val="0070C0"/>
                <w:sz w:val="28"/>
                <w:szCs w:val="28"/>
              </w:rPr>
            </w:pPr>
            <w:r>
              <w:rPr>
                <w:color w:val="0070C0"/>
                <w:sz w:val="28"/>
                <w:szCs w:val="28"/>
              </w:rPr>
              <w:t>$128,250.00</w:t>
            </w:r>
          </w:p>
        </w:tc>
      </w:tr>
      <w:tr w:rsidR="004A2017" w14:paraId="35E9AAF5" w14:textId="77777777" w:rsidTr="004A2017">
        <w:tc>
          <w:tcPr>
            <w:tcW w:w="1710" w:type="dxa"/>
          </w:tcPr>
          <w:p w14:paraId="6D92B279" w14:textId="068FF0F9" w:rsidR="004A2017" w:rsidRDefault="004A2017" w:rsidP="004A2017">
            <w:pPr>
              <w:rPr>
                <w:color w:val="0070C0"/>
                <w:sz w:val="28"/>
                <w:szCs w:val="28"/>
              </w:rPr>
            </w:pPr>
            <w:r>
              <w:rPr>
                <w:color w:val="0070C0"/>
                <w:sz w:val="28"/>
                <w:szCs w:val="28"/>
              </w:rPr>
              <w:t>Option 1</w:t>
            </w:r>
          </w:p>
        </w:tc>
        <w:tc>
          <w:tcPr>
            <w:tcW w:w="1710" w:type="dxa"/>
          </w:tcPr>
          <w:p w14:paraId="2FD5BE13" w14:textId="4941EBA3" w:rsidR="004A2017" w:rsidRDefault="004A2017" w:rsidP="004A2017">
            <w:pPr>
              <w:rPr>
                <w:color w:val="0070C0"/>
                <w:sz w:val="28"/>
                <w:szCs w:val="28"/>
              </w:rPr>
            </w:pPr>
            <w:r>
              <w:rPr>
                <w:color w:val="0070C0"/>
                <w:sz w:val="28"/>
                <w:szCs w:val="28"/>
              </w:rPr>
              <w:t>$132,097.50</w:t>
            </w:r>
          </w:p>
        </w:tc>
      </w:tr>
      <w:tr w:rsidR="004A2017" w14:paraId="49D2A200" w14:textId="77777777" w:rsidTr="004A2017">
        <w:tc>
          <w:tcPr>
            <w:tcW w:w="1710" w:type="dxa"/>
          </w:tcPr>
          <w:p w14:paraId="60503A7D" w14:textId="1043E47E" w:rsidR="004A2017" w:rsidRDefault="004A2017" w:rsidP="004A2017">
            <w:pPr>
              <w:rPr>
                <w:color w:val="0070C0"/>
                <w:sz w:val="28"/>
                <w:szCs w:val="28"/>
              </w:rPr>
            </w:pPr>
            <w:r>
              <w:rPr>
                <w:color w:val="0070C0"/>
                <w:sz w:val="28"/>
                <w:szCs w:val="28"/>
              </w:rPr>
              <w:t>Option 2</w:t>
            </w:r>
          </w:p>
        </w:tc>
        <w:tc>
          <w:tcPr>
            <w:tcW w:w="1710" w:type="dxa"/>
          </w:tcPr>
          <w:p w14:paraId="00E0C42D" w14:textId="0363DE03" w:rsidR="004A2017" w:rsidRDefault="004A2017" w:rsidP="004A2017">
            <w:pPr>
              <w:rPr>
                <w:color w:val="0070C0"/>
                <w:sz w:val="28"/>
                <w:szCs w:val="28"/>
              </w:rPr>
            </w:pPr>
            <w:r>
              <w:rPr>
                <w:color w:val="0070C0"/>
                <w:sz w:val="28"/>
                <w:szCs w:val="28"/>
              </w:rPr>
              <w:t>$136,060.44</w:t>
            </w:r>
          </w:p>
        </w:tc>
      </w:tr>
      <w:tr w:rsidR="004A2017" w14:paraId="43442298" w14:textId="77777777" w:rsidTr="004A2017">
        <w:tc>
          <w:tcPr>
            <w:tcW w:w="1710" w:type="dxa"/>
          </w:tcPr>
          <w:p w14:paraId="309DC7EC" w14:textId="52D7FB5A" w:rsidR="004A2017" w:rsidRDefault="004A2017" w:rsidP="004A2017">
            <w:pPr>
              <w:rPr>
                <w:color w:val="0070C0"/>
                <w:sz w:val="28"/>
                <w:szCs w:val="28"/>
              </w:rPr>
            </w:pPr>
            <w:r>
              <w:rPr>
                <w:color w:val="0070C0"/>
                <w:sz w:val="28"/>
                <w:szCs w:val="28"/>
              </w:rPr>
              <w:t>Option 3</w:t>
            </w:r>
          </w:p>
        </w:tc>
        <w:tc>
          <w:tcPr>
            <w:tcW w:w="1710" w:type="dxa"/>
          </w:tcPr>
          <w:p w14:paraId="300B7995" w14:textId="0BA6AE61" w:rsidR="004A2017" w:rsidRDefault="004A2017" w:rsidP="004A2017">
            <w:pPr>
              <w:rPr>
                <w:color w:val="0070C0"/>
                <w:sz w:val="28"/>
                <w:szCs w:val="28"/>
              </w:rPr>
            </w:pPr>
            <w:r>
              <w:rPr>
                <w:color w:val="0070C0"/>
                <w:sz w:val="28"/>
                <w:szCs w:val="28"/>
              </w:rPr>
              <w:t>$140,142.24</w:t>
            </w:r>
          </w:p>
        </w:tc>
      </w:tr>
      <w:tr w:rsidR="004A2017" w14:paraId="43BE196E" w14:textId="77777777" w:rsidTr="004A2017">
        <w:tc>
          <w:tcPr>
            <w:tcW w:w="1710" w:type="dxa"/>
          </w:tcPr>
          <w:p w14:paraId="27EFF66A" w14:textId="50E592AB" w:rsidR="004A2017" w:rsidRDefault="004A2017" w:rsidP="004A2017">
            <w:pPr>
              <w:rPr>
                <w:color w:val="0070C0"/>
                <w:sz w:val="28"/>
                <w:szCs w:val="28"/>
              </w:rPr>
            </w:pPr>
            <w:r>
              <w:rPr>
                <w:color w:val="0070C0"/>
                <w:sz w:val="28"/>
                <w:szCs w:val="28"/>
              </w:rPr>
              <w:t>Option 4</w:t>
            </w:r>
          </w:p>
        </w:tc>
        <w:tc>
          <w:tcPr>
            <w:tcW w:w="1710" w:type="dxa"/>
          </w:tcPr>
          <w:p w14:paraId="3BCD0824" w14:textId="370A0E21" w:rsidR="004A2017" w:rsidRDefault="004A2017" w:rsidP="004A2017">
            <w:pPr>
              <w:rPr>
                <w:color w:val="0070C0"/>
                <w:sz w:val="28"/>
                <w:szCs w:val="28"/>
              </w:rPr>
            </w:pPr>
            <w:r>
              <w:rPr>
                <w:color w:val="0070C0"/>
                <w:sz w:val="28"/>
                <w:szCs w:val="28"/>
              </w:rPr>
              <w:t>$144,345.50</w:t>
            </w:r>
          </w:p>
        </w:tc>
      </w:tr>
      <w:tr w:rsidR="004A2017" w14:paraId="39710B75" w14:textId="77777777" w:rsidTr="004A2017">
        <w:tc>
          <w:tcPr>
            <w:tcW w:w="1710" w:type="dxa"/>
          </w:tcPr>
          <w:p w14:paraId="787740DE" w14:textId="59F687FA" w:rsidR="004A2017" w:rsidRDefault="004A2017" w:rsidP="004A2017">
            <w:pPr>
              <w:rPr>
                <w:color w:val="0070C0"/>
                <w:sz w:val="28"/>
                <w:szCs w:val="28"/>
              </w:rPr>
            </w:pPr>
            <w:r>
              <w:rPr>
                <w:color w:val="0070C0"/>
                <w:sz w:val="28"/>
                <w:szCs w:val="28"/>
              </w:rPr>
              <w:t>Grand Total</w:t>
            </w:r>
          </w:p>
        </w:tc>
        <w:tc>
          <w:tcPr>
            <w:tcW w:w="1710" w:type="dxa"/>
          </w:tcPr>
          <w:p w14:paraId="12008813" w14:textId="53AD8DFE" w:rsidR="004A2017" w:rsidRDefault="004A2017" w:rsidP="004A2017">
            <w:pPr>
              <w:rPr>
                <w:color w:val="0070C0"/>
                <w:sz w:val="28"/>
                <w:szCs w:val="28"/>
              </w:rPr>
            </w:pPr>
            <w:r>
              <w:rPr>
                <w:color w:val="0070C0"/>
                <w:sz w:val="28"/>
                <w:szCs w:val="28"/>
              </w:rPr>
              <w:t>$680,895.68</w:t>
            </w:r>
          </w:p>
        </w:tc>
      </w:tr>
    </w:tbl>
    <w:p w14:paraId="43D0202D" w14:textId="39925540" w:rsidR="00727412" w:rsidRDefault="00727412" w:rsidP="00846196">
      <w:pPr>
        <w:rPr>
          <w:color w:val="4472C4" w:themeColor="accent1"/>
          <w:sz w:val="28"/>
          <w:szCs w:val="28"/>
        </w:rPr>
      </w:pPr>
    </w:p>
    <w:p w14:paraId="713765CB" w14:textId="2376476A" w:rsidR="007E194F" w:rsidRPr="007E194F" w:rsidRDefault="003D102A" w:rsidP="00846196">
      <w:pPr>
        <w:rPr>
          <w:sz w:val="28"/>
          <w:szCs w:val="28"/>
        </w:rPr>
      </w:pPr>
      <w:r>
        <w:rPr>
          <w:color w:val="4472C4" w:themeColor="accent1"/>
          <w:sz w:val="28"/>
          <w:szCs w:val="28"/>
        </w:rPr>
        <w:t xml:space="preserve"> </w:t>
      </w:r>
    </w:p>
    <w:p w14:paraId="59735335" w14:textId="77777777" w:rsidR="007E194F" w:rsidRPr="00846196" w:rsidRDefault="007E194F" w:rsidP="00846196">
      <w:pPr>
        <w:rPr>
          <w:sz w:val="28"/>
          <w:szCs w:val="28"/>
          <w:u w:val="single"/>
        </w:rPr>
      </w:pPr>
    </w:p>
    <w:sectPr w:rsidR="007E194F" w:rsidRPr="00846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0D64"/>
    <w:multiLevelType w:val="hybridMultilevel"/>
    <w:tmpl w:val="D25EDCA6"/>
    <w:lvl w:ilvl="0" w:tplc="344A527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54926"/>
    <w:multiLevelType w:val="hybridMultilevel"/>
    <w:tmpl w:val="E1ECB9AE"/>
    <w:lvl w:ilvl="0" w:tplc="344A527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23747"/>
    <w:multiLevelType w:val="hybridMultilevel"/>
    <w:tmpl w:val="C240C962"/>
    <w:lvl w:ilvl="0" w:tplc="344A527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B6287"/>
    <w:multiLevelType w:val="hybridMultilevel"/>
    <w:tmpl w:val="591A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25D5F"/>
    <w:multiLevelType w:val="hybridMultilevel"/>
    <w:tmpl w:val="208CD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74322"/>
    <w:multiLevelType w:val="hybridMultilevel"/>
    <w:tmpl w:val="C0A04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A134F"/>
    <w:multiLevelType w:val="hybridMultilevel"/>
    <w:tmpl w:val="EA7EA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76615">
    <w:abstractNumId w:val="6"/>
  </w:num>
  <w:num w:numId="2" w16cid:durableId="507404188">
    <w:abstractNumId w:val="0"/>
  </w:num>
  <w:num w:numId="3" w16cid:durableId="1052927981">
    <w:abstractNumId w:val="1"/>
  </w:num>
  <w:num w:numId="4" w16cid:durableId="632371108">
    <w:abstractNumId w:val="2"/>
  </w:num>
  <w:num w:numId="5" w16cid:durableId="1283803127">
    <w:abstractNumId w:val="4"/>
  </w:num>
  <w:num w:numId="6" w16cid:durableId="388967119">
    <w:abstractNumId w:val="3"/>
  </w:num>
  <w:num w:numId="7" w16cid:durableId="814031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96"/>
    <w:rsid w:val="000F01D4"/>
    <w:rsid w:val="00372A22"/>
    <w:rsid w:val="003A27C3"/>
    <w:rsid w:val="003D102A"/>
    <w:rsid w:val="003E5F1F"/>
    <w:rsid w:val="004A2017"/>
    <w:rsid w:val="004B131E"/>
    <w:rsid w:val="00531FDC"/>
    <w:rsid w:val="00576D44"/>
    <w:rsid w:val="0060743A"/>
    <w:rsid w:val="00626504"/>
    <w:rsid w:val="00641E31"/>
    <w:rsid w:val="00727412"/>
    <w:rsid w:val="007C2AC0"/>
    <w:rsid w:val="007E194F"/>
    <w:rsid w:val="00846196"/>
    <w:rsid w:val="00921BAD"/>
    <w:rsid w:val="0093755C"/>
    <w:rsid w:val="00C42BCC"/>
    <w:rsid w:val="00ED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4A2C"/>
  <w15:chartTrackingRefBased/>
  <w15:docId w15:val="{1FD09829-0B79-4645-A82A-FF492810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196"/>
    <w:pPr>
      <w:ind w:left="720"/>
      <w:contextualSpacing/>
    </w:pPr>
  </w:style>
  <w:style w:type="table" w:styleId="TableGrid">
    <w:name w:val="Table Grid"/>
    <w:basedOn w:val="TableNormal"/>
    <w:uiPriority w:val="39"/>
    <w:rsid w:val="004A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fcc1066-7617-430f-87da-36ec5277ba9a">
      <Terms xmlns="http://schemas.microsoft.com/office/infopath/2007/PartnerControls"/>
    </lcf76f155ced4ddcb4097134ff3c332f>
    <_ip_UnifiedCompliancePolicyProperties xmlns="http://schemas.microsoft.com/sharepoint/v3" xsi:nil="true"/>
    <TaxCatchAll xmlns="7a5d2e61-0f4a-4a33-a7a3-f4380a5143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13E0AFC1286842879324C37D484CA1" ma:contentTypeVersion="18" ma:contentTypeDescription="Create a new document." ma:contentTypeScope="" ma:versionID="e3b4b1b62cc3d6452c07c3f5e9d6401b">
  <xsd:schema xmlns:xsd="http://www.w3.org/2001/XMLSchema" xmlns:xs="http://www.w3.org/2001/XMLSchema" xmlns:p="http://schemas.microsoft.com/office/2006/metadata/properties" xmlns:ns1="http://schemas.microsoft.com/sharepoint/v3" xmlns:ns2="9fcc1066-7617-430f-87da-36ec5277ba9a" xmlns:ns3="7a5d2e61-0f4a-4a33-a7a3-f4380a5143b1" targetNamespace="http://schemas.microsoft.com/office/2006/metadata/properties" ma:root="true" ma:fieldsID="2328c53e437aa08aa8273148ae0b07ac" ns1:_="" ns2:_="" ns3:_="">
    <xsd:import namespace="http://schemas.microsoft.com/sharepoint/v3"/>
    <xsd:import namespace="9fcc1066-7617-430f-87da-36ec5277ba9a"/>
    <xsd:import namespace="7a5d2e61-0f4a-4a33-a7a3-f4380a5143b1"/>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c1066-7617-430f-87da-36ec5277b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d2e61-0f4a-4a33-a7a3-f4380a5143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2fedcc-037b-4e57-b853-c849bb88c302}" ma:internalName="TaxCatchAll" ma:showField="CatchAllData" ma:web="7a5d2e61-0f4a-4a33-a7a3-f4380a514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72F4C-12FA-4CB5-8DE9-064A0175C3DE}">
  <ds:schemaRefs>
    <ds:schemaRef ds:uri="http://schemas.microsoft.com/office/2006/metadata/properties"/>
    <ds:schemaRef ds:uri="http://schemas.microsoft.com/office/infopath/2007/PartnerControls"/>
    <ds:schemaRef ds:uri="http://schemas.microsoft.com/sharepoint/v3"/>
    <ds:schemaRef ds:uri="9fcc1066-7617-430f-87da-36ec5277ba9a"/>
    <ds:schemaRef ds:uri="7a5d2e61-0f4a-4a33-a7a3-f4380a5143b1"/>
  </ds:schemaRefs>
</ds:datastoreItem>
</file>

<file path=customXml/itemProps2.xml><?xml version="1.0" encoding="utf-8"?>
<ds:datastoreItem xmlns:ds="http://schemas.openxmlformats.org/officeDocument/2006/customXml" ds:itemID="{D00796A4-F80D-423E-964B-0BCAE9BCD0E2}">
  <ds:schemaRefs>
    <ds:schemaRef ds:uri="http://schemas.microsoft.com/sharepoint/v3/contenttype/forms"/>
  </ds:schemaRefs>
</ds:datastoreItem>
</file>

<file path=customXml/itemProps3.xml><?xml version="1.0" encoding="utf-8"?>
<ds:datastoreItem xmlns:ds="http://schemas.openxmlformats.org/officeDocument/2006/customXml" ds:itemID="{B8C19D57-5670-4E01-97F4-D40545560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cc1066-7617-430f-87da-36ec5277ba9a"/>
    <ds:schemaRef ds:uri="7a5d2e61-0f4a-4a33-a7a3-f4380a514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55524-D67A-4870-AD64-81C1D092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VBA OMS Acquisitions Handout</vt:lpstr>
    </vt:vector>
  </TitlesOfParts>
  <Company>Veterans Benefits Administration</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VBA OMS Acquisitions Handout</dc:title>
  <dc:subject/>
  <dc:creator>Department of Veterans Affairs, Veterans Benefits Administration, STAFF</dc:creator>
  <cp:keywords/>
  <dc:description/>
  <cp:lastModifiedBy>Kathy Poole</cp:lastModifiedBy>
  <cp:revision>4</cp:revision>
  <dcterms:created xsi:type="dcterms:W3CDTF">2024-05-02T13:00:00Z</dcterms:created>
  <dcterms:modified xsi:type="dcterms:W3CDTF">2024-05-10T14:03:00Z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0x0101001B13E0AFC1286842879324C37D484CA1</vt:lpwstr>
  </property>
  <property fmtid="{D5CDD505-2E9C-101B-9397-08002B2CF9AE}" pid="3"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4" name="_dlc_policyId">
    <vt:lpwstr>0x010100BFA0006F7AD5D746B298D891BD9B5B40|-1554823660</vt:lpwstr>
  </property>
  <property fmtid="{D5CDD505-2E9C-101B-9397-08002B2CF9AE}" pid="5" name="MediaServiceImageTags">
    <vt:lpwstr/>
  </property>
  <property fmtid="{D5CDD505-2E9C-101B-9397-08002B2CF9AE}" pid="6" name="Language">
    <vt:lpwstr>en</vt:lpwstr>
  </property>
  <property fmtid="{D5CDD505-2E9C-101B-9397-08002B2CF9AE}" pid="7" name="Type">
    <vt:lpwstr>Guide</vt:lpwstr>
  </property>
</Properties>
</file>