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756BB" w14:textId="2F3D8877" w:rsidR="00D2121D" w:rsidRPr="005B4B76" w:rsidRDefault="005B4B76" w:rsidP="005B4B76">
      <w:pPr>
        <w:jc w:val="center"/>
        <w:rPr>
          <w:b/>
          <w:bCs/>
          <w:sz w:val="32"/>
          <w:szCs w:val="32"/>
        </w:rPr>
      </w:pPr>
      <w:r w:rsidRPr="005B4B76">
        <w:rPr>
          <w:b/>
          <w:bCs/>
          <w:sz w:val="32"/>
          <w:szCs w:val="32"/>
        </w:rPr>
        <w:t>VA Travel Checklist</w:t>
      </w:r>
    </w:p>
    <w:p w14:paraId="66A91C2A" w14:textId="4745FF8C" w:rsidR="005B4B76" w:rsidRPr="005B4B76" w:rsidRDefault="001A63D1" w:rsidP="005B4B7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OFM </w:t>
      </w:r>
      <w:r w:rsidR="005B4B76" w:rsidRPr="005B4B76">
        <w:rPr>
          <w:b/>
          <w:bCs/>
          <w:sz w:val="32"/>
          <w:szCs w:val="32"/>
        </w:rPr>
        <w:t>Improper Payments and Internal Controls (IPIC) Team</w:t>
      </w:r>
    </w:p>
    <w:p w14:paraId="6693BC9F" w14:textId="77777777" w:rsidR="002C287C" w:rsidRDefault="002C287C"/>
    <w:p w14:paraId="10148A10" w14:textId="6B659A83" w:rsidR="00D2121D" w:rsidRDefault="00D2121D" w:rsidP="00D2121D">
      <w:r>
        <w:t xml:space="preserve">All </w:t>
      </w:r>
      <w:r w:rsidR="00B35961">
        <w:t>VBA personnel (regardless of</w:t>
      </w:r>
      <w:r w:rsidR="000F296D">
        <w:t xml:space="preserve"> </w:t>
      </w:r>
      <w:r w:rsidR="00B35961">
        <w:t>pay grade, title, position</w:t>
      </w:r>
      <w:r w:rsidR="000F296D">
        <w:t>, who you know, and how it was done before)</w:t>
      </w:r>
      <w:r>
        <w:t xml:space="preserve"> are responsible for follow</w:t>
      </w:r>
      <w:r w:rsidR="000F296D">
        <w:t>ing</w:t>
      </w:r>
      <w:r>
        <w:t xml:space="preserve"> </w:t>
      </w:r>
      <w:r w:rsidR="00DB03A4">
        <w:t xml:space="preserve">all </w:t>
      </w:r>
      <w:r>
        <w:t xml:space="preserve">VA travel policy and Federal Travel Regulations for official travel. </w:t>
      </w:r>
    </w:p>
    <w:p w14:paraId="5B21E35C" w14:textId="5C33E4B6" w:rsidR="00D2121D" w:rsidRDefault="00D2121D" w:rsidP="00D2121D"/>
    <w:p w14:paraId="4DD9FA1A" w14:textId="7B15CCC4" w:rsidR="00D2121D" w:rsidRPr="00143921" w:rsidRDefault="001C0AA4" w:rsidP="00D2121D">
      <w:pPr>
        <w:rPr>
          <w:b/>
          <w:bCs/>
        </w:rPr>
      </w:pPr>
      <w:r>
        <w:rPr>
          <w:b/>
          <w:bCs/>
        </w:rPr>
        <w:t xml:space="preserve">Talent Management System (TMS) </w:t>
      </w:r>
      <w:r w:rsidR="00143921" w:rsidRPr="00143921">
        <w:rPr>
          <w:b/>
          <w:bCs/>
        </w:rPr>
        <w:t>Training</w:t>
      </w:r>
    </w:p>
    <w:p w14:paraId="560F5BB8" w14:textId="2E72F787" w:rsidR="001C0AA4" w:rsidRDefault="00106810" w:rsidP="001C0AA4">
      <w:pPr>
        <w:pStyle w:val="ListParagraph"/>
        <w:numPr>
          <w:ilvl w:val="0"/>
          <w:numId w:val="3"/>
        </w:numPr>
      </w:pPr>
      <w:r>
        <w:t>For t</w:t>
      </w:r>
      <w:r w:rsidR="001C0AA4">
        <w:t>ravelers</w:t>
      </w:r>
      <w:r>
        <w:t>:</w:t>
      </w:r>
      <w:r w:rsidR="001C0AA4">
        <w:t xml:space="preserve"> complete </w:t>
      </w:r>
      <w:r w:rsidR="005C4D55">
        <w:t xml:space="preserve">a one-time </w:t>
      </w:r>
      <w:r w:rsidR="001C0AA4">
        <w:t>Basic Travel Authorization and Travel Claim (VA 2052511)</w:t>
      </w:r>
      <w:r w:rsidR="005C4D55">
        <w:t xml:space="preserve"> in TMS</w:t>
      </w:r>
      <w:r w:rsidR="001C0AA4">
        <w:t>.</w:t>
      </w:r>
    </w:p>
    <w:p w14:paraId="5240F4D6" w14:textId="31A807A0" w:rsidR="001C0AA4" w:rsidRDefault="00106810" w:rsidP="005C4D55">
      <w:pPr>
        <w:pStyle w:val="ListParagraph"/>
        <w:numPr>
          <w:ilvl w:val="0"/>
          <w:numId w:val="3"/>
        </w:numPr>
      </w:pPr>
      <w:r>
        <w:t xml:space="preserve">For </w:t>
      </w:r>
      <w:r w:rsidR="005C4D55">
        <w:t xml:space="preserve">CONCUR travel certifiers, reviewers, and approvers: </w:t>
      </w:r>
      <w:r w:rsidR="001C0AA4">
        <w:t>complete Travel Policy Services: Accountable Officials (VA 3867465</w:t>
      </w:r>
      <w:r w:rsidR="005C4D55">
        <w:t xml:space="preserve">) in TMS every two years. </w:t>
      </w:r>
    </w:p>
    <w:p w14:paraId="1BA3351E" w14:textId="46041551" w:rsidR="005C4D55" w:rsidRDefault="005C4D55" w:rsidP="00AF5751">
      <w:pPr>
        <w:pStyle w:val="ListParagraph"/>
        <w:numPr>
          <w:ilvl w:val="0"/>
          <w:numId w:val="3"/>
        </w:numPr>
      </w:pPr>
      <w:r>
        <w:t xml:space="preserve">Agency/Organization Program Coordinators (A/OPCs): complete the GSA </w:t>
      </w:r>
      <w:proofErr w:type="spellStart"/>
      <w:r>
        <w:t>SmartPay</w:t>
      </w:r>
      <w:proofErr w:type="spellEnd"/>
      <w:r>
        <w:t xml:space="preserve"> A/OPC training every two years. Note: You take the training in </w:t>
      </w:r>
      <w:proofErr w:type="gramStart"/>
      <w:r>
        <w:t xml:space="preserve">GSA </w:t>
      </w:r>
      <w:proofErr w:type="spellStart"/>
      <w:r>
        <w:t>SmartPay</w:t>
      </w:r>
      <w:proofErr w:type="spellEnd"/>
      <w:r>
        <w:t>, and</w:t>
      </w:r>
      <w:proofErr w:type="gramEnd"/>
      <w:r>
        <w:t xml:space="preserve"> self-certify in TMS (</w:t>
      </w:r>
      <w:r w:rsidR="00DB03A4">
        <w:t xml:space="preserve">TMS course ID: </w:t>
      </w:r>
      <w:r>
        <w:t xml:space="preserve">GSA </w:t>
      </w:r>
      <w:proofErr w:type="spellStart"/>
      <w:r>
        <w:t>SmartPay</w:t>
      </w:r>
      <w:proofErr w:type="spellEnd"/>
      <w:r>
        <w:t xml:space="preserve"> Travel Card Training for A/OPC, OFED 3946996).  </w:t>
      </w:r>
    </w:p>
    <w:p w14:paraId="16B71B06" w14:textId="14ECD274" w:rsidR="00AF5751" w:rsidRDefault="00106810" w:rsidP="00AF5751">
      <w:pPr>
        <w:pStyle w:val="ListParagraph"/>
        <w:numPr>
          <w:ilvl w:val="0"/>
          <w:numId w:val="3"/>
        </w:numPr>
      </w:pPr>
      <w:r>
        <w:t>For t</w:t>
      </w:r>
      <w:r w:rsidR="001C0AA4">
        <w:t>ravel cardholders</w:t>
      </w:r>
      <w:r>
        <w:t>:</w:t>
      </w:r>
      <w:r w:rsidR="001C0AA4">
        <w:t xml:space="preserve"> c</w:t>
      </w:r>
      <w:r w:rsidR="00D2121D">
        <w:t xml:space="preserve">omplete </w:t>
      </w:r>
      <w:r w:rsidR="00AF5751">
        <w:t xml:space="preserve">VA Online Travel Card Training (VA 5508) </w:t>
      </w:r>
      <w:r w:rsidR="001C0AA4">
        <w:t>in TMS</w:t>
      </w:r>
      <w:r w:rsidR="005C4D55">
        <w:t xml:space="preserve"> every three years.</w:t>
      </w:r>
    </w:p>
    <w:p w14:paraId="2CAE672B" w14:textId="77777777" w:rsidR="00D2121D" w:rsidRDefault="00D2121D" w:rsidP="00D2121D"/>
    <w:p w14:paraId="5BA24734" w14:textId="16C5069D" w:rsidR="00D2121D" w:rsidRPr="00143921" w:rsidRDefault="00143921" w:rsidP="00143921">
      <w:pPr>
        <w:rPr>
          <w:b/>
          <w:bCs/>
        </w:rPr>
      </w:pPr>
      <w:r w:rsidRPr="00143921">
        <w:rPr>
          <w:b/>
          <w:bCs/>
        </w:rPr>
        <w:t>Travel Authorization</w:t>
      </w:r>
    </w:p>
    <w:p w14:paraId="3EDE0BBA" w14:textId="010C7CA2" w:rsidR="00143921" w:rsidRDefault="00143921" w:rsidP="00F6641B">
      <w:pPr>
        <w:pStyle w:val="ListParagraph"/>
        <w:numPr>
          <w:ilvl w:val="0"/>
          <w:numId w:val="4"/>
        </w:numPr>
      </w:pPr>
      <w:r>
        <w:t xml:space="preserve">Obtain permission to travel in advance of submitting a travel authorization. </w:t>
      </w:r>
    </w:p>
    <w:p w14:paraId="57160F8B" w14:textId="2FEDA6AB" w:rsidR="00D1112A" w:rsidRDefault="00D1112A" w:rsidP="00D1112A">
      <w:pPr>
        <w:pStyle w:val="ListParagraph"/>
        <w:numPr>
          <w:ilvl w:val="1"/>
          <w:numId w:val="4"/>
        </w:numPr>
      </w:pPr>
      <w:r>
        <w:t xml:space="preserve">Example: Email or travel letter from supervisor, leadership program manager, or other leader giving you permission to travel. </w:t>
      </w:r>
    </w:p>
    <w:p w14:paraId="7BA38428" w14:textId="7F9ACFEA" w:rsidR="00D2121D" w:rsidRDefault="00143921" w:rsidP="00F6641B">
      <w:pPr>
        <w:pStyle w:val="ListParagraph"/>
        <w:numPr>
          <w:ilvl w:val="0"/>
          <w:numId w:val="4"/>
        </w:numPr>
      </w:pPr>
      <w:r>
        <w:t>Upload e</w:t>
      </w:r>
      <w:r w:rsidR="00D2121D">
        <w:t xml:space="preserve">vidence of </w:t>
      </w:r>
      <w:r>
        <w:t>a</w:t>
      </w:r>
      <w:r w:rsidR="00D2121D">
        <w:t>pproval</w:t>
      </w:r>
      <w:r>
        <w:t xml:space="preserve"> to travel </w:t>
      </w:r>
      <w:r w:rsidR="00D2121D">
        <w:t>in VA’s travel system</w:t>
      </w:r>
      <w:r w:rsidR="009A747F">
        <w:t xml:space="preserve">, </w:t>
      </w:r>
      <w:r w:rsidR="002970E0">
        <w:t>CONCUR</w:t>
      </w:r>
      <w:r w:rsidR="009A747F">
        <w:t>,</w:t>
      </w:r>
      <w:r w:rsidR="00D2121D">
        <w:t xml:space="preserve"> when </w:t>
      </w:r>
      <w:r w:rsidR="002970E0">
        <w:t>creating the</w:t>
      </w:r>
      <w:r w:rsidR="00D2121D">
        <w:t xml:space="preserve"> travel authorization</w:t>
      </w:r>
      <w:r>
        <w:t>.</w:t>
      </w:r>
    </w:p>
    <w:p w14:paraId="14918A1D" w14:textId="740CBCBC" w:rsidR="00D2121D" w:rsidRDefault="00D2121D"/>
    <w:p w14:paraId="27B176A1" w14:textId="0AEF58EE" w:rsidR="00D2121D" w:rsidRPr="00D2121D" w:rsidRDefault="00D2121D">
      <w:pPr>
        <w:rPr>
          <w:b/>
          <w:bCs/>
        </w:rPr>
      </w:pPr>
      <w:r w:rsidRPr="00D2121D">
        <w:rPr>
          <w:b/>
          <w:bCs/>
        </w:rPr>
        <w:t xml:space="preserve">VA Travel Charge Card </w:t>
      </w:r>
    </w:p>
    <w:p w14:paraId="1B15CE21" w14:textId="67C4863E" w:rsidR="00CF100A" w:rsidRDefault="00B35961" w:rsidP="00F6641B">
      <w:pPr>
        <w:pStyle w:val="ListParagraph"/>
        <w:numPr>
          <w:ilvl w:val="0"/>
          <w:numId w:val="5"/>
        </w:numPr>
      </w:pPr>
      <w:r>
        <w:t>A</w:t>
      </w:r>
      <w:r w:rsidR="00D2121D">
        <w:t xml:space="preserve">ll VA employees must </w:t>
      </w:r>
      <w:r w:rsidR="002970E0">
        <w:t xml:space="preserve">apply for, receive, and </w:t>
      </w:r>
      <w:r w:rsidR="00D2121D">
        <w:t xml:space="preserve">activate the </w:t>
      </w:r>
      <w:r w:rsidR="006828CB">
        <w:t>USBank</w:t>
      </w:r>
      <w:r w:rsidR="002970E0">
        <w:t xml:space="preserve"> government issued </w:t>
      </w:r>
      <w:r w:rsidR="00D2121D">
        <w:t>travel charge card</w:t>
      </w:r>
      <w:r w:rsidR="002970E0">
        <w:t>, known as an Individually Billed Account (IBA),</w:t>
      </w:r>
      <w:r w:rsidR="00D2121D">
        <w:t xml:space="preserve"> within 60 days of receipt. </w:t>
      </w:r>
    </w:p>
    <w:p w14:paraId="5915339C" w14:textId="2BE6A450" w:rsidR="000F296D" w:rsidRDefault="000F296D" w:rsidP="00F6641B">
      <w:pPr>
        <w:pStyle w:val="ListParagraph"/>
        <w:numPr>
          <w:ilvl w:val="0"/>
          <w:numId w:val="5"/>
        </w:numPr>
      </w:pPr>
      <w:r>
        <w:t>N</w:t>
      </w:r>
      <w:r w:rsidRPr="000F296D">
        <w:t>otify the A/OPC once the card is activated so the A/OPC can complete items on their end</w:t>
      </w:r>
      <w:r>
        <w:t>.</w:t>
      </w:r>
    </w:p>
    <w:p w14:paraId="657164C7" w14:textId="3C1156B3" w:rsidR="00D2121D" w:rsidRDefault="00D2121D" w:rsidP="00F6641B">
      <w:pPr>
        <w:pStyle w:val="ListParagraph"/>
        <w:numPr>
          <w:ilvl w:val="0"/>
          <w:numId w:val="5"/>
        </w:numPr>
      </w:pPr>
      <w:r>
        <w:t xml:space="preserve">Any employee who has an IBA must use </w:t>
      </w:r>
      <w:r w:rsidR="002970E0">
        <w:t>it</w:t>
      </w:r>
      <w:r>
        <w:t xml:space="preserve"> to pay for all official travel expenses</w:t>
      </w:r>
      <w:r w:rsidR="002970E0">
        <w:t>.</w:t>
      </w:r>
    </w:p>
    <w:p w14:paraId="4A03F25B" w14:textId="2BC6C92D" w:rsidR="00D2121D" w:rsidRDefault="00D2121D" w:rsidP="00F6641B">
      <w:pPr>
        <w:pStyle w:val="ListParagraph"/>
        <w:numPr>
          <w:ilvl w:val="0"/>
          <w:numId w:val="5"/>
        </w:numPr>
      </w:pPr>
      <w:r>
        <w:t xml:space="preserve">Only appropriate uses of the IBA will be acceptable while on official travel. </w:t>
      </w:r>
    </w:p>
    <w:p w14:paraId="54CB6F52" w14:textId="6F21D9AB" w:rsidR="00D2121D" w:rsidRDefault="00D2121D"/>
    <w:p w14:paraId="00A87391" w14:textId="45ED64B2" w:rsidR="00D2121D" w:rsidRPr="00D2121D" w:rsidRDefault="00D2121D">
      <w:pPr>
        <w:rPr>
          <w:b/>
          <w:bCs/>
        </w:rPr>
      </w:pPr>
      <w:r w:rsidRPr="00D2121D">
        <w:rPr>
          <w:b/>
          <w:bCs/>
        </w:rPr>
        <w:t>Submission of Expenses</w:t>
      </w:r>
    </w:p>
    <w:p w14:paraId="6AB56428" w14:textId="149314BF" w:rsidR="0032169E" w:rsidRDefault="0032169E" w:rsidP="002C287C">
      <w:pPr>
        <w:pStyle w:val="ListParagraph"/>
        <w:numPr>
          <w:ilvl w:val="0"/>
          <w:numId w:val="6"/>
        </w:numPr>
      </w:pPr>
      <w:r>
        <w:t>Itemized receipts are required for a meal when the total cost, including tax and tip, is greater than $75.</w:t>
      </w:r>
    </w:p>
    <w:p w14:paraId="698F9450" w14:textId="1C42C067" w:rsidR="00D1112A" w:rsidRDefault="00D1112A" w:rsidP="002C287C">
      <w:pPr>
        <w:pStyle w:val="ListParagraph"/>
        <w:numPr>
          <w:ilvl w:val="0"/>
          <w:numId w:val="6"/>
        </w:numPr>
      </w:pPr>
      <w:r>
        <w:t xml:space="preserve">The </w:t>
      </w:r>
      <w:r w:rsidR="002970E0">
        <w:t xml:space="preserve">IBA </w:t>
      </w:r>
      <w:r>
        <w:t>travel card cannot be used to purchase alcoholic beverages.</w:t>
      </w:r>
    </w:p>
    <w:p w14:paraId="076D173C" w14:textId="21BE9DCA" w:rsidR="002970E0" w:rsidRDefault="002C287C" w:rsidP="009A747F">
      <w:pPr>
        <w:pStyle w:val="ListParagraph"/>
        <w:numPr>
          <w:ilvl w:val="0"/>
          <w:numId w:val="6"/>
        </w:numPr>
      </w:pPr>
      <w:r>
        <w:t xml:space="preserve">Cardholders must ensure the total outstanding authorized reimbursable charges made to the IBA travel card are designated for split disbursement on the travel </w:t>
      </w:r>
      <w:r w:rsidR="002970E0">
        <w:t>vouchers</w:t>
      </w:r>
      <w:r>
        <w:t xml:space="preserve">. </w:t>
      </w:r>
      <w:r w:rsidR="002970E0">
        <w:t>Here are 3 Pro Tips for split disbursement on travel vouchers</w:t>
      </w:r>
      <w:r w:rsidR="00341E76">
        <w:t xml:space="preserve"> as well as an example</w:t>
      </w:r>
      <w:r w:rsidR="002970E0">
        <w:t>.</w:t>
      </w:r>
    </w:p>
    <w:p w14:paraId="484C9D6D" w14:textId="03CEBFDF" w:rsidR="002970E0" w:rsidRDefault="002970E0" w:rsidP="002970E0"/>
    <w:p w14:paraId="2DA389BB" w14:textId="75E79BDA" w:rsidR="009A747F" w:rsidRDefault="009A747F" w:rsidP="002970E0"/>
    <w:p w14:paraId="515300FE" w14:textId="7859E16B" w:rsidR="009A747F" w:rsidRDefault="009A747F" w:rsidP="002970E0"/>
    <w:p w14:paraId="2B29BB36" w14:textId="7AFFCB79" w:rsidR="009A747F" w:rsidRDefault="009A747F" w:rsidP="002970E0"/>
    <w:p w14:paraId="422DDE63" w14:textId="74B95880" w:rsidR="009A747F" w:rsidRDefault="009A747F" w:rsidP="002970E0"/>
    <w:p w14:paraId="05850CDB" w14:textId="5C4AE5D4" w:rsidR="009A747F" w:rsidRDefault="009A747F" w:rsidP="002970E0"/>
    <w:p w14:paraId="405FDFAA" w14:textId="39145AF2" w:rsidR="009A747F" w:rsidRDefault="009A747F" w:rsidP="002970E0"/>
    <w:p w14:paraId="5CF1B5C0" w14:textId="3FD67DA9" w:rsidR="009A747F" w:rsidRDefault="009A747F" w:rsidP="002970E0"/>
    <w:p w14:paraId="229FA05A" w14:textId="60D75C02" w:rsidR="009A747F" w:rsidRDefault="009A747F" w:rsidP="002970E0"/>
    <w:p w14:paraId="40F1A539" w14:textId="115C5626" w:rsidR="009A747F" w:rsidRDefault="009A747F" w:rsidP="002970E0"/>
    <w:p w14:paraId="1E61AC80" w14:textId="242362EC" w:rsidR="009A747F" w:rsidRDefault="009A747F" w:rsidP="002970E0"/>
    <w:p w14:paraId="7C96C8F4" w14:textId="3FA834F2" w:rsidR="009A747F" w:rsidRDefault="009A747F" w:rsidP="002970E0"/>
    <w:p w14:paraId="33040EF1" w14:textId="77777777" w:rsidR="009A747F" w:rsidRDefault="009A747F" w:rsidP="002970E0"/>
    <w:p w14:paraId="7823A735" w14:textId="47E0F2A0" w:rsidR="007505F8" w:rsidRPr="00341E76" w:rsidRDefault="002970E0" w:rsidP="007505F8">
      <w:pPr>
        <w:jc w:val="center"/>
        <w:rPr>
          <w:u w:val="single"/>
        </w:rPr>
      </w:pPr>
      <w:r w:rsidRPr="00341E76">
        <w:rPr>
          <w:u w:val="single"/>
        </w:rPr>
        <w:lastRenderedPageBreak/>
        <w:t xml:space="preserve">Pro Tip #1: Check Your </w:t>
      </w:r>
      <w:r w:rsidR="006828CB" w:rsidRPr="00341E76">
        <w:rPr>
          <w:u w:val="single"/>
        </w:rPr>
        <w:t>USBank</w:t>
      </w:r>
      <w:r w:rsidRPr="00341E76">
        <w:rPr>
          <w:u w:val="single"/>
        </w:rPr>
        <w:t xml:space="preserve"> Statement. Add up all your IBA expenses.</w:t>
      </w:r>
      <w:r w:rsidR="007505F8" w:rsidRPr="00341E76">
        <w:rPr>
          <w:u w:val="single"/>
        </w:rPr>
        <w:t xml:space="preserve"> </w:t>
      </w:r>
    </w:p>
    <w:p w14:paraId="4B45032C" w14:textId="1A3901E3" w:rsidR="007505F8" w:rsidRDefault="007505F8" w:rsidP="007505F8">
      <w:pPr>
        <w:jc w:val="center"/>
      </w:pPr>
      <w:r>
        <w:t xml:space="preserve">Note: My last travel was a few months ago, so I had to take a photo of the statement to show the balance. </w:t>
      </w:r>
    </w:p>
    <w:p w14:paraId="64985F63" w14:textId="0148E618" w:rsidR="002970E0" w:rsidRDefault="007505F8" w:rsidP="007505F8">
      <w:pPr>
        <w:jc w:val="center"/>
      </w:pPr>
      <w:r>
        <w:t xml:space="preserve">However, at the time of your travel, you’ll be able to see the itemized charges in </w:t>
      </w:r>
      <w:r w:rsidR="006828CB">
        <w:t>USBank</w:t>
      </w:r>
      <w:r>
        <w:t xml:space="preserve">. </w:t>
      </w:r>
    </w:p>
    <w:p w14:paraId="3DAD372B" w14:textId="77777777" w:rsidR="009A747F" w:rsidRDefault="009A747F" w:rsidP="007505F8">
      <w:pPr>
        <w:jc w:val="center"/>
      </w:pPr>
    </w:p>
    <w:p w14:paraId="4E252B8A" w14:textId="047E3E75" w:rsidR="007505F8" w:rsidRDefault="007505F8" w:rsidP="002970E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2EC559" wp14:editId="77BFEA0A">
                <wp:simplePos x="0" y="0"/>
                <wp:positionH relativeFrom="column">
                  <wp:posOffset>3341907</wp:posOffset>
                </wp:positionH>
                <wp:positionV relativeFrom="paragraph">
                  <wp:posOffset>1572358</wp:posOffset>
                </wp:positionV>
                <wp:extent cx="647114" cy="309489"/>
                <wp:effectExtent l="0" t="0" r="19685" b="14605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114" cy="309489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10632AA" id="Oval 10" o:spid="_x0000_s1026" style="position:absolute;margin-left:263.15pt;margin-top:123.8pt;width:50.95pt;height:24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" filled="f" strokecolor="#ed7d31 [3205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9C6742" wp14:editId="02856AD7">
                <wp:simplePos x="0" y="0"/>
                <wp:positionH relativeFrom="column">
                  <wp:posOffset>3386797</wp:posOffset>
                </wp:positionH>
                <wp:positionV relativeFrom="paragraph">
                  <wp:posOffset>400148</wp:posOffset>
                </wp:positionV>
                <wp:extent cx="647114" cy="309489"/>
                <wp:effectExtent l="0" t="0" r="19685" b="14605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114" cy="309489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7AA0443" id="Oval 9" o:spid="_x0000_s1026" style="position:absolute;margin-left:266.7pt;margin-top:31.5pt;width:50.95pt;height:24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" filled="f" strokecolor="#ed7d31 [3205]" strokeweight="1pt">
                <v:stroke joinstyle="miter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76D69C25" wp14:editId="4E3D5282">
            <wp:extent cx="1786597" cy="1964147"/>
            <wp:effectExtent l="0" t="0" r="444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96697" cy="1975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84EF42" w14:textId="77777777" w:rsidR="007505F8" w:rsidRDefault="007505F8" w:rsidP="002970E0">
      <w:pPr>
        <w:jc w:val="center"/>
      </w:pPr>
    </w:p>
    <w:p w14:paraId="0BE5FC5B" w14:textId="2432475F" w:rsidR="002970E0" w:rsidRPr="00341E76" w:rsidRDefault="002970E0" w:rsidP="002970E0">
      <w:pPr>
        <w:jc w:val="center"/>
        <w:rPr>
          <w:u w:val="single"/>
        </w:rPr>
      </w:pPr>
      <w:r w:rsidRPr="00341E76">
        <w:rPr>
          <w:u w:val="single"/>
        </w:rPr>
        <w:t xml:space="preserve">Pro Tip #2: In </w:t>
      </w:r>
      <w:r w:rsidR="007505F8" w:rsidRPr="00341E76">
        <w:rPr>
          <w:u w:val="single"/>
        </w:rPr>
        <w:t xml:space="preserve">CONCUR under </w:t>
      </w:r>
      <w:r w:rsidRPr="00341E76">
        <w:rPr>
          <w:u w:val="single"/>
        </w:rPr>
        <w:t>the Expenses &amp; Receipts tab, make sure your IBA expenses have the IBA Payment Method.</w:t>
      </w:r>
    </w:p>
    <w:p w14:paraId="007C6BEE" w14:textId="54D02532" w:rsidR="002970E0" w:rsidRDefault="002970E0" w:rsidP="002970E0">
      <w:pPr>
        <w:jc w:val="center"/>
      </w:pPr>
    </w:p>
    <w:p w14:paraId="502FC781" w14:textId="1BF2B3D0" w:rsidR="002970E0" w:rsidRDefault="002970E0" w:rsidP="002970E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E8EF54" wp14:editId="1E568365">
                <wp:simplePos x="0" y="0"/>
                <wp:positionH relativeFrom="column">
                  <wp:posOffset>1515550</wp:posOffset>
                </wp:positionH>
                <wp:positionV relativeFrom="paragraph">
                  <wp:posOffset>1416587</wp:posOffset>
                </wp:positionV>
                <wp:extent cx="562708" cy="379827"/>
                <wp:effectExtent l="0" t="19050" r="46990" b="39370"/>
                <wp:wrapNone/>
                <wp:docPr id="2" name="Arrow: Righ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708" cy="379827"/>
                        </a:xfrm>
                        <a:prstGeom prst="rightArrow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97C1321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2" o:spid="_x0000_s1026" type="#_x0000_t13" style="position:absolute;margin-left:119.35pt;margin-top:111.55pt;width:44.3pt;height:29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" adj="14310" fillcolor="#ed7d31 [3205]" strokecolor="#ed7d31 [3205]" strokeweight="1pt"/>
            </w:pict>
          </mc:Fallback>
        </mc:AlternateContent>
      </w:r>
      <w:r>
        <w:rPr>
          <w:noProof/>
        </w:rPr>
        <w:drawing>
          <wp:inline distT="0" distB="0" distL="0" distR="0" wp14:anchorId="46C81219" wp14:editId="1122CBE7">
            <wp:extent cx="2989385" cy="1746334"/>
            <wp:effectExtent l="0" t="0" r="1905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03323" cy="1754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0B802B" w14:textId="7D40CF47" w:rsidR="002970E0" w:rsidRDefault="002970E0" w:rsidP="002970E0">
      <w:pPr>
        <w:jc w:val="center"/>
      </w:pPr>
    </w:p>
    <w:p w14:paraId="06C580C7" w14:textId="55898174" w:rsidR="002970E0" w:rsidRPr="00341E76" w:rsidRDefault="002970E0" w:rsidP="007C2AD6">
      <w:pPr>
        <w:jc w:val="center"/>
        <w:rPr>
          <w:u w:val="single"/>
        </w:rPr>
      </w:pPr>
      <w:r w:rsidRPr="00341E76">
        <w:rPr>
          <w:u w:val="single"/>
        </w:rPr>
        <w:t xml:space="preserve">Pro Tip #3: </w:t>
      </w:r>
      <w:r w:rsidR="007505F8" w:rsidRPr="00341E76">
        <w:rPr>
          <w:u w:val="single"/>
        </w:rPr>
        <w:t xml:space="preserve">In Concur, </w:t>
      </w:r>
      <w:r w:rsidR="007C2AD6" w:rsidRPr="00341E76">
        <w:rPr>
          <w:u w:val="single"/>
        </w:rPr>
        <w:t xml:space="preserve">perform split disbursement </w:t>
      </w:r>
      <w:r w:rsidR="007505F8" w:rsidRPr="00341E76">
        <w:rPr>
          <w:u w:val="single"/>
        </w:rPr>
        <w:t>under</w:t>
      </w:r>
      <w:r w:rsidR="007C2AD6" w:rsidRPr="00341E76">
        <w:rPr>
          <w:u w:val="single"/>
        </w:rPr>
        <w:t xml:space="preserve"> the </w:t>
      </w:r>
      <w:r w:rsidRPr="00341E76">
        <w:rPr>
          <w:u w:val="single"/>
        </w:rPr>
        <w:t>Totals tab</w:t>
      </w:r>
      <w:r w:rsidR="000F296D" w:rsidRPr="00341E76">
        <w:rPr>
          <w:u w:val="single"/>
        </w:rPr>
        <w:t xml:space="preserve">, </w:t>
      </w:r>
      <w:r w:rsidRPr="00341E76">
        <w:rPr>
          <w:u w:val="single"/>
        </w:rPr>
        <w:t>Charge Card Reconciliation section</w:t>
      </w:r>
      <w:r w:rsidR="007C2AD6" w:rsidRPr="00341E76">
        <w:rPr>
          <w:u w:val="single"/>
        </w:rPr>
        <w:t xml:space="preserve">. </w:t>
      </w:r>
    </w:p>
    <w:p w14:paraId="6981CD05" w14:textId="7DADEDD8" w:rsidR="002970E0" w:rsidRDefault="002970E0" w:rsidP="002970E0">
      <w:pPr>
        <w:jc w:val="center"/>
      </w:pPr>
    </w:p>
    <w:p w14:paraId="6C2C1494" w14:textId="36A5E83C" w:rsidR="00E204DC" w:rsidRDefault="007C2AD6" w:rsidP="002970E0">
      <w:r>
        <w:t xml:space="preserve">My total </w:t>
      </w:r>
      <w:r w:rsidR="006828CB">
        <w:t>USBank</w:t>
      </w:r>
      <w:r>
        <w:t xml:space="preserve"> expenses was $1,686.51 (see Pro Tip #1). The first row represents the total amount marked as IBA Payment Method on the </w:t>
      </w:r>
      <w:r w:rsidR="007505F8">
        <w:t xml:space="preserve">CONCUR </w:t>
      </w:r>
      <w:r>
        <w:t>travel voucher (see Pro Tip #2). I need to type 402.78</w:t>
      </w:r>
      <w:r w:rsidR="00216FEA">
        <w:t xml:space="preserve"> (because $1,686.51 - $1,283.73 = $402.78)</w:t>
      </w:r>
      <w:r w:rsidR="00A1637C">
        <w:t xml:space="preserve"> into the second row so that </w:t>
      </w:r>
      <w:r w:rsidR="007505F8">
        <w:t>the</w:t>
      </w:r>
      <w:r w:rsidR="00216FEA">
        <w:t xml:space="preserve"> third row reflects my total </w:t>
      </w:r>
      <w:r w:rsidR="006828CB">
        <w:t>USBank</w:t>
      </w:r>
      <w:r w:rsidR="00216FEA">
        <w:t xml:space="preserve"> expenses. </w:t>
      </w:r>
      <w:r w:rsidR="000F296D">
        <w:t xml:space="preserve">In summary, Row 1 + Row 2 must equal your total </w:t>
      </w:r>
      <w:r w:rsidR="006828CB">
        <w:t>USBank</w:t>
      </w:r>
      <w:r w:rsidR="000F296D">
        <w:t xml:space="preserve"> expenses on Row 3.</w:t>
      </w:r>
    </w:p>
    <w:p w14:paraId="1744CF68" w14:textId="45D59090" w:rsidR="00216FEA" w:rsidRDefault="00216FEA" w:rsidP="002970E0"/>
    <w:p w14:paraId="2D17BE9A" w14:textId="2A22F94A" w:rsidR="00216FEA" w:rsidRDefault="00216FEA" w:rsidP="002970E0">
      <w:r>
        <w:t>1,283.73 + 402.78 = 1,686.51</w:t>
      </w:r>
    </w:p>
    <w:p w14:paraId="69FCB8A7" w14:textId="77777777" w:rsidR="007C2AD6" w:rsidRDefault="007C2AD6" w:rsidP="002970E0"/>
    <w:p w14:paraId="1315BF4B" w14:textId="1D8CEE02" w:rsidR="00E204DC" w:rsidRDefault="00A1637C" w:rsidP="002970E0">
      <w:r>
        <w:rPr>
          <w:noProof/>
        </w:rPr>
        <w:drawing>
          <wp:inline distT="0" distB="0" distL="0" distR="0" wp14:anchorId="42938902" wp14:editId="02A5F9D6">
            <wp:extent cx="6400800" cy="685165"/>
            <wp:effectExtent l="0" t="0" r="0" b="63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685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E27F51" w14:textId="2D57B037" w:rsidR="00E204DC" w:rsidRDefault="00E204DC" w:rsidP="002970E0"/>
    <w:p w14:paraId="180FFC22" w14:textId="77777777" w:rsidR="00E204DC" w:rsidRDefault="00E204DC" w:rsidP="002970E0"/>
    <w:p w14:paraId="03985E7A" w14:textId="392A300F" w:rsidR="002970E0" w:rsidRDefault="002970E0" w:rsidP="002970E0"/>
    <w:p w14:paraId="22827536" w14:textId="77777777" w:rsidR="009A747F" w:rsidRDefault="009A747F" w:rsidP="002970E0"/>
    <w:p w14:paraId="3E8AA447" w14:textId="7D243DEC" w:rsidR="002C287C" w:rsidRDefault="00D2121D" w:rsidP="002C287C">
      <w:pPr>
        <w:pStyle w:val="ListParagraph"/>
        <w:numPr>
          <w:ilvl w:val="0"/>
          <w:numId w:val="6"/>
        </w:numPr>
      </w:pPr>
      <w:r>
        <w:lastRenderedPageBreak/>
        <w:t xml:space="preserve">Upon completion of authorized travel, travelers </w:t>
      </w:r>
      <w:r w:rsidR="00D1112A">
        <w:t xml:space="preserve">must </w:t>
      </w:r>
      <w:r>
        <w:t xml:space="preserve">submit a travel </w:t>
      </w:r>
      <w:r w:rsidR="00D1112A">
        <w:t xml:space="preserve">voucher in CONCUR </w:t>
      </w:r>
      <w:r>
        <w:t xml:space="preserve">within 5 workdays after completion of a trip. </w:t>
      </w:r>
    </w:p>
    <w:p w14:paraId="28D07975" w14:textId="327AFDE1" w:rsidR="00D2121D" w:rsidRDefault="00D2121D" w:rsidP="002C287C">
      <w:pPr>
        <w:pStyle w:val="ListParagraph"/>
        <w:numPr>
          <w:ilvl w:val="0"/>
          <w:numId w:val="6"/>
        </w:numPr>
      </w:pPr>
      <w:r>
        <w:t xml:space="preserve">Employees on extended travel must submit a travel </w:t>
      </w:r>
      <w:r w:rsidR="00106810">
        <w:t>voucher in CONCUR</w:t>
      </w:r>
      <w:r>
        <w:t xml:space="preserve"> every 30 days. </w:t>
      </w:r>
      <w:r w:rsidR="00106810" w:rsidRPr="00106810">
        <w:t>If the traveler doesn’t</w:t>
      </w:r>
      <w:r w:rsidR="00106810">
        <w:t xml:space="preserve"> comply</w:t>
      </w:r>
      <w:r w:rsidR="00106810" w:rsidRPr="00106810">
        <w:t xml:space="preserve">, the single purchase limit will be reduced to $1 until </w:t>
      </w:r>
      <w:r w:rsidR="00106810">
        <w:t xml:space="preserve">the traveler submits a </w:t>
      </w:r>
      <w:r w:rsidR="00106810" w:rsidRPr="00106810">
        <w:t>voucher in CONCUR.</w:t>
      </w:r>
    </w:p>
    <w:p w14:paraId="30D97D7E" w14:textId="260E92D9" w:rsidR="00D2121D" w:rsidRDefault="00106810" w:rsidP="002C287C">
      <w:pPr>
        <w:pStyle w:val="ListParagraph"/>
        <w:numPr>
          <w:ilvl w:val="0"/>
          <w:numId w:val="6"/>
        </w:numPr>
      </w:pPr>
      <w:r>
        <w:t>A</w:t>
      </w:r>
      <w:r w:rsidR="00D2121D">
        <w:t xml:space="preserve">pproving officials will have 3 business days to review </w:t>
      </w:r>
      <w:r>
        <w:t xml:space="preserve">the travel voucher and </w:t>
      </w:r>
      <w:proofErr w:type="gramStart"/>
      <w:r>
        <w:t>make a decision</w:t>
      </w:r>
      <w:proofErr w:type="gramEnd"/>
      <w:r>
        <w:t xml:space="preserve"> (approve or return the voucher to the traveler for</w:t>
      </w:r>
      <w:r w:rsidR="00D2121D">
        <w:t xml:space="preserve"> correction</w:t>
      </w:r>
      <w:r>
        <w:t>)</w:t>
      </w:r>
      <w:r w:rsidR="002C287C">
        <w:t>.</w:t>
      </w:r>
    </w:p>
    <w:p w14:paraId="22B008BE" w14:textId="39AA43CD" w:rsidR="00D2121D" w:rsidRDefault="00D2121D" w:rsidP="002C287C">
      <w:pPr>
        <w:pStyle w:val="ListParagraph"/>
        <w:numPr>
          <w:ilvl w:val="0"/>
          <w:numId w:val="6"/>
        </w:numPr>
      </w:pPr>
      <w:r>
        <w:t xml:space="preserve">VA will reimburse authorized travel expenses no later than 21 days after submission of a </w:t>
      </w:r>
      <w:r w:rsidR="00106810">
        <w:t>travel voucher</w:t>
      </w:r>
      <w:r>
        <w:t xml:space="preserve">. </w:t>
      </w:r>
    </w:p>
    <w:p w14:paraId="513FD3B7" w14:textId="01D75038" w:rsidR="00AF5751" w:rsidRDefault="00AF5751" w:rsidP="00D2121D"/>
    <w:p w14:paraId="3C2D1F47" w14:textId="77777777" w:rsidR="009A747F" w:rsidRDefault="009A747F" w:rsidP="00D2121D"/>
    <w:p w14:paraId="3890C9BF" w14:textId="77777777" w:rsidR="00A21D9F" w:rsidRDefault="00D2121D" w:rsidP="009A747F">
      <w:pPr>
        <w:rPr>
          <w:rStyle w:val="Strong"/>
          <w:rFonts w:cstheme="minorHAnsi"/>
          <w:color w:val="333333"/>
        </w:rPr>
      </w:pPr>
      <w:r w:rsidRPr="00D2121D">
        <w:rPr>
          <w:b/>
          <w:bCs/>
        </w:rPr>
        <w:t xml:space="preserve">If you have any further questions, </w:t>
      </w:r>
      <w:r w:rsidR="009A747F">
        <w:rPr>
          <w:b/>
          <w:bCs/>
        </w:rPr>
        <w:t>contact the FORD Travel Team for travel questions, including</w:t>
      </w:r>
      <w:r w:rsidR="009A747F" w:rsidRPr="009A747F">
        <w:rPr>
          <w:rStyle w:val="Strong"/>
          <w:rFonts w:cstheme="minorHAnsi"/>
          <w:color w:val="333333"/>
        </w:rPr>
        <w:t xml:space="preserve"> </w:t>
      </w:r>
      <w:r w:rsidR="009A747F">
        <w:rPr>
          <w:rStyle w:val="Strong"/>
          <w:rFonts w:cstheme="minorHAnsi"/>
          <w:color w:val="333333"/>
        </w:rPr>
        <w:t>Permanent Change of Station (</w:t>
      </w:r>
      <w:r w:rsidR="009A747F" w:rsidRPr="009A747F">
        <w:rPr>
          <w:rStyle w:val="Strong"/>
          <w:rFonts w:cstheme="minorHAnsi"/>
          <w:color w:val="333333"/>
        </w:rPr>
        <w:t>PCS</w:t>
      </w:r>
      <w:r w:rsidR="009A747F">
        <w:rPr>
          <w:rStyle w:val="Strong"/>
          <w:rFonts w:cstheme="minorHAnsi"/>
          <w:color w:val="333333"/>
        </w:rPr>
        <w:t>), TDY Travel,</w:t>
      </w:r>
      <w:r w:rsidR="009A747F" w:rsidRPr="009A747F">
        <w:rPr>
          <w:rStyle w:val="Strong"/>
          <w:rFonts w:cstheme="minorHAnsi"/>
          <w:color w:val="333333"/>
        </w:rPr>
        <w:t xml:space="preserve"> and Travel Cards:</w:t>
      </w:r>
      <w:r w:rsidR="009A747F">
        <w:rPr>
          <w:rStyle w:val="Strong"/>
          <w:rFonts w:cstheme="minorHAnsi"/>
          <w:color w:val="333333"/>
        </w:rPr>
        <w:t xml:space="preserve"> </w:t>
      </w:r>
    </w:p>
    <w:p w14:paraId="69516138" w14:textId="06EC76A8" w:rsidR="009A747F" w:rsidRPr="009A747F" w:rsidRDefault="009A747F" w:rsidP="009A747F">
      <w:pPr>
        <w:rPr>
          <w:rFonts w:cstheme="minorHAnsi"/>
          <w:color w:val="333333"/>
        </w:rPr>
      </w:pPr>
      <w:r w:rsidRPr="009A747F">
        <w:rPr>
          <w:rStyle w:val="fontsizelarge"/>
          <w:rFonts w:cstheme="minorHAnsi"/>
          <w:color w:val="333333"/>
        </w:rPr>
        <w:t>VAVBAWAS/CO/241C/TRAVEL</w:t>
      </w:r>
    </w:p>
    <w:p w14:paraId="2001CA3A" w14:textId="4A486383" w:rsidR="009A747F" w:rsidRDefault="009A747F" w:rsidP="00D2121D"/>
    <w:p w14:paraId="561E6D55" w14:textId="77777777" w:rsidR="009A747F" w:rsidRDefault="009A747F" w:rsidP="00D2121D"/>
    <w:p w14:paraId="49FEEACA" w14:textId="77777777" w:rsidR="00D2121D" w:rsidRPr="00D2121D" w:rsidRDefault="00D2121D" w:rsidP="00D2121D">
      <w:pPr>
        <w:rPr>
          <w:b/>
          <w:bCs/>
        </w:rPr>
      </w:pPr>
      <w:r w:rsidRPr="00D2121D">
        <w:rPr>
          <w:b/>
          <w:bCs/>
        </w:rPr>
        <w:t>Additional Resources and Links:</w:t>
      </w:r>
    </w:p>
    <w:p w14:paraId="4D143663" w14:textId="77777777" w:rsidR="009A747F" w:rsidRDefault="00D3075A" w:rsidP="009A747F">
      <w:hyperlink r:id="rId11" w:history="1">
        <w:r w:rsidR="009A747F" w:rsidRPr="00920611">
          <w:rPr>
            <w:rStyle w:val="Hyperlink"/>
          </w:rPr>
          <w:t>Improper Payments &amp; Internal Controls (IPIC)</w:t>
        </w:r>
      </w:hyperlink>
      <w:r w:rsidR="009A747F">
        <w:t xml:space="preserve"> </w:t>
      </w:r>
    </w:p>
    <w:p w14:paraId="4C7F5CB4" w14:textId="77777777" w:rsidR="009A747F" w:rsidRDefault="009A747F" w:rsidP="00D2121D"/>
    <w:p w14:paraId="4488AFC6" w14:textId="79299D2A" w:rsidR="005B4B76" w:rsidRDefault="00D3075A" w:rsidP="00D2121D">
      <w:hyperlink r:id="rId12" w:history="1">
        <w:r w:rsidR="005B4B76" w:rsidRPr="00920611">
          <w:rPr>
            <w:rStyle w:val="Hyperlink"/>
          </w:rPr>
          <w:t>VA Financial Policy – Travel</w:t>
        </w:r>
      </w:hyperlink>
    </w:p>
    <w:p w14:paraId="52413B4D" w14:textId="77777777" w:rsidR="00920611" w:rsidRDefault="00920611" w:rsidP="00D2121D"/>
    <w:p w14:paraId="5C2D3C78" w14:textId="19F6A8EC" w:rsidR="005B4B76" w:rsidRDefault="00D3075A" w:rsidP="00D2121D">
      <w:hyperlink r:id="rId13" w:history="1">
        <w:r w:rsidR="00281C54" w:rsidRPr="00920611">
          <w:rPr>
            <w:rStyle w:val="Hyperlink"/>
          </w:rPr>
          <w:t>Knowledge Management Portal, M24-4 Chapter 02, Travel</w:t>
        </w:r>
      </w:hyperlink>
    </w:p>
    <w:p w14:paraId="7A24C355" w14:textId="6E89FAF7" w:rsidR="00281C54" w:rsidRDefault="00281C54" w:rsidP="00D2121D"/>
    <w:p w14:paraId="4B01A816" w14:textId="25B2A310" w:rsidR="002C287C" w:rsidRDefault="00D3075A" w:rsidP="00D2121D">
      <w:pPr>
        <w:rPr>
          <w:rStyle w:val="Hyperlink"/>
        </w:rPr>
      </w:pPr>
      <w:hyperlink r:id="rId14" w:history="1">
        <w:r w:rsidR="001C0AA4" w:rsidRPr="001C0AA4">
          <w:rPr>
            <w:rStyle w:val="Hyperlink"/>
          </w:rPr>
          <w:t>Federal Travel Regulation</w:t>
        </w:r>
      </w:hyperlink>
    </w:p>
    <w:p w14:paraId="51266019" w14:textId="48417D44" w:rsidR="00DB03A4" w:rsidRDefault="00DB03A4" w:rsidP="00D2121D">
      <w:pPr>
        <w:rPr>
          <w:rStyle w:val="Hyperlink"/>
        </w:rPr>
      </w:pPr>
    </w:p>
    <w:p w14:paraId="136F7FE9" w14:textId="378AB7D4" w:rsidR="00DB03A4" w:rsidRDefault="00DB03A4" w:rsidP="00D2121D">
      <w:pPr>
        <w:rPr>
          <w:rStyle w:val="Hyperlink"/>
        </w:rPr>
      </w:pPr>
    </w:p>
    <w:p w14:paraId="5FBB23F8" w14:textId="1E6F5506" w:rsidR="00DB03A4" w:rsidRDefault="00DB03A4" w:rsidP="00D2121D">
      <w:pPr>
        <w:rPr>
          <w:b/>
          <w:bCs/>
        </w:rPr>
      </w:pPr>
      <w:r w:rsidRPr="00DB03A4">
        <w:rPr>
          <w:b/>
          <w:bCs/>
        </w:rPr>
        <w:t>Acronyms</w:t>
      </w:r>
      <w:r>
        <w:rPr>
          <w:b/>
          <w:bCs/>
        </w:rPr>
        <w:t>:</w:t>
      </w:r>
    </w:p>
    <w:p w14:paraId="414BDDE6" w14:textId="5D5CAF3A" w:rsidR="00DB03A4" w:rsidRDefault="00DB03A4" w:rsidP="00D2121D">
      <w:r>
        <w:t>A/OPC</w:t>
      </w:r>
      <w:r>
        <w:tab/>
      </w:r>
      <w:r>
        <w:tab/>
        <w:t>Agency/Organization Program Coordinators</w:t>
      </w:r>
    </w:p>
    <w:p w14:paraId="71CD55ED" w14:textId="058C7C00" w:rsidR="00DB03A4" w:rsidRDefault="00DB03A4" w:rsidP="00D2121D">
      <w:r>
        <w:t>GSA</w:t>
      </w:r>
      <w:r>
        <w:tab/>
      </w:r>
      <w:r>
        <w:tab/>
        <w:t>General Services Administration</w:t>
      </w:r>
    </w:p>
    <w:p w14:paraId="71D74741" w14:textId="40350867" w:rsidR="00DB03A4" w:rsidRDefault="00DB03A4" w:rsidP="00D2121D">
      <w:r>
        <w:t>IBA</w:t>
      </w:r>
      <w:r>
        <w:tab/>
      </w:r>
      <w:r>
        <w:tab/>
        <w:t>Individually Billed Account</w:t>
      </w:r>
    </w:p>
    <w:p w14:paraId="301D9362" w14:textId="72A65351" w:rsidR="00DB03A4" w:rsidRDefault="00DB03A4" w:rsidP="00D2121D">
      <w:r>
        <w:t>IPIC</w:t>
      </w:r>
      <w:r>
        <w:tab/>
      </w:r>
      <w:r>
        <w:tab/>
        <w:t>Improper Payments and Internal Controls</w:t>
      </w:r>
    </w:p>
    <w:p w14:paraId="38E63B7A" w14:textId="63B4FC19" w:rsidR="00DB03A4" w:rsidRDefault="00DB03A4" w:rsidP="00D2121D">
      <w:r>
        <w:t>OFM</w:t>
      </w:r>
      <w:r>
        <w:tab/>
      </w:r>
      <w:r>
        <w:tab/>
        <w:t>Office of Financial Management</w:t>
      </w:r>
    </w:p>
    <w:p w14:paraId="3F82AD34" w14:textId="0AB29D18" w:rsidR="00DB03A4" w:rsidRDefault="00DB03A4" w:rsidP="00D2121D">
      <w:r>
        <w:t>TMS</w:t>
      </w:r>
      <w:r>
        <w:tab/>
      </w:r>
      <w:r>
        <w:tab/>
        <w:t>Talent Management System</w:t>
      </w:r>
    </w:p>
    <w:p w14:paraId="313840F2" w14:textId="7FA6DD3F" w:rsidR="00DB03A4" w:rsidRDefault="00DB03A4" w:rsidP="00D2121D">
      <w:r>
        <w:t>VA</w:t>
      </w:r>
      <w:r>
        <w:tab/>
      </w:r>
      <w:r>
        <w:tab/>
        <w:t>Veterans Affairs</w:t>
      </w:r>
    </w:p>
    <w:p w14:paraId="398B55B1" w14:textId="51A41886" w:rsidR="00DB03A4" w:rsidRPr="00DB03A4" w:rsidRDefault="00DB03A4" w:rsidP="00D2121D">
      <w:r>
        <w:t>VBA</w:t>
      </w:r>
      <w:r>
        <w:tab/>
      </w:r>
      <w:r>
        <w:tab/>
        <w:t>Veterans Benefits Administration</w:t>
      </w:r>
    </w:p>
    <w:sectPr w:rsidR="00DB03A4" w:rsidRPr="00DB03A4" w:rsidSect="00920611">
      <w:headerReference w:type="default" r:id="rId15"/>
      <w:footerReference w:type="default" r:id="rId16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62F4E" w14:textId="77777777" w:rsidR="008A7C70" w:rsidRDefault="008A7C70" w:rsidP="00143921">
      <w:r>
        <w:separator/>
      </w:r>
    </w:p>
  </w:endnote>
  <w:endnote w:type="continuationSeparator" w:id="0">
    <w:p w14:paraId="4477CAAE" w14:textId="77777777" w:rsidR="008A7C70" w:rsidRDefault="008A7C70" w:rsidP="00143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1DA0C" w14:textId="2F516E0D" w:rsidR="00143921" w:rsidRPr="00512D1C" w:rsidRDefault="005B4B76" w:rsidP="005B4B76">
    <w:pPr>
      <w:pStyle w:val="Footer"/>
      <w:jc w:val="center"/>
      <w:rPr>
        <w:b/>
        <w:bCs/>
        <w:color w:val="0070C0"/>
        <w:sz w:val="32"/>
        <w:szCs w:val="32"/>
      </w:rPr>
    </w:pPr>
    <w:r w:rsidRPr="00512D1C">
      <w:rPr>
        <w:b/>
        <w:bCs/>
        <w:color w:val="0070C0"/>
        <w:sz w:val="32"/>
        <w:szCs w:val="32"/>
      </w:rPr>
      <w:t>#ClickWithConfidence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93E9C" w14:textId="77777777" w:rsidR="008A7C70" w:rsidRDefault="008A7C70" w:rsidP="00143921">
      <w:r>
        <w:separator/>
      </w:r>
    </w:p>
  </w:footnote>
  <w:footnote w:type="continuationSeparator" w:id="0">
    <w:p w14:paraId="3211A33A" w14:textId="77777777" w:rsidR="008A7C70" w:rsidRDefault="008A7C70" w:rsidP="001439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1B2FC" w14:textId="1B5FF9DC" w:rsidR="002C287C" w:rsidRPr="005B4B76" w:rsidRDefault="005B4B76" w:rsidP="002C287C">
    <w:pPr>
      <w:pStyle w:val="Header"/>
      <w:jc w:val="center"/>
      <w:rPr>
        <w:b/>
        <w:bCs/>
        <w:color w:val="0070C0"/>
        <w:sz w:val="36"/>
        <w:szCs w:val="36"/>
      </w:rPr>
    </w:pPr>
    <w:r w:rsidRPr="005B4B76">
      <w:rPr>
        <w:b/>
        <w:bCs/>
        <w:color w:val="0070C0"/>
        <w:sz w:val="36"/>
        <w:szCs w:val="36"/>
      </w:rPr>
      <w:t>ARE YOU READY FOR AN IPIC EXPERIENCE?</w:t>
    </w:r>
  </w:p>
  <w:p w14:paraId="51C22ECC" w14:textId="77777777" w:rsidR="002C287C" w:rsidRDefault="002C287C" w:rsidP="002C287C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2642C"/>
    <w:multiLevelType w:val="hybridMultilevel"/>
    <w:tmpl w:val="83860BB4"/>
    <w:lvl w:ilvl="0" w:tplc="20F81D9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864107"/>
    <w:multiLevelType w:val="hybridMultilevel"/>
    <w:tmpl w:val="D276B75C"/>
    <w:lvl w:ilvl="0" w:tplc="20F81D9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D74331"/>
    <w:multiLevelType w:val="hybridMultilevel"/>
    <w:tmpl w:val="1BB66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7E7ACE"/>
    <w:multiLevelType w:val="hybridMultilevel"/>
    <w:tmpl w:val="8BBAD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276060"/>
    <w:multiLevelType w:val="hybridMultilevel"/>
    <w:tmpl w:val="005AC03C"/>
    <w:lvl w:ilvl="0" w:tplc="20F81D9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B44B1B"/>
    <w:multiLevelType w:val="hybridMultilevel"/>
    <w:tmpl w:val="32F687DC"/>
    <w:lvl w:ilvl="0" w:tplc="20F81D9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21D"/>
    <w:rsid w:val="000F296D"/>
    <w:rsid w:val="00106810"/>
    <w:rsid w:val="00143921"/>
    <w:rsid w:val="001A63D1"/>
    <w:rsid w:val="001C0AA4"/>
    <w:rsid w:val="00216FEA"/>
    <w:rsid w:val="00281C54"/>
    <w:rsid w:val="002970E0"/>
    <w:rsid w:val="002C287C"/>
    <w:rsid w:val="0032169E"/>
    <w:rsid w:val="00341E76"/>
    <w:rsid w:val="004C1CBF"/>
    <w:rsid w:val="004E5367"/>
    <w:rsid w:val="004F7E1E"/>
    <w:rsid w:val="00512D1C"/>
    <w:rsid w:val="005344A8"/>
    <w:rsid w:val="005B4B76"/>
    <w:rsid w:val="005C4D55"/>
    <w:rsid w:val="00662506"/>
    <w:rsid w:val="006828CB"/>
    <w:rsid w:val="007505F8"/>
    <w:rsid w:val="007833D4"/>
    <w:rsid w:val="007B6609"/>
    <w:rsid w:val="007C2AD6"/>
    <w:rsid w:val="00862033"/>
    <w:rsid w:val="008A5D0E"/>
    <w:rsid w:val="008A7C70"/>
    <w:rsid w:val="008B188D"/>
    <w:rsid w:val="00920611"/>
    <w:rsid w:val="009A747F"/>
    <w:rsid w:val="00A1637C"/>
    <w:rsid w:val="00A21D9F"/>
    <w:rsid w:val="00AF5751"/>
    <w:rsid w:val="00B35961"/>
    <w:rsid w:val="00C736B5"/>
    <w:rsid w:val="00CC655D"/>
    <w:rsid w:val="00CF100A"/>
    <w:rsid w:val="00D1112A"/>
    <w:rsid w:val="00D2121D"/>
    <w:rsid w:val="00D3075A"/>
    <w:rsid w:val="00DB03A4"/>
    <w:rsid w:val="00E204DC"/>
    <w:rsid w:val="00F6641B"/>
    <w:rsid w:val="00FF3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62F30"/>
  <w15:chartTrackingRefBased/>
  <w15:docId w15:val="{DE618645-ADB3-4E1E-8737-6099064A2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121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439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3921"/>
  </w:style>
  <w:style w:type="paragraph" w:styleId="Footer">
    <w:name w:val="footer"/>
    <w:basedOn w:val="Normal"/>
    <w:link w:val="FooterChar"/>
    <w:uiPriority w:val="99"/>
    <w:unhideWhenUsed/>
    <w:rsid w:val="001439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3921"/>
  </w:style>
  <w:style w:type="character" w:styleId="Hyperlink">
    <w:name w:val="Hyperlink"/>
    <w:basedOn w:val="DefaultParagraphFont"/>
    <w:uiPriority w:val="99"/>
    <w:unhideWhenUsed/>
    <w:rsid w:val="002C28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287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2169E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A747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izelarge">
    <w:name w:val="fontsizelarge"/>
    <w:basedOn w:val="DefaultParagraphFont"/>
    <w:rsid w:val="009A747F"/>
  </w:style>
  <w:style w:type="character" w:styleId="Strong">
    <w:name w:val="Strong"/>
    <w:basedOn w:val="DefaultParagraphFont"/>
    <w:uiPriority w:val="22"/>
    <w:qFormat/>
    <w:rsid w:val="009A74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06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vaww.vrm.km.va.gov/system/templates/selfservice/va_kanew/help/customer/locale/en-US/portal/554400000001057/content/554400000198077/M24-4-Chapter-02-Trave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hyperlink" Target="https://www.va.gov/finance/policy/pubs/volumeXIV.asp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vagov.sharepoint.com/sites/vbaofmhub/SitePages/Internal-Control-&amp;-Improper-Payments.aspx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ecfr.gov/current/title-41/subtitle-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1FEBA3D68DBB48BE054940F1C2074C" ma:contentTypeVersion="12" ma:contentTypeDescription="Create a new document." ma:contentTypeScope="" ma:versionID="bd34ce18e1cd223d5e6a194066095a77">
  <xsd:schema xmlns:xsd="http://www.w3.org/2001/XMLSchema" xmlns:xs="http://www.w3.org/2001/XMLSchema" xmlns:p="http://schemas.microsoft.com/office/2006/metadata/properties" xmlns:ns2="b699a1a7-831b-4305-ba74-e9bc254b1c5b" xmlns:ns3="ee0f5bd1-684a-468f-83a3-589e9d9ceeb8" targetNamespace="http://schemas.microsoft.com/office/2006/metadata/properties" ma:root="true" ma:fieldsID="d87aa7546177246a40f89b99cf1e8838" ns2:_="" ns3:_="">
    <xsd:import namespace="b699a1a7-831b-4305-ba74-e9bc254b1c5b"/>
    <xsd:import namespace="ee0f5bd1-684a-468f-83a3-589e9d9cee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FolderType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Responsibl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99a1a7-831b-4305-ba74-e9bc254b1c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FolderType" ma:index="10" nillable="true" ma:displayName="FolderType" ma:format="Dropdown" ma:internalName="FolderType">
      <xsd:simpleType>
        <xsd:restriction base="dms:Choice">
          <xsd:enumeration value="VBA_Station_POC's"/>
          <xsd:enumeration value="IPIC"/>
          <xsd:enumeration value="Standard_Operating_Procedures"/>
          <xsd:enumeration value="Chapter 33"/>
          <xsd:enumeration value="MPVPartIV"/>
          <xsd:enumeration value="Policy, Procedure, &amp; Guidance"/>
          <xsd:enumeration value="Important RO Links"/>
          <xsd:enumeration value="Fiscal System Advisory"/>
          <xsd:enumeration value="Subject Areas"/>
          <xsd:enumeration value="Training"/>
          <xsd:enumeration value="FAQs"/>
          <xsd:enumeration value="FORD"/>
        </xsd:restriction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Responsible" ma:index="16" nillable="true" ma:displayName="Responsible" ma:format="Dropdown" ma:list="UserInfo" ma:SharePointGroup="0" ma:internalName="Responsib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0f5bd1-684a-468f-83a3-589e9d9ceeb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Type xmlns="b699a1a7-831b-4305-ba74-e9bc254b1c5b" xsi:nil="true"/>
    <Responsible xmlns="b699a1a7-831b-4305-ba74-e9bc254b1c5b">
      <UserInfo>
        <DisplayName/>
        <AccountId xsi:nil="true"/>
        <AccountType/>
      </UserInfo>
    </Responsible>
  </documentManagement>
</p:properties>
</file>

<file path=customXml/itemProps1.xml><?xml version="1.0" encoding="utf-8"?>
<ds:datastoreItem xmlns:ds="http://schemas.openxmlformats.org/officeDocument/2006/customXml" ds:itemID="{60D0657B-694A-457A-A347-0B5768604F9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ACF09C8-BE4B-4C45-B6CD-B5A4FB96A2C2}"/>
</file>

<file path=customXml/itemProps3.xml><?xml version="1.0" encoding="utf-8"?>
<ds:datastoreItem xmlns:ds="http://schemas.openxmlformats.org/officeDocument/2006/customXml" ds:itemID="{04100891-1680-41B5-86B1-835806229535}"/>
</file>

<file path=customXml/itemProps4.xml><?xml version="1.0" encoding="utf-8"?>
<ds:datastoreItem xmlns:ds="http://schemas.openxmlformats.org/officeDocument/2006/customXml" ds:itemID="{A42739BC-098B-4B8B-93B4-EE5AEA44C7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721</Words>
  <Characters>4114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Bradley, Autumn R., VBAVACO</dc:creator>
  <cp:keywords/>
  <dc:description/>
  <cp:lastModifiedBy>Robinson, Nadine, VBAVACO</cp:lastModifiedBy>
  <cp:revision>2</cp:revision>
  <dcterms:created xsi:type="dcterms:W3CDTF">2022-06-08T15:53:00Z</dcterms:created>
  <dcterms:modified xsi:type="dcterms:W3CDTF">2022-06-08T15:53:00Z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0x010100841FEBA3D68DBB48BE054940F1C2074C</vt:lpwstr>
  </property>
</Properties>
</file>