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2A658" w14:textId="77777777" w:rsidR="0000682A" w:rsidRPr="001432B7" w:rsidRDefault="0000682A" w:rsidP="00A46091">
      <w:pPr>
        <w:spacing w:before="1440" w:after="1080" w:line="276" w:lineRule="auto"/>
        <w:ind w:left="720" w:firstLine="720"/>
        <w:jc w:val="center"/>
        <w:rPr>
          <w:b/>
          <w:sz w:val="72"/>
          <w:szCs w:val="72"/>
        </w:rPr>
      </w:pPr>
      <w:bookmarkStart w:id="0" w:name="_Toc343007190"/>
      <w:bookmarkStart w:id="1" w:name="_GoBack"/>
      <w:bookmarkEnd w:id="1"/>
      <w:r w:rsidRPr="001432B7">
        <w:rPr>
          <w:b/>
          <w:sz w:val="72"/>
          <w:szCs w:val="72"/>
        </w:rPr>
        <w:t xml:space="preserve">VBA </w:t>
      </w:r>
      <w:r w:rsidR="009F4DAB">
        <w:rPr>
          <w:b/>
          <w:sz w:val="72"/>
          <w:szCs w:val="72"/>
        </w:rPr>
        <w:t>Accruals and Annual Close Training</w:t>
      </w:r>
      <w:r>
        <w:rPr>
          <w:b/>
          <w:sz w:val="72"/>
          <w:szCs w:val="72"/>
        </w:rPr>
        <w:t xml:space="preserve"> </w:t>
      </w:r>
    </w:p>
    <w:p w14:paraId="10246AD8" w14:textId="77777777" w:rsidR="0000682A" w:rsidRDefault="0000682A" w:rsidP="0000682A">
      <w:pPr>
        <w:spacing w:after="200" w:line="276" w:lineRule="auto"/>
        <w:jc w:val="center"/>
        <w:rPr>
          <w:b/>
          <w:sz w:val="72"/>
          <w:szCs w:val="72"/>
        </w:rPr>
      </w:pPr>
      <w:r>
        <w:rPr>
          <w:b/>
          <w:sz w:val="72"/>
          <w:szCs w:val="72"/>
        </w:rPr>
        <w:t>Webinar</w:t>
      </w:r>
    </w:p>
    <w:p w14:paraId="60239118" w14:textId="77777777" w:rsidR="0000682A" w:rsidRDefault="0000682A" w:rsidP="0000682A">
      <w:pPr>
        <w:spacing w:after="200" w:line="276" w:lineRule="auto"/>
        <w:jc w:val="center"/>
        <w:rPr>
          <w:b/>
          <w:sz w:val="72"/>
          <w:szCs w:val="72"/>
        </w:rPr>
      </w:pPr>
      <w:r>
        <w:rPr>
          <w:b/>
          <w:sz w:val="72"/>
          <w:szCs w:val="72"/>
        </w:rPr>
        <w:t xml:space="preserve">Question &amp; Answer </w:t>
      </w:r>
    </w:p>
    <w:p w14:paraId="4F824180" w14:textId="77777777" w:rsidR="0000682A" w:rsidRPr="001432B7" w:rsidRDefault="0000682A" w:rsidP="0000682A">
      <w:pPr>
        <w:spacing w:after="200" w:line="276" w:lineRule="auto"/>
        <w:jc w:val="center"/>
        <w:rPr>
          <w:b/>
          <w:sz w:val="72"/>
          <w:szCs w:val="72"/>
        </w:rPr>
      </w:pPr>
      <w:r>
        <w:rPr>
          <w:b/>
          <w:sz w:val="72"/>
          <w:szCs w:val="72"/>
        </w:rPr>
        <w:t>Resource Guide</w:t>
      </w:r>
    </w:p>
    <w:p w14:paraId="5317A809" w14:textId="77777777" w:rsidR="0000682A" w:rsidRDefault="009F4DAB" w:rsidP="0000682A">
      <w:pPr>
        <w:spacing w:before="1440" w:after="840" w:line="276" w:lineRule="auto"/>
        <w:jc w:val="center"/>
        <w:rPr>
          <w:b/>
          <w:sz w:val="72"/>
          <w:szCs w:val="72"/>
        </w:rPr>
      </w:pPr>
      <w:r>
        <w:rPr>
          <w:b/>
          <w:sz w:val="72"/>
          <w:szCs w:val="72"/>
        </w:rPr>
        <w:t>July</w:t>
      </w:r>
      <w:r w:rsidR="001B6C86">
        <w:rPr>
          <w:b/>
          <w:sz w:val="72"/>
          <w:szCs w:val="72"/>
        </w:rPr>
        <w:t xml:space="preserve"> </w:t>
      </w:r>
      <w:r w:rsidR="006C3A77">
        <w:rPr>
          <w:b/>
          <w:sz w:val="72"/>
          <w:szCs w:val="72"/>
        </w:rPr>
        <w:t>25,</w:t>
      </w:r>
      <w:r w:rsidR="0000682A">
        <w:rPr>
          <w:b/>
          <w:sz w:val="72"/>
          <w:szCs w:val="72"/>
        </w:rPr>
        <w:t xml:space="preserve"> 201</w:t>
      </w:r>
      <w:r w:rsidR="001B6C86">
        <w:rPr>
          <w:b/>
          <w:sz w:val="72"/>
          <w:szCs w:val="72"/>
        </w:rPr>
        <w:t>9</w:t>
      </w:r>
    </w:p>
    <w:p w14:paraId="4D96479F" w14:textId="77777777" w:rsidR="00BD5476" w:rsidRDefault="00BD5476" w:rsidP="0000682A">
      <w:pPr>
        <w:rPr>
          <w:b/>
          <w:sz w:val="32"/>
          <w:szCs w:val="32"/>
        </w:rPr>
      </w:pPr>
    </w:p>
    <w:p w14:paraId="19467D40" w14:textId="77777777" w:rsidR="00BD5476" w:rsidRDefault="00BD5476" w:rsidP="0000682A">
      <w:pPr>
        <w:rPr>
          <w:b/>
          <w:sz w:val="32"/>
          <w:szCs w:val="32"/>
        </w:rPr>
      </w:pPr>
    </w:p>
    <w:p w14:paraId="403FB599" w14:textId="77777777" w:rsidR="0000682A" w:rsidRPr="00296938" w:rsidRDefault="0000682A" w:rsidP="0000682A">
      <w:pPr>
        <w:rPr>
          <w:b/>
          <w:sz w:val="32"/>
          <w:szCs w:val="32"/>
        </w:rPr>
      </w:pPr>
      <w:r w:rsidRPr="00296938">
        <w:rPr>
          <w:b/>
          <w:sz w:val="32"/>
          <w:szCs w:val="32"/>
        </w:rPr>
        <w:lastRenderedPageBreak/>
        <w:t xml:space="preserve">Sponsored by: </w:t>
      </w:r>
    </w:p>
    <w:p w14:paraId="67269502" w14:textId="77777777" w:rsidR="0000682A" w:rsidRPr="00554514" w:rsidRDefault="0000682A" w:rsidP="0000682A">
      <w:pPr>
        <w:pStyle w:val="ListParagraph"/>
        <w:numPr>
          <w:ilvl w:val="0"/>
          <w:numId w:val="1"/>
        </w:numPr>
        <w:rPr>
          <w:sz w:val="24"/>
          <w:szCs w:val="24"/>
        </w:rPr>
      </w:pPr>
      <w:r w:rsidRPr="00554514">
        <w:rPr>
          <w:sz w:val="24"/>
          <w:szCs w:val="24"/>
        </w:rPr>
        <w:t>Veterans Benefits Administration (VBA)</w:t>
      </w:r>
    </w:p>
    <w:p w14:paraId="4E2F532E" w14:textId="77777777" w:rsidR="0000682A" w:rsidRDefault="0000682A" w:rsidP="0000682A">
      <w:pPr>
        <w:pStyle w:val="ListParagraph"/>
        <w:numPr>
          <w:ilvl w:val="0"/>
          <w:numId w:val="1"/>
        </w:numPr>
        <w:rPr>
          <w:sz w:val="24"/>
          <w:szCs w:val="24"/>
        </w:rPr>
      </w:pPr>
      <w:r w:rsidRPr="00554514">
        <w:rPr>
          <w:sz w:val="24"/>
          <w:szCs w:val="24"/>
        </w:rPr>
        <w:t xml:space="preserve">Office of </w:t>
      </w:r>
      <w:r>
        <w:rPr>
          <w:sz w:val="24"/>
          <w:szCs w:val="24"/>
        </w:rPr>
        <w:t xml:space="preserve">Financial </w:t>
      </w:r>
      <w:r w:rsidRPr="00554514">
        <w:rPr>
          <w:sz w:val="24"/>
          <w:szCs w:val="24"/>
        </w:rPr>
        <w:t>Management (O</w:t>
      </w:r>
      <w:r>
        <w:rPr>
          <w:sz w:val="24"/>
          <w:szCs w:val="24"/>
        </w:rPr>
        <w:t>F</w:t>
      </w:r>
      <w:r w:rsidRPr="00554514">
        <w:rPr>
          <w:sz w:val="24"/>
          <w:szCs w:val="24"/>
        </w:rPr>
        <w:t>M)</w:t>
      </w:r>
    </w:p>
    <w:p w14:paraId="0896E34E" w14:textId="77777777" w:rsidR="0000682A" w:rsidRPr="00AF118C" w:rsidRDefault="0000682A" w:rsidP="0000682A">
      <w:pPr>
        <w:pStyle w:val="ListParagraph"/>
        <w:numPr>
          <w:ilvl w:val="0"/>
          <w:numId w:val="1"/>
        </w:numPr>
        <w:rPr>
          <w:sz w:val="24"/>
          <w:szCs w:val="24"/>
        </w:rPr>
      </w:pPr>
      <w:r>
        <w:rPr>
          <w:sz w:val="24"/>
          <w:szCs w:val="24"/>
        </w:rPr>
        <w:t>V</w:t>
      </w:r>
      <w:r w:rsidRPr="00AF118C">
        <w:rPr>
          <w:sz w:val="24"/>
          <w:szCs w:val="24"/>
        </w:rPr>
        <w:t>BA Administrative and Loan Accounting Center (ALAC)</w:t>
      </w:r>
    </w:p>
    <w:bookmarkEnd w:id="0"/>
    <w:p w14:paraId="1F9AE7C7" w14:textId="77777777" w:rsidR="00850D80" w:rsidRDefault="002C4953"/>
    <w:p w14:paraId="14BA78DD" w14:textId="77777777" w:rsidR="0000682A" w:rsidRDefault="0000682A"/>
    <w:p w14:paraId="50BB7945" w14:textId="77777777" w:rsidR="0000682A" w:rsidRDefault="0000682A" w:rsidP="0000682A">
      <w:pPr>
        <w:spacing w:line="276" w:lineRule="auto"/>
      </w:pPr>
      <w:r>
        <w:t xml:space="preserve">This resource guide provides answers to questions asked during the VBA </w:t>
      </w:r>
      <w:r w:rsidR="009F4DAB">
        <w:t>Accruals and Annual Close</w:t>
      </w:r>
      <w:r>
        <w:t xml:space="preserve"> webinar delivered by VBA Administrative Loan and Accounting Center (ALAC) on </w:t>
      </w:r>
      <w:r w:rsidR="009F4DAB">
        <w:t>July</w:t>
      </w:r>
      <w:r>
        <w:t xml:space="preserve"> 2</w:t>
      </w:r>
      <w:r w:rsidR="001B6C86">
        <w:t>5</w:t>
      </w:r>
      <w:r>
        <w:t>, 201</w:t>
      </w:r>
      <w:r w:rsidR="001B6C86">
        <w:t>9</w:t>
      </w:r>
      <w:r>
        <w:t>. The questions are listed in the order they were asked during the training.</w:t>
      </w:r>
    </w:p>
    <w:tbl>
      <w:tblPr>
        <w:tblStyle w:val="TableGrid"/>
        <w:tblW w:w="0" w:type="auto"/>
        <w:shd w:val="clear" w:color="auto" w:fill="DBE5F1" w:themeFill="accent1" w:themeFillTint="33"/>
        <w:tblLook w:val="04A0" w:firstRow="1" w:lastRow="0" w:firstColumn="1" w:lastColumn="0" w:noHBand="0" w:noVBand="1"/>
      </w:tblPr>
      <w:tblGrid>
        <w:gridCol w:w="4284"/>
        <w:gridCol w:w="5066"/>
      </w:tblGrid>
      <w:tr w:rsidR="0000682A" w:rsidRPr="009D3099" w14:paraId="2ED1415B" w14:textId="77777777" w:rsidTr="000329B2">
        <w:trPr>
          <w:tblHeader/>
        </w:trPr>
        <w:tc>
          <w:tcPr>
            <w:tcW w:w="4284" w:type="dxa"/>
            <w:shd w:val="clear" w:color="auto" w:fill="DBE5F1" w:themeFill="accent1" w:themeFillTint="33"/>
          </w:tcPr>
          <w:p w14:paraId="432834BE" w14:textId="77777777" w:rsidR="0000682A" w:rsidRPr="009D3099" w:rsidRDefault="00F550C4" w:rsidP="00567B35">
            <w:pPr>
              <w:pStyle w:val="TableText"/>
              <w:jc w:val="center"/>
              <w:rPr>
                <w:b/>
              </w:rPr>
            </w:pPr>
            <w:r>
              <w:rPr>
                <w:b/>
              </w:rPr>
              <w:t xml:space="preserve">Accruals and Annual Close </w:t>
            </w:r>
            <w:r w:rsidR="0000682A" w:rsidRPr="009D3099">
              <w:rPr>
                <w:b/>
              </w:rPr>
              <w:t>Question</w:t>
            </w:r>
          </w:p>
        </w:tc>
        <w:tc>
          <w:tcPr>
            <w:tcW w:w="5066" w:type="dxa"/>
            <w:shd w:val="clear" w:color="auto" w:fill="DBE5F1" w:themeFill="accent1" w:themeFillTint="33"/>
          </w:tcPr>
          <w:p w14:paraId="787C2D58" w14:textId="77777777" w:rsidR="0000682A" w:rsidRDefault="00F550C4" w:rsidP="00567B35">
            <w:pPr>
              <w:pStyle w:val="TableText"/>
              <w:jc w:val="center"/>
              <w:rPr>
                <w:b/>
              </w:rPr>
            </w:pPr>
            <w:r>
              <w:rPr>
                <w:b/>
              </w:rPr>
              <w:t xml:space="preserve">Accruals and Annual Close </w:t>
            </w:r>
            <w:r w:rsidR="0000682A">
              <w:rPr>
                <w:b/>
              </w:rPr>
              <w:t>Answer</w:t>
            </w:r>
          </w:p>
          <w:p w14:paraId="4EE47E61" w14:textId="77777777" w:rsidR="0000682A" w:rsidRPr="009D3099" w:rsidRDefault="0000682A" w:rsidP="00567B35">
            <w:pPr>
              <w:pStyle w:val="TableText"/>
              <w:jc w:val="center"/>
              <w:rPr>
                <w:b/>
              </w:rPr>
            </w:pPr>
          </w:p>
        </w:tc>
      </w:tr>
      <w:tr w:rsidR="0000682A" w:rsidRPr="009D3099" w14:paraId="70AE7794" w14:textId="77777777" w:rsidTr="000329B2">
        <w:trPr>
          <w:trHeight w:val="728"/>
        </w:trPr>
        <w:tc>
          <w:tcPr>
            <w:tcW w:w="4284" w:type="dxa"/>
            <w:shd w:val="clear" w:color="auto" w:fill="auto"/>
          </w:tcPr>
          <w:p w14:paraId="2CC50C0A" w14:textId="77777777" w:rsidR="0000682A" w:rsidRPr="003C2AD4" w:rsidRDefault="00F550C4" w:rsidP="00D74C1E">
            <w:pPr>
              <w:spacing w:after="200" w:line="276" w:lineRule="auto"/>
              <w:rPr>
                <w:rStyle w:val="imsender1"/>
                <w:rFonts w:asciiTheme="minorHAnsi" w:hAnsiTheme="minorHAnsi"/>
                <w:b w:val="0"/>
                <w:sz w:val="24"/>
                <w:szCs w:val="24"/>
              </w:rPr>
            </w:pPr>
            <w:r w:rsidRPr="003C2AD4">
              <w:t>What is the BOC code for RA items and reasonable accommodations?</w:t>
            </w:r>
          </w:p>
        </w:tc>
        <w:tc>
          <w:tcPr>
            <w:tcW w:w="5066" w:type="dxa"/>
            <w:shd w:val="clear" w:color="auto" w:fill="auto"/>
          </w:tcPr>
          <w:p w14:paraId="1E6B9627" w14:textId="77777777" w:rsidR="0000682A" w:rsidRPr="003C2AD4" w:rsidRDefault="009C377B" w:rsidP="004D4201">
            <w:pPr>
              <w:pStyle w:val="PlainText"/>
              <w:rPr>
                <w:rFonts w:cs="Segoe UI"/>
                <w:color w:val="000000"/>
                <w:sz w:val="24"/>
                <w:szCs w:val="24"/>
              </w:rPr>
            </w:pPr>
            <w:r w:rsidRPr="003C2AD4">
              <w:rPr>
                <w:rFonts w:cs="Segoe UI"/>
                <w:color w:val="000000"/>
                <w:sz w:val="24"/>
                <w:szCs w:val="24"/>
              </w:rPr>
              <w:t xml:space="preserve">There is not a set BOC </w:t>
            </w:r>
            <w:r w:rsidR="00BD7DFD" w:rsidRPr="003C2AD4">
              <w:rPr>
                <w:rFonts w:cs="Segoe UI"/>
                <w:color w:val="000000"/>
                <w:sz w:val="24"/>
                <w:szCs w:val="24"/>
              </w:rPr>
              <w:t xml:space="preserve">specifically </w:t>
            </w:r>
            <w:r w:rsidRPr="003C2AD4">
              <w:rPr>
                <w:rFonts w:cs="Segoe UI"/>
                <w:color w:val="000000"/>
                <w:sz w:val="24"/>
                <w:szCs w:val="24"/>
              </w:rPr>
              <w:t>for Reasonable Accommodations</w:t>
            </w:r>
            <w:r w:rsidR="00BD7DFD" w:rsidRPr="003C2AD4">
              <w:rPr>
                <w:rFonts w:cs="Segoe UI"/>
                <w:color w:val="000000"/>
                <w:sz w:val="24"/>
                <w:szCs w:val="24"/>
              </w:rPr>
              <w:t>. The Budget Object Clothes are categorized in a classification system that present obligations by items or services purchased by the Federal Government.</w:t>
            </w:r>
          </w:p>
          <w:p w14:paraId="206C2AB0" w14:textId="77777777" w:rsidR="00BD7DFD" w:rsidRPr="003C2AD4" w:rsidRDefault="002C4953" w:rsidP="004D4201">
            <w:pPr>
              <w:pStyle w:val="PlainText"/>
              <w:rPr>
                <w:rFonts w:cs="Segoe UI"/>
                <w:color w:val="000000"/>
                <w:sz w:val="24"/>
                <w:szCs w:val="24"/>
              </w:rPr>
            </w:pPr>
            <w:hyperlink r:id="rId8" w:history="1">
              <w:r w:rsidR="00BD7DFD" w:rsidRPr="003C2AD4">
                <w:rPr>
                  <w:rStyle w:val="Hyperlink"/>
                  <w:rFonts w:cs="Segoe UI"/>
                  <w:sz w:val="24"/>
                  <w:szCs w:val="24"/>
                </w:rPr>
                <w:t>FINANCIAL POLICY VOLUME XIII -COST ACCOUNTING</w:t>
              </w:r>
            </w:hyperlink>
          </w:p>
        </w:tc>
      </w:tr>
      <w:tr w:rsidR="0000682A" w:rsidRPr="009D3099" w14:paraId="7AA252F2" w14:textId="77777777" w:rsidTr="000329B2">
        <w:trPr>
          <w:trHeight w:val="827"/>
        </w:trPr>
        <w:tc>
          <w:tcPr>
            <w:tcW w:w="4284" w:type="dxa"/>
            <w:shd w:val="clear" w:color="auto" w:fill="auto"/>
          </w:tcPr>
          <w:p w14:paraId="702E5A34" w14:textId="77777777" w:rsidR="0000682A" w:rsidRPr="003C2AD4" w:rsidRDefault="00F550C4" w:rsidP="00567B35">
            <w:pPr>
              <w:spacing w:after="200" w:line="276" w:lineRule="auto"/>
              <w:rPr>
                <w:rStyle w:val="imsender1"/>
                <w:rFonts w:asciiTheme="minorHAnsi" w:hAnsiTheme="minorHAnsi"/>
                <w:b w:val="0"/>
                <w:sz w:val="24"/>
                <w:szCs w:val="24"/>
              </w:rPr>
            </w:pPr>
            <w:r w:rsidRPr="003C2AD4">
              <w:t>What dates do we have to accrue again?</w:t>
            </w:r>
          </w:p>
        </w:tc>
        <w:tc>
          <w:tcPr>
            <w:tcW w:w="5066" w:type="dxa"/>
            <w:shd w:val="clear" w:color="auto" w:fill="auto"/>
          </w:tcPr>
          <w:p w14:paraId="3D477D65" w14:textId="77777777" w:rsidR="0000682A" w:rsidRPr="003C2AD4" w:rsidRDefault="000F573A" w:rsidP="00B173F1">
            <w:pPr>
              <w:pStyle w:val="PlainText"/>
              <w:rPr>
                <w:rFonts w:cs="Segoe UI"/>
                <w:color w:val="000000"/>
                <w:sz w:val="24"/>
                <w:szCs w:val="24"/>
              </w:rPr>
            </w:pPr>
            <w:r w:rsidRPr="003C2AD4">
              <w:rPr>
                <w:rFonts w:cs="Segoe UI"/>
                <w:color w:val="000000"/>
                <w:sz w:val="24"/>
                <w:szCs w:val="24"/>
              </w:rPr>
              <w:t xml:space="preserve">Based on the Financial Services Center Payroll Calendar, PP19 ends on 9/28/2019. CAATS will automatically accrue payroll from the PAID system up to that date. </w:t>
            </w:r>
            <w:r w:rsidR="001D0949" w:rsidRPr="003C2AD4">
              <w:rPr>
                <w:rFonts w:cs="Segoe UI"/>
                <w:color w:val="000000"/>
                <w:sz w:val="24"/>
                <w:szCs w:val="24"/>
              </w:rPr>
              <w:t>The Regional Offices will have to manually accrue 9/29/2019 and 9/30/2019 in CAATS (if it is still online) or the RO will have to submit a manual Accrual form to ALAC for Processing.  If, in the event, there are additional transactions that were not entered in the PAID for PP19, these will have to be included in the manual accrual.</w:t>
            </w:r>
          </w:p>
        </w:tc>
      </w:tr>
      <w:tr w:rsidR="0000682A" w:rsidRPr="009D3099" w14:paraId="77DB84B5" w14:textId="77777777" w:rsidTr="000329B2">
        <w:tc>
          <w:tcPr>
            <w:tcW w:w="4284" w:type="dxa"/>
            <w:shd w:val="clear" w:color="auto" w:fill="auto"/>
          </w:tcPr>
          <w:p w14:paraId="40550427" w14:textId="77777777" w:rsidR="0000682A" w:rsidRPr="003C2AD4" w:rsidRDefault="00F550C4" w:rsidP="00567B35">
            <w:pPr>
              <w:spacing w:before="40" w:after="40"/>
              <w:rPr>
                <w:b/>
              </w:rPr>
            </w:pPr>
            <w:r w:rsidRPr="003C2AD4">
              <w:t>Do we only have to accrue the 28th and 29th?</w:t>
            </w:r>
          </w:p>
        </w:tc>
        <w:tc>
          <w:tcPr>
            <w:tcW w:w="5066" w:type="dxa"/>
            <w:shd w:val="clear" w:color="auto" w:fill="auto"/>
          </w:tcPr>
          <w:p w14:paraId="188D17EC" w14:textId="77777777" w:rsidR="0000682A" w:rsidRPr="003C2AD4" w:rsidRDefault="001D0949" w:rsidP="00B173F1">
            <w:pPr>
              <w:pStyle w:val="PlainText"/>
              <w:rPr>
                <w:sz w:val="24"/>
                <w:szCs w:val="24"/>
              </w:rPr>
            </w:pPr>
            <w:r w:rsidRPr="003C2AD4">
              <w:rPr>
                <w:rFonts w:cs="Segoe UI"/>
                <w:color w:val="000000"/>
                <w:sz w:val="24"/>
                <w:szCs w:val="24"/>
              </w:rPr>
              <w:t>Based on the Financial Services Center Payroll Calendar, PP19 ends on 9/28/2019. CAATS will automatically accrue payroll from the PAID system up to that date. The Regional Offices will have to manually accrue 9/29/2019 and 9/30/2019 in CAATS (if it is still online) or the RO will have to submit a manual Accrual form to ALAC for Processing.  If, in the event, there are additional transactions that were not entered in the PAID for PP19, these will have to be included in the manual accrual.</w:t>
            </w:r>
          </w:p>
        </w:tc>
      </w:tr>
      <w:tr w:rsidR="0000682A" w:rsidRPr="009D3099" w14:paraId="5A7AE456" w14:textId="77777777" w:rsidTr="000329B2">
        <w:tblPrEx>
          <w:shd w:val="clear" w:color="auto" w:fill="auto"/>
        </w:tblPrEx>
        <w:tc>
          <w:tcPr>
            <w:tcW w:w="4284" w:type="dxa"/>
          </w:tcPr>
          <w:p w14:paraId="3B7F1B00" w14:textId="77777777" w:rsidR="00196394" w:rsidRPr="003C2AD4" w:rsidRDefault="00AF7490" w:rsidP="00567B35">
            <w:pPr>
              <w:rPr>
                <w:rStyle w:val="imsender1"/>
                <w:b w:val="0"/>
                <w:sz w:val="24"/>
                <w:szCs w:val="24"/>
              </w:rPr>
            </w:pPr>
            <w:r w:rsidRPr="003C2AD4">
              <w:t>Can you go over the important dates again for the accrual cycle?</w:t>
            </w:r>
          </w:p>
          <w:p w14:paraId="163BA399" w14:textId="77777777" w:rsidR="00196394" w:rsidRPr="003C2AD4" w:rsidRDefault="00196394" w:rsidP="00567B35">
            <w:pPr>
              <w:rPr>
                <w:rStyle w:val="imsender1"/>
                <w:rFonts w:asciiTheme="minorHAnsi" w:hAnsiTheme="minorHAnsi"/>
                <w:b w:val="0"/>
                <w:sz w:val="24"/>
                <w:szCs w:val="24"/>
              </w:rPr>
            </w:pPr>
          </w:p>
        </w:tc>
        <w:tc>
          <w:tcPr>
            <w:tcW w:w="5066" w:type="dxa"/>
          </w:tcPr>
          <w:p w14:paraId="08FFDAD5" w14:textId="77777777" w:rsidR="0000682A" w:rsidRPr="003C2AD4" w:rsidRDefault="001D0949" w:rsidP="00B173F1">
            <w:pPr>
              <w:pStyle w:val="PlainText"/>
              <w:rPr>
                <w:rFonts w:cs="Segoe UI"/>
                <w:color w:val="000000"/>
                <w:sz w:val="24"/>
                <w:szCs w:val="24"/>
              </w:rPr>
            </w:pPr>
            <w:r w:rsidRPr="003C2AD4">
              <w:rPr>
                <w:rFonts w:cs="Segoe UI"/>
                <w:color w:val="000000"/>
                <w:sz w:val="24"/>
                <w:szCs w:val="24"/>
              </w:rPr>
              <w:lastRenderedPageBreak/>
              <w:t xml:space="preserve">Based on the Financial Services Center Payroll Calendar, PP19 ends on 9/28/2019. CAATS will </w:t>
            </w:r>
            <w:r w:rsidRPr="003C2AD4">
              <w:rPr>
                <w:rFonts w:cs="Segoe UI"/>
                <w:color w:val="000000"/>
                <w:sz w:val="24"/>
                <w:szCs w:val="24"/>
              </w:rPr>
              <w:lastRenderedPageBreak/>
              <w:t>automatically accrue payroll from the PAID system up to that date. The Regional Offices will have to manually accrue 9/29/2019 and 9/30/2019 in CAATS (if it is still online) or the RO will have to submit a manual Accrual form to ALAC for Processing.  If, in the event, there are additional transactions that were not entered in the PAID for PP19, these will have to be included in the manual accrual.</w:t>
            </w:r>
          </w:p>
        </w:tc>
      </w:tr>
      <w:tr w:rsidR="0000682A" w:rsidRPr="009D3099" w14:paraId="4FC0DC99" w14:textId="77777777" w:rsidTr="000329B2">
        <w:tblPrEx>
          <w:shd w:val="clear" w:color="auto" w:fill="auto"/>
        </w:tblPrEx>
        <w:trPr>
          <w:trHeight w:val="908"/>
        </w:trPr>
        <w:tc>
          <w:tcPr>
            <w:tcW w:w="4284" w:type="dxa"/>
          </w:tcPr>
          <w:p w14:paraId="3796919B" w14:textId="77777777" w:rsidR="0000682A" w:rsidRPr="003C2AD4" w:rsidRDefault="00AF7490" w:rsidP="00567B35">
            <w:r w:rsidRPr="003C2AD4">
              <w:lastRenderedPageBreak/>
              <w:t>Is LWOP payroll accrual transaction the same as FEHB MTF?</w:t>
            </w:r>
          </w:p>
        </w:tc>
        <w:tc>
          <w:tcPr>
            <w:tcW w:w="5066" w:type="dxa"/>
          </w:tcPr>
          <w:p w14:paraId="265CC366" w14:textId="77777777" w:rsidR="0000682A" w:rsidRPr="003C2AD4" w:rsidRDefault="001D0949" w:rsidP="00567B35">
            <w:r w:rsidRPr="003C2AD4">
              <w:t>LWOP payroll is different from a payroll accrual. LWOP is generated as a receivable due to employees who take leave without pay, however, Payroll Accrual is generated because we run an Accrual system, therefore, we enter the expenses in the system as we accrue them.</w:t>
            </w:r>
          </w:p>
        </w:tc>
      </w:tr>
      <w:tr w:rsidR="0000682A" w:rsidRPr="009D3099" w14:paraId="68E28460" w14:textId="77777777" w:rsidTr="000329B2">
        <w:tblPrEx>
          <w:shd w:val="clear" w:color="auto" w:fill="auto"/>
        </w:tblPrEx>
        <w:trPr>
          <w:trHeight w:val="683"/>
        </w:trPr>
        <w:tc>
          <w:tcPr>
            <w:tcW w:w="4284" w:type="dxa"/>
          </w:tcPr>
          <w:p w14:paraId="34DBAA6E" w14:textId="77777777" w:rsidR="00AF7490" w:rsidRPr="003C2AD4" w:rsidRDefault="00AF7490" w:rsidP="00AF7490">
            <w:r w:rsidRPr="003C2AD4">
              <w:t>Who does awards? Our department or HRC?</w:t>
            </w:r>
          </w:p>
          <w:p w14:paraId="6A26176C" w14:textId="77777777" w:rsidR="0000682A" w:rsidRPr="003C2AD4" w:rsidRDefault="0000682A" w:rsidP="00567B35"/>
        </w:tc>
        <w:tc>
          <w:tcPr>
            <w:tcW w:w="5066" w:type="dxa"/>
          </w:tcPr>
          <w:p w14:paraId="525D85CA" w14:textId="77777777" w:rsidR="0000682A" w:rsidRPr="003C2AD4" w:rsidRDefault="00A470B3" w:rsidP="00B173F1">
            <w:pPr>
              <w:pStyle w:val="PlainText"/>
              <w:rPr>
                <w:sz w:val="24"/>
                <w:szCs w:val="24"/>
              </w:rPr>
            </w:pPr>
            <w:r w:rsidRPr="003C2AD4">
              <w:rPr>
                <w:sz w:val="24"/>
                <w:szCs w:val="24"/>
              </w:rPr>
              <w:t xml:space="preserve">The services (SSD) writes the awards and sends to HR to code and process. </w:t>
            </w:r>
          </w:p>
        </w:tc>
      </w:tr>
      <w:tr w:rsidR="0000682A" w:rsidRPr="009D3099" w14:paraId="6C713B41" w14:textId="77777777" w:rsidTr="000329B2">
        <w:tblPrEx>
          <w:shd w:val="clear" w:color="auto" w:fill="auto"/>
        </w:tblPrEx>
        <w:tc>
          <w:tcPr>
            <w:tcW w:w="4284" w:type="dxa"/>
          </w:tcPr>
          <w:p w14:paraId="54FD4997" w14:textId="77777777" w:rsidR="0000682A" w:rsidRPr="003C2AD4" w:rsidRDefault="00AF7490" w:rsidP="00567B35">
            <w:pPr>
              <w:rPr>
                <w:b/>
              </w:rPr>
            </w:pPr>
            <w:r w:rsidRPr="003C2AD4">
              <w:t>Where can we find the accrual in FMS?</w:t>
            </w:r>
          </w:p>
        </w:tc>
        <w:tc>
          <w:tcPr>
            <w:tcW w:w="5066" w:type="dxa"/>
          </w:tcPr>
          <w:p w14:paraId="13FD0338" w14:textId="77777777" w:rsidR="0000682A" w:rsidRPr="003C2AD4" w:rsidRDefault="000F34E2" w:rsidP="00B173F1">
            <w:pPr>
              <w:pStyle w:val="PlainText"/>
              <w:rPr>
                <w:sz w:val="24"/>
                <w:szCs w:val="24"/>
              </w:rPr>
            </w:pPr>
            <w:r w:rsidRPr="003C2AD4">
              <w:rPr>
                <w:sz w:val="24"/>
                <w:szCs w:val="24"/>
              </w:rPr>
              <w:t xml:space="preserve">Station must first scan on the SUSA and used the following Transaction code RJ / Payroll and SV / Credit Card Accrual. </w:t>
            </w:r>
          </w:p>
        </w:tc>
      </w:tr>
      <w:tr w:rsidR="00A5326E" w:rsidRPr="009D3099" w14:paraId="721DAD65" w14:textId="77777777" w:rsidTr="000329B2">
        <w:tblPrEx>
          <w:shd w:val="clear" w:color="auto" w:fill="auto"/>
        </w:tblPrEx>
        <w:trPr>
          <w:trHeight w:val="2312"/>
        </w:trPr>
        <w:tc>
          <w:tcPr>
            <w:tcW w:w="4284" w:type="dxa"/>
          </w:tcPr>
          <w:p w14:paraId="4EFB2A7E" w14:textId="77777777" w:rsidR="00A5326E" w:rsidRPr="003C2AD4" w:rsidRDefault="00A5326E" w:rsidP="00A5326E">
            <w:pPr>
              <w:autoSpaceDE w:val="0"/>
              <w:autoSpaceDN w:val="0"/>
              <w:spacing w:before="40" w:after="40"/>
            </w:pPr>
            <w:r w:rsidRPr="003C2AD4">
              <w:t xml:space="preserve">I </w:t>
            </w:r>
            <w:r w:rsidRPr="003C2AD4">
              <w:rPr>
                <w:rFonts w:cs="Segoe UI"/>
                <w:color w:val="000000"/>
              </w:rPr>
              <w:t>noticed on a closed BD when you went to the ARLT table code, it showed the old BD closed out.  Then I believe I saw the person hit enter then it went to the ARLT table and show the status of that BD with 3220 BOC.  How did you do that?</w:t>
            </w:r>
          </w:p>
          <w:p w14:paraId="149A039C" w14:textId="77777777" w:rsidR="00A5326E" w:rsidRPr="003C2AD4" w:rsidRDefault="00A5326E" w:rsidP="00567B35">
            <w:pPr>
              <w:rPr>
                <w:b/>
              </w:rPr>
            </w:pPr>
          </w:p>
        </w:tc>
        <w:tc>
          <w:tcPr>
            <w:tcW w:w="5066" w:type="dxa"/>
          </w:tcPr>
          <w:p w14:paraId="7389375C" w14:textId="77777777" w:rsidR="00A5326E" w:rsidRPr="003C2AD4" w:rsidRDefault="00117BF7" w:rsidP="00567B35">
            <w:r w:rsidRPr="003C2AD4">
              <w:t xml:space="preserve">The ARHT and ARLT are two different tables in FMS. The ARHT is the Account </w:t>
            </w:r>
            <w:r w:rsidR="0022420B" w:rsidRPr="003C2AD4">
              <w:t>Receivable</w:t>
            </w:r>
            <w:r w:rsidRPr="003C2AD4">
              <w:t xml:space="preserve"> Header Table which provides summary information. The ARLT is the Account Receivable Line Table which provides detail information regarding the line of </w:t>
            </w:r>
            <w:r w:rsidR="0022420B" w:rsidRPr="003C2AD4">
              <w:t>accounting.</w:t>
            </w:r>
            <w:r w:rsidR="00CE3ED0" w:rsidRPr="003C2AD4">
              <w:t xml:space="preserve"> A RO can leaf from one table to the next by using the (L) in the Action field.</w:t>
            </w:r>
          </w:p>
        </w:tc>
      </w:tr>
      <w:tr w:rsidR="00A5326E" w:rsidRPr="009D3099" w14:paraId="138F02E7" w14:textId="77777777" w:rsidTr="000329B2">
        <w:tblPrEx>
          <w:shd w:val="clear" w:color="auto" w:fill="auto"/>
        </w:tblPrEx>
        <w:tc>
          <w:tcPr>
            <w:tcW w:w="4284" w:type="dxa"/>
          </w:tcPr>
          <w:p w14:paraId="7791E7F6" w14:textId="77777777" w:rsidR="00A5326E" w:rsidRPr="003C2AD4" w:rsidRDefault="00A5326E" w:rsidP="00AD0711">
            <w:r w:rsidRPr="003C2AD4">
              <w:t>The end of year balances in FMS it is still the rule/law that payroll fund can only be used for payroll and local travel fund can only be used for local travel Correct?</w:t>
            </w:r>
          </w:p>
          <w:p w14:paraId="337CB457" w14:textId="77777777" w:rsidR="00A5326E" w:rsidRPr="003C2AD4" w:rsidRDefault="00A5326E" w:rsidP="00AD0711">
            <w:pPr>
              <w:rPr>
                <w:b/>
              </w:rPr>
            </w:pPr>
          </w:p>
        </w:tc>
        <w:tc>
          <w:tcPr>
            <w:tcW w:w="5066" w:type="dxa"/>
          </w:tcPr>
          <w:p w14:paraId="521F3DB4" w14:textId="77777777" w:rsidR="00A5326E" w:rsidRPr="003C2AD4" w:rsidRDefault="000329B2" w:rsidP="00567B35">
            <w:r w:rsidRPr="003C2AD4">
              <w:t xml:space="preserve">Any amount that is in your SASP under fund control point for payroll BOC limitation 11 is only for payroll. No one can process any transactions to move funds away from that. </w:t>
            </w:r>
            <w:r w:rsidR="003C2AD4">
              <w:t>This</w:t>
            </w:r>
            <w:r w:rsidRPr="003C2AD4">
              <w:t xml:space="preserve"> </w:t>
            </w:r>
            <w:r w:rsidR="003C2AD4">
              <w:t>is</w:t>
            </w:r>
            <w:r w:rsidRPr="003C2AD4">
              <w:t xml:space="preserve"> coordinated through central office. </w:t>
            </w:r>
            <w:r w:rsidR="003C2AD4">
              <w:t>T</w:t>
            </w:r>
            <w:r w:rsidRPr="003C2AD4">
              <w:t xml:space="preserve">he other fund control points </w:t>
            </w:r>
            <w:r w:rsidR="003C2AD4">
              <w:t>are</w:t>
            </w:r>
            <w:r w:rsidRPr="003C2AD4">
              <w:t xml:space="preserve"> at your director</w:t>
            </w:r>
            <w:r w:rsidR="003C2AD4">
              <w:t>’s</w:t>
            </w:r>
            <w:r w:rsidRPr="003C2AD4">
              <w:t xml:space="preserve"> discretion on how he or she would like to move funds in or out to cover any negative amounts in your fund control points or limitation. The limitation for payroll cannot be touched </w:t>
            </w:r>
            <w:r w:rsidR="003C2AD4">
              <w:t>and</w:t>
            </w:r>
            <w:r w:rsidRPr="003C2AD4">
              <w:t xml:space="preserve"> should not be touched for fund control points.</w:t>
            </w:r>
          </w:p>
        </w:tc>
      </w:tr>
      <w:tr w:rsidR="00B720A4" w:rsidRPr="009D3099" w14:paraId="3B2F22F3" w14:textId="77777777" w:rsidTr="000329B2">
        <w:tblPrEx>
          <w:shd w:val="clear" w:color="auto" w:fill="auto"/>
        </w:tblPrEx>
        <w:tc>
          <w:tcPr>
            <w:tcW w:w="4284" w:type="dxa"/>
          </w:tcPr>
          <w:p w14:paraId="706F0998" w14:textId="77777777" w:rsidR="00B720A4" w:rsidRPr="003C2AD4" w:rsidRDefault="00B720A4" w:rsidP="00AD0711">
            <w:r>
              <w:lastRenderedPageBreak/>
              <w:t>Is there a TMS course ID number for this training?</w:t>
            </w:r>
          </w:p>
        </w:tc>
        <w:tc>
          <w:tcPr>
            <w:tcW w:w="5066" w:type="dxa"/>
          </w:tcPr>
          <w:p w14:paraId="6ECFF677" w14:textId="77777777" w:rsidR="00B720A4" w:rsidRPr="003C2AD4" w:rsidRDefault="00B720A4" w:rsidP="00567B35">
            <w:r>
              <w:t>The TMS course ID number is VA 3851345.</w:t>
            </w:r>
          </w:p>
        </w:tc>
      </w:tr>
    </w:tbl>
    <w:p w14:paraId="1A5C9786" w14:textId="77777777" w:rsidR="0000682A" w:rsidRDefault="0000682A"/>
    <w:p w14:paraId="6D2DC1F3" w14:textId="77777777" w:rsidR="0000682A" w:rsidRDefault="0000682A"/>
    <w:p w14:paraId="0F76720E" w14:textId="77777777" w:rsidR="0000682A" w:rsidRDefault="0000682A"/>
    <w:sectPr w:rsidR="0000682A" w:rsidSect="00383304">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99794" w14:textId="77777777" w:rsidR="002C4953" w:rsidRDefault="002C4953" w:rsidP="0000682A">
      <w:r>
        <w:separator/>
      </w:r>
    </w:p>
  </w:endnote>
  <w:endnote w:type="continuationSeparator" w:id="0">
    <w:p w14:paraId="207C9834" w14:textId="77777777" w:rsidR="002C4953" w:rsidRDefault="002C4953" w:rsidP="0000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6F990" w14:textId="77777777" w:rsidR="00383304" w:rsidRDefault="00383304">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F17092">
      <w:rPr>
        <w:noProof/>
        <w:color w:val="17365D" w:themeColor="text2" w:themeShade="BF"/>
      </w:rPr>
      <w:t>4</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F17092">
      <w:rPr>
        <w:noProof/>
        <w:color w:val="17365D" w:themeColor="text2" w:themeShade="BF"/>
      </w:rPr>
      <w:t>4</w:t>
    </w:r>
    <w:r>
      <w:rPr>
        <w:color w:val="17365D" w:themeColor="text2" w:themeShade="BF"/>
      </w:rPr>
      <w:fldChar w:fldCharType="end"/>
    </w:r>
  </w:p>
  <w:p w14:paraId="6D60FA01" w14:textId="77777777" w:rsidR="00383304" w:rsidRDefault="00383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33BB5" w14:textId="77777777" w:rsidR="002C4953" w:rsidRDefault="002C4953" w:rsidP="0000682A">
      <w:r>
        <w:separator/>
      </w:r>
    </w:p>
  </w:footnote>
  <w:footnote w:type="continuationSeparator" w:id="0">
    <w:p w14:paraId="6305C03E" w14:textId="77777777" w:rsidR="002C4953" w:rsidRDefault="002C4953" w:rsidP="00006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7DA38" w14:textId="77777777" w:rsidR="00383304" w:rsidRPr="00253E68" w:rsidRDefault="00383304" w:rsidP="00383304">
    <w:pPr>
      <w:pStyle w:val="Title"/>
      <w:pBdr>
        <w:bottom w:val="single" w:sz="8" w:space="4" w:color="C0504D" w:themeColor="accent2"/>
      </w:pBdr>
      <w:spacing w:after="240"/>
      <w:jc w:val="center"/>
      <w:rPr>
        <w:b/>
        <w:sz w:val="32"/>
        <w:szCs w:val="32"/>
      </w:rPr>
    </w:pPr>
    <w:r>
      <w:rPr>
        <w:noProof/>
      </w:rPr>
      <w:drawing>
        <wp:inline distT="0" distB="0" distL="0" distR="0" wp14:anchorId="5475AD88" wp14:editId="418F210F">
          <wp:extent cx="1554480" cy="530225"/>
          <wp:effectExtent l="0" t="0" r="7620" b="3175"/>
          <wp:docPr id="5" name="Picture 5" descr="U.S. Department of Veterans Affairs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US Department of VA Affairs.jpg"/>
                  <pic:cNvPicPr/>
                </pic:nvPicPr>
                <pic:blipFill>
                  <a:blip r:embed="rId1">
                    <a:extLst>
                      <a:ext uri="{28A0092B-C50C-407E-A947-70E740481C1C}">
                        <a14:useLocalDpi xmlns:a14="http://schemas.microsoft.com/office/drawing/2010/main" val="0"/>
                      </a:ext>
                    </a:extLst>
                  </a:blip>
                  <a:stretch>
                    <a:fillRect/>
                  </a:stretch>
                </pic:blipFill>
                <pic:spPr>
                  <a:xfrm>
                    <a:off x="0" y="0"/>
                    <a:ext cx="1554480" cy="530225"/>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259B9114" w14:textId="77777777" w:rsidR="0000682A" w:rsidRDefault="00006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6780A"/>
    <w:multiLevelType w:val="hybridMultilevel"/>
    <w:tmpl w:val="EF182E8C"/>
    <w:lvl w:ilvl="0" w:tplc="310876B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FE28F0"/>
    <w:multiLevelType w:val="hybridMultilevel"/>
    <w:tmpl w:val="6DB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2A"/>
    <w:rsid w:val="0000682A"/>
    <w:rsid w:val="00016CBB"/>
    <w:rsid w:val="000329B2"/>
    <w:rsid w:val="00087C46"/>
    <w:rsid w:val="00092F25"/>
    <w:rsid w:val="000F34E2"/>
    <w:rsid w:val="000F573A"/>
    <w:rsid w:val="00117BF7"/>
    <w:rsid w:val="00122D83"/>
    <w:rsid w:val="00154A95"/>
    <w:rsid w:val="00196394"/>
    <w:rsid w:val="001B6C86"/>
    <w:rsid w:val="001D0949"/>
    <w:rsid w:val="0022420B"/>
    <w:rsid w:val="00232FB7"/>
    <w:rsid w:val="00286468"/>
    <w:rsid w:val="002C4953"/>
    <w:rsid w:val="00317F1E"/>
    <w:rsid w:val="00327647"/>
    <w:rsid w:val="003774D5"/>
    <w:rsid w:val="00383304"/>
    <w:rsid w:val="003B0490"/>
    <w:rsid w:val="003B6D7F"/>
    <w:rsid w:val="003C2AD4"/>
    <w:rsid w:val="004D4201"/>
    <w:rsid w:val="00653745"/>
    <w:rsid w:val="006731C4"/>
    <w:rsid w:val="00676BF5"/>
    <w:rsid w:val="006B478A"/>
    <w:rsid w:val="006C3A77"/>
    <w:rsid w:val="00722DB0"/>
    <w:rsid w:val="007260A6"/>
    <w:rsid w:val="00773E4F"/>
    <w:rsid w:val="007E45F1"/>
    <w:rsid w:val="00844920"/>
    <w:rsid w:val="008543E1"/>
    <w:rsid w:val="00887F73"/>
    <w:rsid w:val="00915832"/>
    <w:rsid w:val="00925CD0"/>
    <w:rsid w:val="00931FAA"/>
    <w:rsid w:val="009C377B"/>
    <w:rsid w:val="009F4DAB"/>
    <w:rsid w:val="00A12504"/>
    <w:rsid w:val="00A46091"/>
    <w:rsid w:val="00A470B3"/>
    <w:rsid w:val="00A5326E"/>
    <w:rsid w:val="00AD0711"/>
    <w:rsid w:val="00AF7490"/>
    <w:rsid w:val="00B173F1"/>
    <w:rsid w:val="00B24DB6"/>
    <w:rsid w:val="00B67D2C"/>
    <w:rsid w:val="00B720A4"/>
    <w:rsid w:val="00BD5476"/>
    <w:rsid w:val="00BD7DFD"/>
    <w:rsid w:val="00C3417F"/>
    <w:rsid w:val="00C41A75"/>
    <w:rsid w:val="00C42B9A"/>
    <w:rsid w:val="00C4364D"/>
    <w:rsid w:val="00C542E8"/>
    <w:rsid w:val="00C808CC"/>
    <w:rsid w:val="00CE3ED0"/>
    <w:rsid w:val="00CF23BF"/>
    <w:rsid w:val="00CF51C4"/>
    <w:rsid w:val="00D05A6A"/>
    <w:rsid w:val="00D5252F"/>
    <w:rsid w:val="00D66366"/>
    <w:rsid w:val="00D74C1E"/>
    <w:rsid w:val="00DA7E87"/>
    <w:rsid w:val="00DD31B2"/>
    <w:rsid w:val="00E03C28"/>
    <w:rsid w:val="00E25EA4"/>
    <w:rsid w:val="00E40B1B"/>
    <w:rsid w:val="00E55B56"/>
    <w:rsid w:val="00E574AA"/>
    <w:rsid w:val="00EA4C50"/>
    <w:rsid w:val="00EB6190"/>
    <w:rsid w:val="00F17092"/>
    <w:rsid w:val="00F304B5"/>
    <w:rsid w:val="00F339DF"/>
    <w:rsid w:val="00F550C4"/>
    <w:rsid w:val="00FC51B7"/>
    <w:rsid w:val="00FC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7B0A4"/>
  <w15:chartTrackingRefBased/>
  <w15:docId w15:val="{8D4B6C12-16F1-4E8F-A625-E628BA95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82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682A"/>
    <w:pPr>
      <w:numPr>
        <w:numId w:val="2"/>
      </w:numPr>
      <w:contextualSpacing/>
    </w:pPr>
    <w:rPr>
      <w:rFonts w:ascii="Calibri" w:eastAsiaTheme="minorHAnsi" w:hAnsi="Calibri"/>
      <w:b/>
      <w:sz w:val="22"/>
      <w:szCs w:val="22"/>
    </w:rPr>
  </w:style>
  <w:style w:type="character" w:customStyle="1" w:styleId="ListParagraphChar">
    <w:name w:val="List Paragraph Char"/>
    <w:basedOn w:val="DefaultParagraphFont"/>
    <w:link w:val="ListParagraph"/>
    <w:uiPriority w:val="34"/>
    <w:rsid w:val="0000682A"/>
    <w:rPr>
      <w:rFonts w:ascii="Calibri" w:hAnsi="Calibri" w:cs="Times New Roman"/>
      <w:b/>
    </w:rPr>
  </w:style>
  <w:style w:type="table" w:styleId="TableGrid">
    <w:name w:val="Table Grid"/>
    <w:basedOn w:val="TableNormal"/>
    <w:uiPriority w:val="59"/>
    <w:rsid w:val="0000682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00682A"/>
    <w:pPr>
      <w:spacing w:before="40" w:after="40"/>
    </w:pPr>
  </w:style>
  <w:style w:type="character" w:styleId="Hyperlink">
    <w:name w:val="Hyperlink"/>
    <w:basedOn w:val="DefaultParagraphFont"/>
    <w:uiPriority w:val="99"/>
    <w:unhideWhenUsed/>
    <w:rsid w:val="0000682A"/>
    <w:rPr>
      <w:color w:val="0000FF" w:themeColor="hyperlink"/>
      <w:u w:val="single"/>
    </w:rPr>
  </w:style>
  <w:style w:type="character" w:customStyle="1" w:styleId="TableTextChar">
    <w:name w:val="Table Text Char"/>
    <w:basedOn w:val="DefaultParagraphFont"/>
    <w:link w:val="TableText"/>
    <w:rsid w:val="0000682A"/>
    <w:rPr>
      <w:rFonts w:eastAsia="Times New Roman" w:cs="Times New Roman"/>
      <w:sz w:val="24"/>
      <w:szCs w:val="24"/>
    </w:rPr>
  </w:style>
  <w:style w:type="character" w:customStyle="1" w:styleId="imsender1">
    <w:name w:val="im_sender1"/>
    <w:basedOn w:val="DefaultParagraphFont"/>
    <w:rsid w:val="0000682A"/>
    <w:rPr>
      <w:rFonts w:ascii="Segoe UI" w:hAnsi="Segoe UI" w:cs="Segoe UI" w:hint="default"/>
      <w:b/>
      <w:bCs/>
      <w:i w:val="0"/>
      <w:iCs w:val="0"/>
      <w:caps w:val="0"/>
      <w:smallCaps w:val="0"/>
      <w:strike w:val="0"/>
      <w:dstrike w:val="0"/>
      <w:color w:val="666666"/>
      <w:sz w:val="17"/>
      <w:szCs w:val="17"/>
      <w:u w:val="none"/>
      <w:effect w:val="none"/>
    </w:rPr>
  </w:style>
  <w:style w:type="character" w:styleId="FollowedHyperlink">
    <w:name w:val="FollowedHyperlink"/>
    <w:basedOn w:val="DefaultParagraphFont"/>
    <w:uiPriority w:val="99"/>
    <w:semiHidden/>
    <w:unhideWhenUsed/>
    <w:rsid w:val="0000682A"/>
    <w:rPr>
      <w:color w:val="800080" w:themeColor="followedHyperlink"/>
      <w:u w:val="single"/>
    </w:rPr>
  </w:style>
  <w:style w:type="paragraph" w:styleId="Header">
    <w:name w:val="header"/>
    <w:basedOn w:val="Normal"/>
    <w:link w:val="HeaderChar"/>
    <w:uiPriority w:val="99"/>
    <w:unhideWhenUsed/>
    <w:rsid w:val="0000682A"/>
    <w:pPr>
      <w:tabs>
        <w:tab w:val="center" w:pos="4680"/>
        <w:tab w:val="right" w:pos="9360"/>
      </w:tabs>
    </w:pPr>
  </w:style>
  <w:style w:type="character" w:customStyle="1" w:styleId="HeaderChar">
    <w:name w:val="Header Char"/>
    <w:basedOn w:val="DefaultParagraphFont"/>
    <w:link w:val="Header"/>
    <w:uiPriority w:val="99"/>
    <w:rsid w:val="0000682A"/>
    <w:rPr>
      <w:rFonts w:eastAsia="Times New Roman" w:cs="Times New Roman"/>
      <w:sz w:val="24"/>
      <w:szCs w:val="24"/>
    </w:rPr>
  </w:style>
  <w:style w:type="paragraph" w:styleId="Footer">
    <w:name w:val="footer"/>
    <w:basedOn w:val="Normal"/>
    <w:link w:val="FooterChar"/>
    <w:uiPriority w:val="99"/>
    <w:unhideWhenUsed/>
    <w:rsid w:val="0000682A"/>
    <w:pPr>
      <w:tabs>
        <w:tab w:val="center" w:pos="4680"/>
        <w:tab w:val="right" w:pos="9360"/>
      </w:tabs>
    </w:pPr>
  </w:style>
  <w:style w:type="character" w:customStyle="1" w:styleId="FooterChar">
    <w:name w:val="Footer Char"/>
    <w:basedOn w:val="DefaultParagraphFont"/>
    <w:link w:val="Footer"/>
    <w:uiPriority w:val="99"/>
    <w:rsid w:val="0000682A"/>
    <w:rPr>
      <w:rFonts w:eastAsia="Times New Roman" w:cs="Times New Roman"/>
      <w:sz w:val="24"/>
      <w:szCs w:val="24"/>
    </w:rPr>
  </w:style>
  <w:style w:type="paragraph" w:styleId="Title">
    <w:name w:val="Title"/>
    <w:basedOn w:val="Normal"/>
    <w:next w:val="Normal"/>
    <w:link w:val="TitleChar"/>
    <w:uiPriority w:val="10"/>
    <w:qFormat/>
    <w:rsid w:val="0000682A"/>
    <w:pPr>
      <w:pBdr>
        <w:bottom w:val="single" w:sz="8" w:space="4" w:color="39888C"/>
      </w:pBdr>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00682A"/>
    <w:rPr>
      <w:rFonts w:eastAsiaTheme="majorEastAsia" w:cstheme="majorBidi"/>
      <w:spacing w:val="5"/>
      <w:kern w:val="28"/>
      <w:sz w:val="36"/>
      <w:szCs w:val="52"/>
    </w:rPr>
  </w:style>
  <w:style w:type="paragraph" w:styleId="PlainText">
    <w:name w:val="Plain Text"/>
    <w:basedOn w:val="Normal"/>
    <w:link w:val="PlainTextChar"/>
    <w:uiPriority w:val="99"/>
    <w:unhideWhenUsed/>
    <w:rsid w:val="004D420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D4201"/>
    <w:rPr>
      <w:rFonts w:ascii="Calibri" w:hAnsi="Calibri"/>
      <w:szCs w:val="21"/>
    </w:rPr>
  </w:style>
  <w:style w:type="character" w:styleId="UnresolvedMention">
    <w:name w:val="Unresolved Mention"/>
    <w:basedOn w:val="DefaultParagraphFont"/>
    <w:uiPriority w:val="99"/>
    <w:semiHidden/>
    <w:unhideWhenUsed/>
    <w:rsid w:val="00915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052743">
      <w:bodyDiv w:val="1"/>
      <w:marLeft w:val="0"/>
      <w:marRight w:val="0"/>
      <w:marTop w:val="0"/>
      <w:marBottom w:val="0"/>
      <w:divBdr>
        <w:top w:val="none" w:sz="0" w:space="0" w:color="auto"/>
        <w:left w:val="none" w:sz="0" w:space="0" w:color="auto"/>
        <w:bottom w:val="none" w:sz="0" w:space="0" w:color="auto"/>
        <w:right w:val="none" w:sz="0" w:space="0" w:color="auto"/>
      </w:divBdr>
    </w:div>
    <w:div w:id="1299218145">
      <w:bodyDiv w:val="1"/>
      <w:marLeft w:val="0"/>
      <w:marRight w:val="0"/>
      <w:marTop w:val="0"/>
      <w:marBottom w:val="0"/>
      <w:divBdr>
        <w:top w:val="none" w:sz="0" w:space="0" w:color="auto"/>
        <w:left w:val="none" w:sz="0" w:space="0" w:color="auto"/>
        <w:bottom w:val="none" w:sz="0" w:space="0" w:color="auto"/>
        <w:right w:val="none" w:sz="0" w:space="0" w:color="auto"/>
      </w:divBdr>
    </w:div>
    <w:div w:id="1337000071">
      <w:bodyDiv w:val="1"/>
      <w:marLeft w:val="0"/>
      <w:marRight w:val="0"/>
      <w:marTop w:val="0"/>
      <w:marBottom w:val="0"/>
      <w:divBdr>
        <w:top w:val="none" w:sz="0" w:space="0" w:color="auto"/>
        <w:left w:val="none" w:sz="0" w:space="0" w:color="auto"/>
        <w:bottom w:val="none" w:sz="0" w:space="0" w:color="auto"/>
        <w:right w:val="none" w:sz="0" w:space="0" w:color="auto"/>
      </w:divBdr>
    </w:div>
    <w:div w:id="1793402442">
      <w:bodyDiv w:val="1"/>
      <w:marLeft w:val="0"/>
      <w:marRight w:val="0"/>
      <w:marTop w:val="0"/>
      <w:marBottom w:val="0"/>
      <w:divBdr>
        <w:top w:val="none" w:sz="0" w:space="0" w:color="auto"/>
        <w:left w:val="none" w:sz="0" w:space="0" w:color="auto"/>
        <w:bottom w:val="none" w:sz="0" w:space="0" w:color="auto"/>
        <w:right w:val="none" w:sz="0" w:space="0" w:color="auto"/>
      </w:divBdr>
    </w:div>
    <w:div w:id="1868640464">
      <w:bodyDiv w:val="1"/>
      <w:marLeft w:val="0"/>
      <w:marRight w:val="0"/>
      <w:marTop w:val="0"/>
      <w:marBottom w:val="0"/>
      <w:divBdr>
        <w:top w:val="none" w:sz="0" w:space="0" w:color="auto"/>
        <w:left w:val="none" w:sz="0" w:space="0" w:color="auto"/>
        <w:bottom w:val="none" w:sz="0" w:space="0" w:color="auto"/>
        <w:right w:val="none" w:sz="0" w:space="0" w:color="auto"/>
      </w:divBdr>
    </w:div>
    <w:div w:id="1878274034">
      <w:bodyDiv w:val="1"/>
      <w:marLeft w:val="0"/>
      <w:marRight w:val="0"/>
      <w:marTop w:val="0"/>
      <w:marBottom w:val="0"/>
      <w:divBdr>
        <w:top w:val="none" w:sz="0" w:space="0" w:color="auto"/>
        <w:left w:val="none" w:sz="0" w:space="0" w:color="auto"/>
        <w:bottom w:val="none" w:sz="0" w:space="0" w:color="auto"/>
        <w:right w:val="none" w:sz="0" w:space="0" w:color="auto"/>
      </w:divBdr>
    </w:div>
    <w:div w:id="2121298736">
      <w:bodyDiv w:val="1"/>
      <w:marLeft w:val="0"/>
      <w:marRight w:val="0"/>
      <w:marTop w:val="0"/>
      <w:marBottom w:val="0"/>
      <w:divBdr>
        <w:top w:val="none" w:sz="0" w:space="0" w:color="auto"/>
        <w:left w:val="none" w:sz="0" w:space="0" w:color="auto"/>
        <w:bottom w:val="none" w:sz="0" w:space="0" w:color="auto"/>
        <w:right w:val="none" w:sz="0" w:space="0" w:color="auto"/>
      </w:divBdr>
    </w:div>
    <w:div w:id="21409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gov/finance/policy/pubs/volumeXIII.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AFD3A-6144-4F61-B7EC-373F7227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VBA ALAC - Accruals and Fiscal Year End Training - FY19 Webinar (Recorded)</vt:lpstr>
    </vt:vector>
  </TitlesOfParts>
  <Company>Veterans Benefits Administration</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VBA ALAC - Accruals and Fiscal Year End Training - FY19 Webinar (Recorded)</dc:title>
  <dc:subject/>
  <dc:creator>Department of Veterans Affairs, Veterans Benefits Administration, STAFF</dc:creator>
  <cp:keywords/>
  <dc:description/>
  <cp:lastModifiedBy>Kathy Poole</cp:lastModifiedBy>
  <cp:revision>15</cp:revision>
  <dcterms:created xsi:type="dcterms:W3CDTF">2019-07-25T19:53:00Z</dcterms:created>
  <dcterms:modified xsi:type="dcterms:W3CDTF">2019-08-07T15:03:00Z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