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F2499A" w14:textId="45F730F9" w:rsidR="0000682A" w:rsidRPr="001432B7" w:rsidRDefault="0000682A" w:rsidP="00C60853">
      <w:pPr>
        <w:spacing w:before="1440" w:after="1080" w:line="276" w:lineRule="auto"/>
        <w:ind w:left="720" w:firstLine="720"/>
        <w:rPr>
          <w:b/>
          <w:sz w:val="72"/>
          <w:szCs w:val="72"/>
        </w:rPr>
      </w:pPr>
      <w:bookmarkStart w:id="0" w:name="_Toc343007190"/>
      <w:r w:rsidRPr="001432B7">
        <w:rPr>
          <w:b/>
          <w:sz w:val="72"/>
          <w:szCs w:val="72"/>
        </w:rPr>
        <w:t xml:space="preserve">VBA </w:t>
      </w:r>
      <w:r w:rsidR="00E96E7B">
        <w:rPr>
          <w:b/>
          <w:sz w:val="72"/>
          <w:szCs w:val="72"/>
        </w:rPr>
        <w:t>Obligations</w:t>
      </w:r>
      <w:r w:rsidR="009F4DAB">
        <w:rPr>
          <w:b/>
          <w:sz w:val="72"/>
          <w:szCs w:val="72"/>
        </w:rPr>
        <w:t xml:space="preserve"> Training</w:t>
      </w:r>
    </w:p>
    <w:p w14:paraId="02FE9302" w14:textId="77777777" w:rsidR="0000682A" w:rsidRDefault="0000682A" w:rsidP="0000682A">
      <w:pPr>
        <w:spacing w:after="200" w:line="276" w:lineRule="auto"/>
        <w:jc w:val="center"/>
        <w:rPr>
          <w:b/>
          <w:sz w:val="72"/>
          <w:szCs w:val="72"/>
        </w:rPr>
      </w:pPr>
      <w:r>
        <w:rPr>
          <w:b/>
          <w:sz w:val="72"/>
          <w:szCs w:val="72"/>
        </w:rPr>
        <w:t>Webinar</w:t>
      </w:r>
    </w:p>
    <w:p w14:paraId="7B5A6327" w14:textId="77777777" w:rsidR="0000682A" w:rsidRDefault="0000682A" w:rsidP="0000682A">
      <w:pPr>
        <w:spacing w:after="200" w:line="276" w:lineRule="auto"/>
        <w:jc w:val="center"/>
        <w:rPr>
          <w:b/>
          <w:sz w:val="72"/>
          <w:szCs w:val="72"/>
        </w:rPr>
      </w:pPr>
      <w:r>
        <w:rPr>
          <w:b/>
          <w:sz w:val="72"/>
          <w:szCs w:val="72"/>
        </w:rPr>
        <w:t xml:space="preserve">Question &amp; Answer </w:t>
      </w:r>
    </w:p>
    <w:p w14:paraId="559ACE8C" w14:textId="77777777" w:rsidR="0000682A" w:rsidRPr="001432B7" w:rsidRDefault="0000682A" w:rsidP="0000682A">
      <w:pPr>
        <w:spacing w:after="200" w:line="276" w:lineRule="auto"/>
        <w:jc w:val="center"/>
        <w:rPr>
          <w:b/>
          <w:sz w:val="72"/>
          <w:szCs w:val="72"/>
        </w:rPr>
      </w:pPr>
      <w:r>
        <w:rPr>
          <w:b/>
          <w:sz w:val="72"/>
          <w:szCs w:val="72"/>
        </w:rPr>
        <w:t>Resource Guide</w:t>
      </w:r>
    </w:p>
    <w:p w14:paraId="2EF2B9AF" w14:textId="26FFA45B" w:rsidR="0000682A" w:rsidRDefault="00397F9C" w:rsidP="0000682A">
      <w:pPr>
        <w:spacing w:before="1440" w:after="840" w:line="276" w:lineRule="auto"/>
        <w:jc w:val="center"/>
        <w:rPr>
          <w:b/>
          <w:sz w:val="72"/>
          <w:szCs w:val="72"/>
        </w:rPr>
      </w:pPr>
      <w:r>
        <w:rPr>
          <w:b/>
          <w:sz w:val="72"/>
          <w:szCs w:val="72"/>
        </w:rPr>
        <w:t>October 2020</w:t>
      </w:r>
    </w:p>
    <w:p w14:paraId="5BF2748C" w14:textId="77777777" w:rsidR="00BD5476" w:rsidRDefault="00BD5476" w:rsidP="0000682A">
      <w:pPr>
        <w:rPr>
          <w:b/>
          <w:sz w:val="32"/>
          <w:szCs w:val="32"/>
        </w:rPr>
      </w:pPr>
    </w:p>
    <w:p w14:paraId="7F6E11A5" w14:textId="77777777" w:rsidR="0000682A" w:rsidRPr="00296938" w:rsidRDefault="0000682A" w:rsidP="0000682A">
      <w:pPr>
        <w:rPr>
          <w:b/>
          <w:sz w:val="32"/>
          <w:szCs w:val="32"/>
        </w:rPr>
      </w:pPr>
      <w:r w:rsidRPr="00296938">
        <w:rPr>
          <w:b/>
          <w:sz w:val="32"/>
          <w:szCs w:val="32"/>
        </w:rPr>
        <w:t xml:space="preserve">Sponsored by: </w:t>
      </w:r>
    </w:p>
    <w:p w14:paraId="3CA7F1A2" w14:textId="77777777" w:rsidR="0000682A" w:rsidRPr="00554514" w:rsidRDefault="0000682A" w:rsidP="0000682A">
      <w:pPr>
        <w:pStyle w:val="ListParagraph"/>
        <w:numPr>
          <w:ilvl w:val="0"/>
          <w:numId w:val="1"/>
        </w:numPr>
        <w:rPr>
          <w:sz w:val="24"/>
          <w:szCs w:val="24"/>
        </w:rPr>
      </w:pPr>
      <w:r w:rsidRPr="00554514">
        <w:rPr>
          <w:sz w:val="24"/>
          <w:szCs w:val="24"/>
        </w:rPr>
        <w:t>Veterans Benefits Administration (VBA)</w:t>
      </w:r>
    </w:p>
    <w:p w14:paraId="11EDB616" w14:textId="77777777" w:rsidR="0000682A" w:rsidRDefault="0000682A" w:rsidP="0000682A">
      <w:pPr>
        <w:pStyle w:val="ListParagraph"/>
        <w:numPr>
          <w:ilvl w:val="0"/>
          <w:numId w:val="1"/>
        </w:numPr>
        <w:rPr>
          <w:sz w:val="24"/>
          <w:szCs w:val="24"/>
        </w:rPr>
      </w:pPr>
      <w:r w:rsidRPr="00554514">
        <w:rPr>
          <w:sz w:val="24"/>
          <w:szCs w:val="24"/>
        </w:rPr>
        <w:t xml:space="preserve">Office of </w:t>
      </w:r>
      <w:r>
        <w:rPr>
          <w:sz w:val="24"/>
          <w:szCs w:val="24"/>
        </w:rPr>
        <w:t xml:space="preserve">Financial </w:t>
      </w:r>
      <w:r w:rsidRPr="00554514">
        <w:rPr>
          <w:sz w:val="24"/>
          <w:szCs w:val="24"/>
        </w:rPr>
        <w:t>Management (O</w:t>
      </w:r>
      <w:r>
        <w:rPr>
          <w:sz w:val="24"/>
          <w:szCs w:val="24"/>
        </w:rPr>
        <w:t>F</w:t>
      </w:r>
      <w:r w:rsidRPr="00554514">
        <w:rPr>
          <w:sz w:val="24"/>
          <w:szCs w:val="24"/>
        </w:rPr>
        <w:t>M)</w:t>
      </w:r>
    </w:p>
    <w:p w14:paraId="676F227C" w14:textId="77777777" w:rsidR="0000682A" w:rsidRPr="00AF118C" w:rsidRDefault="0000682A" w:rsidP="0000682A">
      <w:pPr>
        <w:pStyle w:val="ListParagraph"/>
        <w:numPr>
          <w:ilvl w:val="0"/>
          <w:numId w:val="1"/>
        </w:numPr>
        <w:rPr>
          <w:sz w:val="24"/>
          <w:szCs w:val="24"/>
        </w:rPr>
      </w:pPr>
      <w:r>
        <w:rPr>
          <w:sz w:val="24"/>
          <w:szCs w:val="24"/>
        </w:rPr>
        <w:t>V</w:t>
      </w:r>
      <w:r w:rsidRPr="00AF118C">
        <w:rPr>
          <w:sz w:val="24"/>
          <w:szCs w:val="24"/>
        </w:rPr>
        <w:t>BA Administrative and Loan Accounting Center (ALAC)</w:t>
      </w:r>
    </w:p>
    <w:bookmarkEnd w:id="0"/>
    <w:p w14:paraId="713F8C87" w14:textId="5A52CFDF" w:rsidR="0000682A" w:rsidRPr="002128A9" w:rsidRDefault="002128A9" w:rsidP="0000682A">
      <w:pPr>
        <w:spacing w:line="276" w:lineRule="auto"/>
        <w:rPr>
          <w:rFonts w:ascii="Calibri" w:hAnsi="Calibri"/>
        </w:rPr>
      </w:pPr>
      <w:r w:rsidRPr="002128A9">
        <w:rPr>
          <w:rFonts w:ascii="Calibri" w:hAnsi="Calibri"/>
        </w:rPr>
        <w:lastRenderedPageBreak/>
        <w:t>This resource guide provides answers to questions asked during the VBA Obligations Webinar delivered by VBA Administrative Loan and Accounting Center (ALAC) on September 5, 2019. The questions are listed in the order they were asked during the training. The questions were updated to reflect FY2021 information.</w:t>
      </w:r>
    </w:p>
    <w:tbl>
      <w:tblPr>
        <w:tblStyle w:val="TableGrid"/>
        <w:tblW w:w="0" w:type="auto"/>
        <w:shd w:val="clear" w:color="auto" w:fill="DBE5F1" w:themeFill="accent1" w:themeFillTint="33"/>
        <w:tblLook w:val="04A0" w:firstRow="1" w:lastRow="0" w:firstColumn="1" w:lastColumn="0" w:noHBand="0" w:noVBand="1"/>
      </w:tblPr>
      <w:tblGrid>
        <w:gridCol w:w="4284"/>
        <w:gridCol w:w="5066"/>
      </w:tblGrid>
      <w:tr w:rsidR="0000682A" w:rsidRPr="009D3099" w14:paraId="15CCB5E2" w14:textId="77777777" w:rsidTr="0003520D">
        <w:trPr>
          <w:tblHeader/>
        </w:trPr>
        <w:tc>
          <w:tcPr>
            <w:tcW w:w="4284" w:type="dxa"/>
            <w:shd w:val="clear" w:color="auto" w:fill="DBE5F1" w:themeFill="accent1" w:themeFillTint="33"/>
          </w:tcPr>
          <w:p w14:paraId="2DFF0364" w14:textId="77777777" w:rsidR="0000682A" w:rsidRPr="009D3099" w:rsidRDefault="00E96E7B" w:rsidP="00567B35">
            <w:pPr>
              <w:pStyle w:val="TableText"/>
              <w:jc w:val="center"/>
              <w:rPr>
                <w:b/>
              </w:rPr>
            </w:pPr>
            <w:r>
              <w:rPr>
                <w:b/>
              </w:rPr>
              <w:t>Obligations</w:t>
            </w:r>
            <w:r w:rsidR="00F550C4">
              <w:rPr>
                <w:b/>
              </w:rPr>
              <w:t xml:space="preserve"> </w:t>
            </w:r>
            <w:r w:rsidR="0000682A" w:rsidRPr="009D3099">
              <w:rPr>
                <w:b/>
              </w:rPr>
              <w:t>Question</w:t>
            </w:r>
          </w:p>
        </w:tc>
        <w:tc>
          <w:tcPr>
            <w:tcW w:w="5066" w:type="dxa"/>
            <w:shd w:val="clear" w:color="auto" w:fill="DBE5F1" w:themeFill="accent1" w:themeFillTint="33"/>
          </w:tcPr>
          <w:p w14:paraId="2B31DFFB" w14:textId="77777777" w:rsidR="0000682A" w:rsidRDefault="00E96E7B" w:rsidP="00567B35">
            <w:pPr>
              <w:pStyle w:val="TableText"/>
              <w:jc w:val="center"/>
              <w:rPr>
                <w:b/>
              </w:rPr>
            </w:pPr>
            <w:r>
              <w:rPr>
                <w:b/>
              </w:rPr>
              <w:t>Obligations</w:t>
            </w:r>
            <w:r w:rsidR="00F550C4">
              <w:rPr>
                <w:b/>
              </w:rPr>
              <w:t xml:space="preserve"> </w:t>
            </w:r>
            <w:r w:rsidR="0000682A">
              <w:rPr>
                <w:b/>
              </w:rPr>
              <w:t>Answer</w:t>
            </w:r>
          </w:p>
          <w:p w14:paraId="336A730E" w14:textId="77777777" w:rsidR="0000682A" w:rsidRPr="009D3099" w:rsidRDefault="0000682A" w:rsidP="00567B35">
            <w:pPr>
              <w:pStyle w:val="TableText"/>
              <w:jc w:val="center"/>
              <w:rPr>
                <w:b/>
              </w:rPr>
            </w:pPr>
          </w:p>
        </w:tc>
      </w:tr>
      <w:tr w:rsidR="0000682A" w:rsidRPr="009D3099" w14:paraId="5CAC1A47" w14:textId="77777777" w:rsidTr="0003520D">
        <w:trPr>
          <w:trHeight w:val="1232"/>
        </w:trPr>
        <w:tc>
          <w:tcPr>
            <w:tcW w:w="4284" w:type="dxa"/>
            <w:shd w:val="clear" w:color="auto" w:fill="auto"/>
          </w:tcPr>
          <w:p w14:paraId="696A51C0" w14:textId="77777777" w:rsidR="0000682A" w:rsidRPr="008C4CEF" w:rsidRDefault="00E96E7B" w:rsidP="008C4CEF">
            <w:pPr>
              <w:rPr>
                <w:rStyle w:val="imsender1"/>
                <w:rFonts w:ascii="Calibri" w:hAnsi="Calibri"/>
                <w:b w:val="0"/>
                <w:sz w:val="24"/>
                <w:szCs w:val="24"/>
              </w:rPr>
            </w:pPr>
            <w:r w:rsidRPr="008C4CEF">
              <w:rPr>
                <w:rFonts w:ascii="Calibri" w:hAnsi="Calibri"/>
              </w:rPr>
              <w:t>Would an appropriate use a 1358 obligation be for $1,200 for mail meter rental, where we make 4 quarterly payments?</w:t>
            </w:r>
          </w:p>
        </w:tc>
        <w:tc>
          <w:tcPr>
            <w:tcW w:w="5066" w:type="dxa"/>
            <w:shd w:val="clear" w:color="auto" w:fill="auto"/>
          </w:tcPr>
          <w:p w14:paraId="2ECF2ADD" w14:textId="435CCF81" w:rsidR="0000682A" w:rsidRPr="00AE40F5" w:rsidRDefault="00AE40F5" w:rsidP="00AE40F5">
            <w:pPr>
              <w:pStyle w:val="Default"/>
              <w:rPr>
                <w:sz w:val="23"/>
                <w:szCs w:val="23"/>
              </w:rPr>
            </w:pPr>
            <w:r w:rsidRPr="00AE40F5">
              <w:rPr>
                <w:rFonts w:eastAsiaTheme="minorHAnsi" w:cstheme="minorBidi"/>
                <w:color w:val="auto"/>
              </w:rPr>
              <w:t xml:space="preserve">According to the </w:t>
            </w:r>
            <w:r w:rsidRPr="0049460E">
              <w:rPr>
                <w:rFonts w:eastAsiaTheme="minorHAnsi" w:cstheme="minorBidi"/>
                <w:b/>
                <w:bCs/>
                <w:color w:val="auto"/>
                <w:u w:val="single"/>
              </w:rPr>
              <w:t>VAP Volume II Chapter 6 Appendix A Authority Code 20 Paragraph 4 page 24</w:t>
            </w:r>
            <w:r w:rsidRPr="0049460E">
              <w:rPr>
                <w:rFonts w:eastAsiaTheme="minorHAnsi" w:cstheme="minorBidi"/>
                <w:color w:val="auto"/>
                <w:u w:val="single"/>
              </w:rPr>
              <w:t>;</w:t>
            </w:r>
            <w:r w:rsidRPr="00AE40F5">
              <w:rPr>
                <w:rFonts w:eastAsiaTheme="minorHAnsi" w:cstheme="minorBidi"/>
                <w:color w:val="auto"/>
              </w:rPr>
              <w:t xml:space="preserve"> “Under Treasury Financial Manual (TFM) Bulletin No. 2006-07, Federal Program Agencies using commercial mail processes in accordance with the 41 CFR Part 102-192, as amended, must use Automated Clearing House (ACH) credits for postage payments when funding their USPS PostalOne! ® account and postage meter services. Postage payments directly to USPS do not require Contracting support.”</w:t>
            </w:r>
            <w:r>
              <w:rPr>
                <w:sz w:val="23"/>
                <w:szCs w:val="23"/>
              </w:rPr>
              <w:t xml:space="preserve"> </w:t>
            </w:r>
          </w:p>
        </w:tc>
      </w:tr>
      <w:tr w:rsidR="0000682A" w:rsidRPr="009D3099" w14:paraId="21A2380D" w14:textId="77777777" w:rsidTr="0003520D">
        <w:tc>
          <w:tcPr>
            <w:tcW w:w="4284" w:type="dxa"/>
            <w:shd w:val="clear" w:color="auto" w:fill="auto"/>
          </w:tcPr>
          <w:p w14:paraId="51790642" w14:textId="77777777" w:rsidR="0000682A" w:rsidRPr="008C4CEF" w:rsidRDefault="00E96E7B" w:rsidP="00E96E7B">
            <w:pPr>
              <w:autoSpaceDE w:val="0"/>
              <w:autoSpaceDN w:val="0"/>
              <w:spacing w:before="40" w:after="40"/>
              <w:rPr>
                <w:rFonts w:ascii="Calibri" w:hAnsi="Calibri"/>
                <w:b/>
              </w:rPr>
            </w:pPr>
            <w:r w:rsidRPr="008C4CEF">
              <w:rPr>
                <w:rFonts w:ascii="Calibri" w:hAnsi="Calibri" w:cs="Segoe UI"/>
                <w:color w:val="000000"/>
              </w:rPr>
              <w:t xml:space="preserve">Why are some 2237's put in CAAT's and some are manual sent?  What is the difference in how you decide which is done how?  </w:t>
            </w:r>
          </w:p>
        </w:tc>
        <w:tc>
          <w:tcPr>
            <w:tcW w:w="5066" w:type="dxa"/>
            <w:shd w:val="clear" w:color="auto" w:fill="auto"/>
          </w:tcPr>
          <w:tbl>
            <w:tblPr>
              <w:tblW w:w="0" w:type="auto"/>
              <w:tblBorders>
                <w:top w:val="nil"/>
                <w:left w:val="nil"/>
                <w:bottom w:val="nil"/>
                <w:right w:val="nil"/>
              </w:tblBorders>
              <w:tblLook w:val="0000" w:firstRow="0" w:lastRow="0" w:firstColumn="0" w:lastColumn="0" w:noHBand="0" w:noVBand="0"/>
            </w:tblPr>
            <w:tblGrid>
              <w:gridCol w:w="4850"/>
            </w:tblGrid>
            <w:tr w:rsidR="0049460E" w:rsidRPr="0049460E" w14:paraId="465BD370" w14:textId="77777777">
              <w:trPr>
                <w:trHeight w:val="1332"/>
              </w:trPr>
              <w:tc>
                <w:tcPr>
                  <w:tcW w:w="0" w:type="auto"/>
                </w:tcPr>
                <w:p w14:paraId="15039AF1" w14:textId="77777777" w:rsidR="0049460E" w:rsidRPr="0049460E" w:rsidRDefault="0049460E" w:rsidP="0049460E">
                  <w:pPr>
                    <w:autoSpaceDE w:val="0"/>
                    <w:autoSpaceDN w:val="0"/>
                    <w:adjustRightInd w:val="0"/>
                    <w:rPr>
                      <w:rFonts w:ascii="Calibri" w:eastAsiaTheme="minorHAnsi" w:hAnsi="Calibri" w:cs="Calibri"/>
                      <w:color w:val="000000"/>
                      <w:sz w:val="23"/>
                      <w:szCs w:val="23"/>
                    </w:rPr>
                  </w:pPr>
                  <w:r w:rsidRPr="0049460E">
                    <w:rPr>
                      <w:rFonts w:ascii="Calibri" w:eastAsiaTheme="minorHAnsi" w:hAnsi="Calibri" w:cstheme="minorBidi"/>
                    </w:rPr>
                    <w:t>If you have a contract with a base year plus 4 option years, the base year is placed in CAATS Requisition module as a VA2237. However; due to the limitations within CAATS any subsequent option must get processed manually in FMS. The Regional Office will initiate the manual VA2237 and submit to the Contracting Officer. The Contracting Officer will finalize the VA2237 and submit to ALAC to process directly into FMS.</w:t>
                  </w:r>
                  <w:r w:rsidRPr="0049460E">
                    <w:rPr>
                      <w:rFonts w:ascii="Calibri" w:eastAsiaTheme="minorHAnsi" w:hAnsi="Calibri" w:cs="Calibri"/>
                      <w:color w:val="000000"/>
                      <w:sz w:val="23"/>
                      <w:szCs w:val="23"/>
                    </w:rPr>
                    <w:t xml:space="preserve"> </w:t>
                  </w:r>
                </w:p>
              </w:tc>
            </w:tr>
          </w:tbl>
          <w:p w14:paraId="2AF20478" w14:textId="1D8F141F" w:rsidR="0000682A" w:rsidRPr="008C4CEF" w:rsidRDefault="0000682A" w:rsidP="00B173F1">
            <w:pPr>
              <w:pStyle w:val="PlainText"/>
              <w:rPr>
                <w:sz w:val="24"/>
                <w:szCs w:val="24"/>
              </w:rPr>
            </w:pPr>
          </w:p>
        </w:tc>
      </w:tr>
      <w:tr w:rsidR="0000682A" w:rsidRPr="009D3099" w14:paraId="050BB3BB" w14:textId="77777777" w:rsidTr="0003520D">
        <w:tblPrEx>
          <w:shd w:val="clear" w:color="auto" w:fill="auto"/>
        </w:tblPrEx>
        <w:tc>
          <w:tcPr>
            <w:tcW w:w="4284" w:type="dxa"/>
          </w:tcPr>
          <w:p w14:paraId="674D16FF" w14:textId="285BBD32" w:rsidR="00196394" w:rsidRPr="008C4CEF" w:rsidRDefault="00E96E7B" w:rsidP="00E96E7B">
            <w:pPr>
              <w:rPr>
                <w:rStyle w:val="imsender1"/>
                <w:rFonts w:ascii="Calibri" w:hAnsi="Calibri"/>
                <w:b w:val="0"/>
                <w:sz w:val="24"/>
                <w:szCs w:val="24"/>
              </w:rPr>
            </w:pPr>
            <w:r w:rsidRPr="008C4CEF">
              <w:rPr>
                <w:rFonts w:ascii="Calibri" w:hAnsi="Calibri"/>
              </w:rPr>
              <w:t>When will the funding for VR&amp;E travel for 202</w:t>
            </w:r>
            <w:r w:rsidR="002128A9">
              <w:rPr>
                <w:rFonts w:ascii="Calibri" w:hAnsi="Calibri"/>
              </w:rPr>
              <w:t>1</w:t>
            </w:r>
            <w:r w:rsidRPr="008C4CEF">
              <w:rPr>
                <w:rFonts w:ascii="Calibri" w:hAnsi="Calibri"/>
              </w:rPr>
              <w:t xml:space="preserve"> be open?</w:t>
            </w:r>
          </w:p>
        </w:tc>
        <w:tc>
          <w:tcPr>
            <w:tcW w:w="5066" w:type="dxa"/>
          </w:tcPr>
          <w:p w14:paraId="13783165" w14:textId="399728A6" w:rsidR="0000682A" w:rsidRPr="002128A9" w:rsidRDefault="002128A9" w:rsidP="002128A9">
            <w:pPr>
              <w:pStyle w:val="Default"/>
              <w:rPr>
                <w:rFonts w:eastAsiaTheme="minorHAnsi" w:cstheme="minorBidi"/>
                <w:color w:val="auto"/>
              </w:rPr>
            </w:pPr>
            <w:r w:rsidRPr="002128A9">
              <w:rPr>
                <w:rFonts w:eastAsiaTheme="minorHAnsi" w:cstheme="minorBidi"/>
                <w:color w:val="auto"/>
              </w:rPr>
              <w:t xml:space="preserve">VR&amp;E will receive the funding same as GOE when Congress approves the FY2021 budget. However, we are under a Continuing Resolution (CR) through December 11, 2020. According to the CR; “Travel: Consistent with SECVA and USB memos for Essential Employee Travel, the first Senior Executive in an employee’s leadership chain is responsible for determining whether the employee’s travel is essential, as the intent is to decrease employee travel and generate savings for other priorities”. Also, the CR restrictions do not apply to 0137 funds or any sub funds of 0137. </w:t>
            </w:r>
          </w:p>
        </w:tc>
      </w:tr>
      <w:tr w:rsidR="0000682A" w:rsidRPr="009D3099" w14:paraId="60334040" w14:textId="77777777" w:rsidTr="0003520D">
        <w:tblPrEx>
          <w:shd w:val="clear" w:color="auto" w:fill="auto"/>
        </w:tblPrEx>
        <w:trPr>
          <w:trHeight w:val="683"/>
        </w:trPr>
        <w:tc>
          <w:tcPr>
            <w:tcW w:w="4284" w:type="dxa"/>
          </w:tcPr>
          <w:p w14:paraId="2CFABDB7" w14:textId="37B94CB6" w:rsidR="0000682A" w:rsidRPr="008C4CEF" w:rsidRDefault="00E96E7B" w:rsidP="00E96E7B">
            <w:pPr>
              <w:rPr>
                <w:rFonts w:ascii="Calibri" w:hAnsi="Calibri"/>
              </w:rPr>
            </w:pPr>
            <w:r w:rsidRPr="008C4CEF">
              <w:rPr>
                <w:rFonts w:ascii="Calibri" w:hAnsi="Calibri"/>
              </w:rPr>
              <w:t>FY2</w:t>
            </w:r>
            <w:r w:rsidR="002128A9">
              <w:rPr>
                <w:rFonts w:ascii="Calibri" w:hAnsi="Calibri"/>
              </w:rPr>
              <w:t>1</w:t>
            </w:r>
            <w:r w:rsidRPr="008C4CEF">
              <w:rPr>
                <w:rFonts w:ascii="Calibri" w:hAnsi="Calibri"/>
              </w:rPr>
              <w:t xml:space="preserve"> Obligations can be input starting when?</w:t>
            </w:r>
          </w:p>
        </w:tc>
        <w:tc>
          <w:tcPr>
            <w:tcW w:w="5066" w:type="dxa"/>
          </w:tcPr>
          <w:p w14:paraId="178EAB7B" w14:textId="77777777" w:rsidR="002128A9" w:rsidRPr="002128A9" w:rsidRDefault="002128A9" w:rsidP="002128A9">
            <w:pPr>
              <w:pStyle w:val="Default"/>
              <w:rPr>
                <w:rFonts w:eastAsiaTheme="minorHAnsi" w:cstheme="minorBidi"/>
                <w:color w:val="auto"/>
              </w:rPr>
            </w:pPr>
            <w:r w:rsidRPr="002128A9">
              <w:rPr>
                <w:rFonts w:eastAsiaTheme="minorHAnsi" w:cstheme="minorBidi"/>
                <w:color w:val="auto"/>
              </w:rPr>
              <w:t xml:space="preserve">Stations can establish FY 21 VA1358 obligations in CAATS now. However, we are under a Continuing Resolution (CR) of 19.7% through December 11, 2020. Obligations can get </w:t>
            </w:r>
          </w:p>
          <w:p w14:paraId="2A4CD279" w14:textId="28C5E2FF" w:rsidR="0000682A" w:rsidRPr="0049460E" w:rsidRDefault="002128A9" w:rsidP="0049460E">
            <w:pPr>
              <w:pStyle w:val="Default"/>
              <w:rPr>
                <w:rFonts w:eastAsiaTheme="minorHAnsi" w:cstheme="minorBidi"/>
                <w:color w:val="auto"/>
              </w:rPr>
            </w:pPr>
            <w:r w:rsidRPr="002128A9">
              <w:rPr>
                <w:rFonts w:eastAsiaTheme="minorHAnsi" w:cstheme="minorBidi"/>
                <w:color w:val="auto"/>
              </w:rPr>
              <w:lastRenderedPageBreak/>
              <w:t>processed for existing annual contracts. For VA1358s process the full obligation at 19.7% and in the “Notes” Field within CAATS annotate the FY2021 obligation’s full amount. For Manual</w:t>
            </w:r>
            <w:r>
              <w:rPr>
                <w:sz w:val="23"/>
                <w:szCs w:val="23"/>
              </w:rPr>
              <w:t xml:space="preserve"> </w:t>
            </w:r>
            <w:r w:rsidRPr="002128A9">
              <w:rPr>
                <w:rFonts w:eastAsiaTheme="minorHAnsi" w:cstheme="minorBidi"/>
                <w:color w:val="auto"/>
              </w:rPr>
              <w:t xml:space="preserve">VA2237s; The Contracting Officer will submit to ALAC at 100% and ALAC will adjust to the 19.7% rate. For VA2237s processed in CAATS the Contracting Officer will submit the adjusted rate of 19.7% through ECMS. </w:t>
            </w:r>
            <w:r w:rsidRPr="002128A9">
              <w:rPr>
                <w:rFonts w:eastAsiaTheme="minorHAnsi" w:cstheme="minorBidi"/>
                <w:b/>
                <w:bCs/>
                <w:color w:val="auto"/>
                <w:u w:val="single"/>
              </w:rPr>
              <w:t>Contracts for new initiatives or programs are not permitted.</w:t>
            </w:r>
            <w:r w:rsidRPr="002128A9">
              <w:rPr>
                <w:rFonts w:eastAsiaTheme="minorHAnsi" w:cstheme="minorBidi"/>
                <w:color w:val="auto"/>
              </w:rPr>
              <w:t xml:space="preserve"> This does not apply to 0137 funds or any sub funds. </w:t>
            </w:r>
          </w:p>
        </w:tc>
      </w:tr>
      <w:tr w:rsidR="0000682A" w:rsidRPr="009D3099" w14:paraId="68C9C994" w14:textId="77777777" w:rsidTr="0003520D">
        <w:tblPrEx>
          <w:shd w:val="clear" w:color="auto" w:fill="auto"/>
        </w:tblPrEx>
        <w:tc>
          <w:tcPr>
            <w:tcW w:w="4284" w:type="dxa"/>
          </w:tcPr>
          <w:p w14:paraId="2934BE5A" w14:textId="77777777" w:rsidR="0000682A" w:rsidRPr="008C4CEF" w:rsidRDefault="00E96E7B" w:rsidP="00E96E7B">
            <w:pPr>
              <w:rPr>
                <w:rFonts w:ascii="Calibri" w:hAnsi="Calibri"/>
                <w:b/>
              </w:rPr>
            </w:pPr>
            <w:r w:rsidRPr="008C4CEF">
              <w:rPr>
                <w:rFonts w:ascii="Calibri" w:hAnsi="Calibri"/>
              </w:rPr>
              <w:lastRenderedPageBreak/>
              <w:t>What is the purpose of the SA Transaction to pull funds from the unsuballow</w:t>
            </w:r>
            <w:r w:rsidR="00353BFF" w:rsidRPr="008C4CEF">
              <w:rPr>
                <w:rFonts w:ascii="Calibri" w:hAnsi="Calibri"/>
              </w:rPr>
              <w:t>ance</w:t>
            </w:r>
            <w:r w:rsidRPr="008C4CEF">
              <w:rPr>
                <w:rFonts w:ascii="Calibri" w:hAnsi="Calibri"/>
              </w:rPr>
              <w:t xml:space="preserve"> am</w:t>
            </w:r>
            <w:r w:rsidR="00353BFF" w:rsidRPr="008C4CEF">
              <w:rPr>
                <w:rFonts w:ascii="Calibri" w:hAnsi="Calibri"/>
              </w:rPr>
              <w:t>ount</w:t>
            </w:r>
            <w:r w:rsidRPr="008C4CEF">
              <w:rPr>
                <w:rFonts w:ascii="Calibri" w:hAnsi="Calibri"/>
              </w:rPr>
              <w:t xml:space="preserve"> in FMS? And how is a SA transaction done?</w:t>
            </w:r>
          </w:p>
        </w:tc>
        <w:tc>
          <w:tcPr>
            <w:tcW w:w="5066" w:type="dxa"/>
          </w:tcPr>
          <w:p w14:paraId="67775A22" w14:textId="4E23102F" w:rsidR="0000682A" w:rsidRPr="002128A9" w:rsidRDefault="002128A9" w:rsidP="002128A9">
            <w:pPr>
              <w:pStyle w:val="Default"/>
              <w:rPr>
                <w:rFonts w:eastAsiaTheme="minorHAnsi" w:cstheme="minorBidi"/>
                <w:color w:val="auto"/>
              </w:rPr>
            </w:pPr>
            <w:r w:rsidRPr="002128A9">
              <w:rPr>
                <w:rFonts w:eastAsiaTheme="minorHAnsi" w:cstheme="minorBidi"/>
                <w:color w:val="auto"/>
              </w:rPr>
              <w:t xml:space="preserve">If the Regional Office (RO) needs funds, the RO will request these funds through VACO Budget. VACO Budget will pull the approved funds from the SALT tables and place them in the unsuballowance within the ALLW table where the funds will sit until they are moved in the appropriate Fund Control Point (FCP). The RO will process the SA transaction either in FMS or CAATS. For questions concerning this process please reach out to your ALAC station accountant. </w:t>
            </w:r>
          </w:p>
        </w:tc>
      </w:tr>
      <w:tr w:rsidR="00A5326E" w:rsidRPr="009D3099" w14:paraId="7026DED4" w14:textId="77777777" w:rsidTr="008C4CEF">
        <w:tblPrEx>
          <w:shd w:val="clear" w:color="auto" w:fill="auto"/>
        </w:tblPrEx>
        <w:trPr>
          <w:trHeight w:val="683"/>
        </w:trPr>
        <w:tc>
          <w:tcPr>
            <w:tcW w:w="4284" w:type="dxa"/>
          </w:tcPr>
          <w:p w14:paraId="20471CF1" w14:textId="77777777" w:rsidR="00A5326E" w:rsidRPr="008C4CEF" w:rsidRDefault="00E96E7B" w:rsidP="00E96E7B">
            <w:pPr>
              <w:rPr>
                <w:rFonts w:ascii="Calibri" w:hAnsi="Calibri"/>
                <w:b/>
              </w:rPr>
            </w:pPr>
            <w:r w:rsidRPr="008C4CEF">
              <w:rPr>
                <w:rFonts w:ascii="Calibri" w:hAnsi="Calibri"/>
              </w:rPr>
              <w:t>Is the PCS Team the only ones that can clear PCS items out of 6278?</w:t>
            </w:r>
          </w:p>
        </w:tc>
        <w:tc>
          <w:tcPr>
            <w:tcW w:w="5066" w:type="dxa"/>
          </w:tcPr>
          <w:p w14:paraId="632E0BC9" w14:textId="77777777" w:rsidR="00496703" w:rsidRPr="008C4CEF" w:rsidRDefault="00496703" w:rsidP="00496703">
            <w:pPr>
              <w:jc w:val="both"/>
              <w:rPr>
                <w:rFonts w:ascii="Calibri" w:hAnsi="Calibri"/>
              </w:rPr>
            </w:pPr>
            <w:r w:rsidRPr="008C4CEF">
              <w:rPr>
                <w:rFonts w:ascii="Calibri" w:hAnsi="Calibri"/>
              </w:rPr>
              <w:t>Yes</w:t>
            </w:r>
            <w:r w:rsidR="008C4CEF">
              <w:rPr>
                <w:rFonts w:ascii="Calibri" w:hAnsi="Calibri"/>
              </w:rPr>
              <w:t>.</w:t>
            </w:r>
          </w:p>
          <w:p w14:paraId="78870DBC" w14:textId="77777777" w:rsidR="00A5326E" w:rsidRPr="008C4CEF" w:rsidRDefault="00A5326E" w:rsidP="00567B35">
            <w:pPr>
              <w:rPr>
                <w:rFonts w:ascii="Calibri" w:hAnsi="Calibri"/>
              </w:rPr>
            </w:pPr>
          </w:p>
        </w:tc>
      </w:tr>
      <w:tr w:rsidR="00B720A4" w:rsidRPr="009D3099" w14:paraId="49C388B5" w14:textId="77777777" w:rsidTr="0003520D">
        <w:tblPrEx>
          <w:shd w:val="clear" w:color="auto" w:fill="auto"/>
        </w:tblPrEx>
        <w:tc>
          <w:tcPr>
            <w:tcW w:w="4284" w:type="dxa"/>
          </w:tcPr>
          <w:p w14:paraId="1E3F5CD6" w14:textId="77777777" w:rsidR="00B720A4" w:rsidRPr="008C4CEF" w:rsidRDefault="00E96E7B" w:rsidP="00E96E7B">
            <w:pPr>
              <w:rPr>
                <w:rFonts w:ascii="Calibri" w:hAnsi="Calibri"/>
              </w:rPr>
            </w:pPr>
            <w:r w:rsidRPr="008C4CEF">
              <w:rPr>
                <w:rFonts w:ascii="Calibri" w:hAnsi="Calibri"/>
              </w:rPr>
              <w:t>Do we still need authority to clear debts over 40K or do they have to remain on our books</w:t>
            </w:r>
            <w:r w:rsidR="008C4CEF">
              <w:rPr>
                <w:rFonts w:ascii="Calibri" w:hAnsi="Calibri"/>
              </w:rPr>
              <w:t>?</w:t>
            </w:r>
          </w:p>
        </w:tc>
        <w:tc>
          <w:tcPr>
            <w:tcW w:w="5066" w:type="dxa"/>
          </w:tcPr>
          <w:p w14:paraId="7FD92DEB" w14:textId="16637BFF" w:rsidR="00B720A4" w:rsidRPr="002128A9" w:rsidRDefault="002128A9" w:rsidP="002128A9">
            <w:pPr>
              <w:pStyle w:val="Default"/>
              <w:rPr>
                <w:rFonts w:cs="Times New Roman"/>
                <w:color w:val="auto"/>
              </w:rPr>
            </w:pPr>
            <w:r w:rsidRPr="002128A9">
              <w:rPr>
                <w:rFonts w:cs="Times New Roman"/>
                <w:color w:val="auto"/>
              </w:rPr>
              <w:t xml:space="preserve">This question is covered in the Accounts Receivable Webinar or on the Accounts Receivable FAQ. </w:t>
            </w:r>
          </w:p>
        </w:tc>
      </w:tr>
      <w:tr w:rsidR="00397F9C" w:rsidRPr="009D3099" w14:paraId="6975E1D1" w14:textId="77777777" w:rsidTr="0003520D">
        <w:tblPrEx>
          <w:shd w:val="clear" w:color="auto" w:fill="auto"/>
        </w:tblPrEx>
        <w:tc>
          <w:tcPr>
            <w:tcW w:w="4284" w:type="dxa"/>
          </w:tcPr>
          <w:p w14:paraId="77CE9B7D" w14:textId="5906F25A" w:rsidR="00397F9C" w:rsidRPr="008C4CEF" w:rsidRDefault="00397F9C" w:rsidP="00E96E7B">
            <w:pPr>
              <w:rPr>
                <w:rFonts w:ascii="Calibri" w:hAnsi="Calibri"/>
              </w:rPr>
            </w:pPr>
            <w:r w:rsidRPr="00B52077">
              <w:rPr>
                <w:rFonts w:ascii="Calibri" w:hAnsi="Calibri"/>
              </w:rPr>
              <w:t>Why was the decision made to stop allowing the use of the 1358 for paying SAH?</w:t>
            </w:r>
          </w:p>
        </w:tc>
        <w:tc>
          <w:tcPr>
            <w:tcW w:w="5066" w:type="dxa"/>
          </w:tcPr>
          <w:p w14:paraId="0F0B14AF" w14:textId="77777777" w:rsidR="00397F9C" w:rsidRPr="00B52077" w:rsidRDefault="00397F9C" w:rsidP="00397F9C">
            <w:pPr>
              <w:rPr>
                <w:rFonts w:ascii="Calibri" w:hAnsi="Calibri"/>
              </w:rPr>
            </w:pPr>
            <w:r w:rsidRPr="00B52077">
              <w:rPr>
                <w:rFonts w:ascii="Calibri" w:hAnsi="Calibri"/>
              </w:rPr>
              <w:t xml:space="preserve">In November 2019, OFP and OFM discussed the removal of Special Adaptive Housing Inspections for the VA Form 1358 because there was no statutory authority which exempts these obligations from Federal Acquisition Regulation requirements.  We worked with LGY to ensure all of payment method and other requirements were addressed and communicated with their SAH teams. These actions should be paid by GPC unless the service cost is higher than $2,500. </w:t>
            </w:r>
          </w:p>
          <w:p w14:paraId="4C30067E" w14:textId="77777777" w:rsidR="00397F9C" w:rsidRPr="008C4CEF" w:rsidRDefault="00397F9C" w:rsidP="00567B35">
            <w:pPr>
              <w:rPr>
                <w:rFonts w:ascii="Calibri" w:hAnsi="Calibri"/>
              </w:rPr>
            </w:pPr>
          </w:p>
        </w:tc>
      </w:tr>
    </w:tbl>
    <w:p w14:paraId="6D6056CD" w14:textId="77777777" w:rsidR="0000682A" w:rsidRDefault="0000682A"/>
    <w:p w14:paraId="23EEE884" w14:textId="77777777" w:rsidR="0000682A" w:rsidRDefault="0000682A"/>
    <w:p w14:paraId="1F5AD51D" w14:textId="77777777" w:rsidR="0000682A" w:rsidRDefault="0000682A"/>
    <w:sectPr w:rsidR="0000682A" w:rsidSect="00383304">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D312B7" w14:textId="77777777" w:rsidR="00D1361A" w:rsidRDefault="00D1361A" w:rsidP="0000682A">
      <w:r>
        <w:separator/>
      </w:r>
    </w:p>
  </w:endnote>
  <w:endnote w:type="continuationSeparator" w:id="0">
    <w:p w14:paraId="3F9BC21C" w14:textId="77777777" w:rsidR="00D1361A" w:rsidRDefault="00D1361A" w:rsidP="00006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525AB" w14:textId="77777777" w:rsidR="00383304" w:rsidRDefault="00383304">
    <w:pPr>
      <w:tabs>
        <w:tab w:val="center" w:pos="4550"/>
        <w:tab w:val="left" w:pos="5818"/>
      </w:tabs>
      <w:ind w:right="260"/>
      <w:jc w:val="right"/>
      <w:rPr>
        <w:color w:val="0F243E" w:themeColor="text2" w:themeShade="80"/>
      </w:rPr>
    </w:pPr>
    <w:r>
      <w:rPr>
        <w:color w:val="548DD4" w:themeColor="text2" w:themeTint="99"/>
        <w:spacing w:val="60"/>
      </w:rPr>
      <w:t>Page</w:t>
    </w:r>
    <w:r>
      <w:rPr>
        <w:color w:val="548DD4" w:themeColor="text2" w:themeTint="99"/>
      </w:rPr>
      <w:t xml:space="preserve"> </w:t>
    </w:r>
    <w:r>
      <w:rPr>
        <w:color w:val="17365D" w:themeColor="text2" w:themeShade="BF"/>
      </w:rPr>
      <w:fldChar w:fldCharType="begin"/>
    </w:r>
    <w:r>
      <w:rPr>
        <w:color w:val="17365D" w:themeColor="text2" w:themeShade="BF"/>
      </w:rPr>
      <w:instrText xml:space="preserve"> PAGE   \* MERGEFORMAT </w:instrText>
    </w:r>
    <w:r>
      <w:rPr>
        <w:color w:val="17365D" w:themeColor="text2" w:themeShade="BF"/>
      </w:rPr>
      <w:fldChar w:fldCharType="separate"/>
    </w:r>
    <w:r w:rsidR="00F17092">
      <w:rPr>
        <w:noProof/>
        <w:color w:val="17365D" w:themeColor="text2" w:themeShade="BF"/>
      </w:rPr>
      <w:t>4</w:t>
    </w:r>
    <w:r>
      <w:rPr>
        <w:color w:val="17365D" w:themeColor="text2" w:themeShade="BF"/>
      </w:rPr>
      <w:fldChar w:fldCharType="end"/>
    </w:r>
    <w:r>
      <w:rPr>
        <w:color w:val="17365D" w:themeColor="text2" w:themeShade="BF"/>
      </w:rPr>
      <w:t xml:space="preserve"> | </w:t>
    </w:r>
    <w:r>
      <w:rPr>
        <w:color w:val="17365D" w:themeColor="text2" w:themeShade="BF"/>
      </w:rPr>
      <w:fldChar w:fldCharType="begin"/>
    </w:r>
    <w:r>
      <w:rPr>
        <w:color w:val="17365D" w:themeColor="text2" w:themeShade="BF"/>
      </w:rPr>
      <w:instrText xml:space="preserve"> NUMPAGES  \* Arabic  \* MERGEFORMAT </w:instrText>
    </w:r>
    <w:r>
      <w:rPr>
        <w:color w:val="17365D" w:themeColor="text2" w:themeShade="BF"/>
      </w:rPr>
      <w:fldChar w:fldCharType="separate"/>
    </w:r>
    <w:r w:rsidR="00F17092">
      <w:rPr>
        <w:noProof/>
        <w:color w:val="17365D" w:themeColor="text2" w:themeShade="BF"/>
      </w:rPr>
      <w:t>4</w:t>
    </w:r>
    <w:r>
      <w:rPr>
        <w:color w:val="17365D" w:themeColor="text2" w:themeShade="BF"/>
      </w:rPr>
      <w:fldChar w:fldCharType="end"/>
    </w:r>
  </w:p>
  <w:p w14:paraId="00B2F77A" w14:textId="77777777" w:rsidR="00383304" w:rsidRDefault="003833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5EA2B3" w14:textId="77777777" w:rsidR="00D1361A" w:rsidRDefault="00D1361A" w:rsidP="0000682A">
      <w:r>
        <w:separator/>
      </w:r>
    </w:p>
  </w:footnote>
  <w:footnote w:type="continuationSeparator" w:id="0">
    <w:p w14:paraId="31DC544D" w14:textId="77777777" w:rsidR="00D1361A" w:rsidRDefault="00D1361A" w:rsidP="00006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FB9C5" w14:textId="77777777" w:rsidR="00383304" w:rsidRPr="00253E68" w:rsidRDefault="00383304" w:rsidP="00383304">
    <w:pPr>
      <w:pStyle w:val="Title"/>
      <w:pBdr>
        <w:bottom w:val="single" w:sz="8" w:space="4" w:color="C0504D" w:themeColor="accent2"/>
      </w:pBdr>
      <w:spacing w:after="240"/>
      <w:jc w:val="center"/>
      <w:rPr>
        <w:b/>
        <w:sz w:val="32"/>
        <w:szCs w:val="32"/>
      </w:rPr>
    </w:pPr>
    <w:r>
      <w:rPr>
        <w:noProof/>
      </w:rPr>
      <w:drawing>
        <wp:inline distT="0" distB="0" distL="0" distR="0" wp14:anchorId="7C73735C" wp14:editId="741D9A70">
          <wp:extent cx="1554480" cy="530225"/>
          <wp:effectExtent l="0" t="0" r="7620" b="3175"/>
          <wp:docPr id="5" name="Picture 5" descr="U.S. Department of Veterans Affairs 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T US Department of VA Affairs.jpg"/>
                  <pic:cNvPicPr/>
                </pic:nvPicPr>
                <pic:blipFill>
                  <a:blip r:embed="rId1">
                    <a:extLst>
                      <a:ext uri="{28A0092B-C50C-407E-A947-70E740481C1C}">
                        <a14:useLocalDpi xmlns:a14="http://schemas.microsoft.com/office/drawing/2010/main" val="0"/>
                      </a:ext>
                    </a:extLst>
                  </a:blip>
                  <a:stretch>
                    <a:fillRect/>
                  </a:stretch>
                </pic:blipFill>
                <pic:spPr>
                  <a:xfrm>
                    <a:off x="0" y="0"/>
                    <a:ext cx="1554480" cy="530225"/>
                  </a:xfrm>
                  <a:prstGeom prst="rect">
                    <a:avLst/>
                  </a:prstGeom>
                </pic:spPr>
              </pic:pic>
            </a:graphicData>
          </a:graphic>
        </wp:inline>
      </w:drawing>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14:paraId="78C65FCD" w14:textId="77777777" w:rsidR="0000682A" w:rsidRDefault="000068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B6780A"/>
    <w:multiLevelType w:val="hybridMultilevel"/>
    <w:tmpl w:val="EF182E8C"/>
    <w:lvl w:ilvl="0" w:tplc="310876B2">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4FE28F0"/>
    <w:multiLevelType w:val="hybridMultilevel"/>
    <w:tmpl w:val="6DBC6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82A"/>
    <w:rsid w:val="0000682A"/>
    <w:rsid w:val="00016CBB"/>
    <w:rsid w:val="0003046E"/>
    <w:rsid w:val="000329B2"/>
    <w:rsid w:val="0003520D"/>
    <w:rsid w:val="00087C46"/>
    <w:rsid w:val="00092F25"/>
    <w:rsid w:val="000F34E2"/>
    <w:rsid w:val="000F573A"/>
    <w:rsid w:val="00117BF7"/>
    <w:rsid w:val="00122D83"/>
    <w:rsid w:val="001374B5"/>
    <w:rsid w:val="00154A95"/>
    <w:rsid w:val="0015592C"/>
    <w:rsid w:val="00196394"/>
    <w:rsid w:val="001B6C86"/>
    <w:rsid w:val="001D0949"/>
    <w:rsid w:val="002128A9"/>
    <w:rsid w:val="0022420B"/>
    <w:rsid w:val="00232FB7"/>
    <w:rsid w:val="00286468"/>
    <w:rsid w:val="00296402"/>
    <w:rsid w:val="002F7878"/>
    <w:rsid w:val="00317F1E"/>
    <w:rsid w:val="00353BFF"/>
    <w:rsid w:val="003774D5"/>
    <w:rsid w:val="00383304"/>
    <w:rsid w:val="00397F9C"/>
    <w:rsid w:val="003B0490"/>
    <w:rsid w:val="003B6D7F"/>
    <w:rsid w:val="003C2AD4"/>
    <w:rsid w:val="003F31BB"/>
    <w:rsid w:val="0049460E"/>
    <w:rsid w:val="00496703"/>
    <w:rsid w:val="004D4201"/>
    <w:rsid w:val="005F4951"/>
    <w:rsid w:val="00612495"/>
    <w:rsid w:val="0062169E"/>
    <w:rsid w:val="00653745"/>
    <w:rsid w:val="00670D85"/>
    <w:rsid w:val="006731C4"/>
    <w:rsid w:val="00676BF5"/>
    <w:rsid w:val="006B478A"/>
    <w:rsid w:val="006C3A77"/>
    <w:rsid w:val="006C5F4A"/>
    <w:rsid w:val="00721212"/>
    <w:rsid w:val="00722DB0"/>
    <w:rsid w:val="007260A6"/>
    <w:rsid w:val="00773E4F"/>
    <w:rsid w:val="007A56F2"/>
    <w:rsid w:val="007E45F1"/>
    <w:rsid w:val="00844920"/>
    <w:rsid w:val="008543E1"/>
    <w:rsid w:val="008840A8"/>
    <w:rsid w:val="00887F73"/>
    <w:rsid w:val="008C4CEF"/>
    <w:rsid w:val="00915832"/>
    <w:rsid w:val="00925CD0"/>
    <w:rsid w:val="00931FAA"/>
    <w:rsid w:val="0093399C"/>
    <w:rsid w:val="009C377B"/>
    <w:rsid w:val="009C5621"/>
    <w:rsid w:val="009F4DAB"/>
    <w:rsid w:val="00A12504"/>
    <w:rsid w:val="00A46091"/>
    <w:rsid w:val="00A470B3"/>
    <w:rsid w:val="00A5326E"/>
    <w:rsid w:val="00AD0711"/>
    <w:rsid w:val="00AE40F5"/>
    <w:rsid w:val="00AF03FA"/>
    <w:rsid w:val="00AF7490"/>
    <w:rsid w:val="00B173F1"/>
    <w:rsid w:val="00B24DB6"/>
    <w:rsid w:val="00B52077"/>
    <w:rsid w:val="00B67D2C"/>
    <w:rsid w:val="00B720A4"/>
    <w:rsid w:val="00BD5476"/>
    <w:rsid w:val="00BD7DFD"/>
    <w:rsid w:val="00C3417F"/>
    <w:rsid w:val="00C41A75"/>
    <w:rsid w:val="00C42B9A"/>
    <w:rsid w:val="00C4364D"/>
    <w:rsid w:val="00C542E8"/>
    <w:rsid w:val="00C60853"/>
    <w:rsid w:val="00C808CC"/>
    <w:rsid w:val="00CB700A"/>
    <w:rsid w:val="00CE3ED0"/>
    <w:rsid w:val="00CF23BF"/>
    <w:rsid w:val="00CF51C4"/>
    <w:rsid w:val="00D05A6A"/>
    <w:rsid w:val="00D1361A"/>
    <w:rsid w:val="00D5252F"/>
    <w:rsid w:val="00D66366"/>
    <w:rsid w:val="00D74C1E"/>
    <w:rsid w:val="00DA7E87"/>
    <w:rsid w:val="00DD31B2"/>
    <w:rsid w:val="00E03C28"/>
    <w:rsid w:val="00E244AA"/>
    <w:rsid w:val="00E25EA4"/>
    <w:rsid w:val="00E40B1B"/>
    <w:rsid w:val="00E55B56"/>
    <w:rsid w:val="00E574AA"/>
    <w:rsid w:val="00E724D7"/>
    <w:rsid w:val="00E96E7B"/>
    <w:rsid w:val="00EA4C50"/>
    <w:rsid w:val="00EB6190"/>
    <w:rsid w:val="00EF37E2"/>
    <w:rsid w:val="00F17092"/>
    <w:rsid w:val="00F304B5"/>
    <w:rsid w:val="00F339DF"/>
    <w:rsid w:val="00F550C4"/>
    <w:rsid w:val="00FC51B7"/>
    <w:rsid w:val="00FC7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F29FE"/>
  <w15:chartTrackingRefBased/>
  <w15:docId w15:val="{8D4B6C12-16F1-4E8F-A625-E628BA95F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82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0682A"/>
    <w:pPr>
      <w:numPr>
        <w:numId w:val="2"/>
      </w:numPr>
      <w:contextualSpacing/>
    </w:pPr>
    <w:rPr>
      <w:rFonts w:ascii="Calibri" w:eastAsiaTheme="minorHAnsi" w:hAnsi="Calibri"/>
      <w:b/>
      <w:sz w:val="22"/>
      <w:szCs w:val="22"/>
    </w:rPr>
  </w:style>
  <w:style w:type="character" w:customStyle="1" w:styleId="ListParagraphChar">
    <w:name w:val="List Paragraph Char"/>
    <w:basedOn w:val="DefaultParagraphFont"/>
    <w:link w:val="ListParagraph"/>
    <w:uiPriority w:val="34"/>
    <w:rsid w:val="0000682A"/>
    <w:rPr>
      <w:rFonts w:ascii="Calibri" w:hAnsi="Calibri" w:cs="Times New Roman"/>
      <w:b/>
    </w:rPr>
  </w:style>
  <w:style w:type="table" w:styleId="TableGrid">
    <w:name w:val="Table Grid"/>
    <w:basedOn w:val="TableNormal"/>
    <w:uiPriority w:val="59"/>
    <w:rsid w:val="0000682A"/>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00682A"/>
    <w:pPr>
      <w:spacing w:before="40" w:after="40"/>
    </w:pPr>
  </w:style>
  <w:style w:type="character" w:styleId="Hyperlink">
    <w:name w:val="Hyperlink"/>
    <w:basedOn w:val="DefaultParagraphFont"/>
    <w:uiPriority w:val="99"/>
    <w:unhideWhenUsed/>
    <w:rsid w:val="0000682A"/>
    <w:rPr>
      <w:color w:val="0000FF" w:themeColor="hyperlink"/>
      <w:u w:val="single"/>
    </w:rPr>
  </w:style>
  <w:style w:type="character" w:customStyle="1" w:styleId="TableTextChar">
    <w:name w:val="Table Text Char"/>
    <w:basedOn w:val="DefaultParagraphFont"/>
    <w:link w:val="TableText"/>
    <w:rsid w:val="0000682A"/>
    <w:rPr>
      <w:rFonts w:eastAsia="Times New Roman" w:cs="Times New Roman"/>
      <w:sz w:val="24"/>
      <w:szCs w:val="24"/>
    </w:rPr>
  </w:style>
  <w:style w:type="character" w:customStyle="1" w:styleId="imsender1">
    <w:name w:val="im_sender1"/>
    <w:basedOn w:val="DefaultParagraphFont"/>
    <w:rsid w:val="0000682A"/>
    <w:rPr>
      <w:rFonts w:ascii="Segoe UI" w:hAnsi="Segoe UI" w:cs="Segoe UI" w:hint="default"/>
      <w:b/>
      <w:bCs/>
      <w:i w:val="0"/>
      <w:iCs w:val="0"/>
      <w:caps w:val="0"/>
      <w:smallCaps w:val="0"/>
      <w:strike w:val="0"/>
      <w:dstrike w:val="0"/>
      <w:color w:val="666666"/>
      <w:sz w:val="17"/>
      <w:szCs w:val="17"/>
      <w:u w:val="none"/>
      <w:effect w:val="none"/>
    </w:rPr>
  </w:style>
  <w:style w:type="character" w:styleId="FollowedHyperlink">
    <w:name w:val="FollowedHyperlink"/>
    <w:basedOn w:val="DefaultParagraphFont"/>
    <w:uiPriority w:val="99"/>
    <w:semiHidden/>
    <w:unhideWhenUsed/>
    <w:rsid w:val="0000682A"/>
    <w:rPr>
      <w:color w:val="800080" w:themeColor="followedHyperlink"/>
      <w:u w:val="single"/>
    </w:rPr>
  </w:style>
  <w:style w:type="paragraph" w:styleId="Header">
    <w:name w:val="header"/>
    <w:basedOn w:val="Normal"/>
    <w:link w:val="HeaderChar"/>
    <w:uiPriority w:val="99"/>
    <w:unhideWhenUsed/>
    <w:rsid w:val="0000682A"/>
    <w:pPr>
      <w:tabs>
        <w:tab w:val="center" w:pos="4680"/>
        <w:tab w:val="right" w:pos="9360"/>
      </w:tabs>
    </w:pPr>
  </w:style>
  <w:style w:type="character" w:customStyle="1" w:styleId="HeaderChar">
    <w:name w:val="Header Char"/>
    <w:basedOn w:val="DefaultParagraphFont"/>
    <w:link w:val="Header"/>
    <w:uiPriority w:val="99"/>
    <w:rsid w:val="0000682A"/>
    <w:rPr>
      <w:rFonts w:eastAsia="Times New Roman" w:cs="Times New Roman"/>
      <w:sz w:val="24"/>
      <w:szCs w:val="24"/>
    </w:rPr>
  </w:style>
  <w:style w:type="paragraph" w:styleId="Footer">
    <w:name w:val="footer"/>
    <w:basedOn w:val="Normal"/>
    <w:link w:val="FooterChar"/>
    <w:uiPriority w:val="99"/>
    <w:unhideWhenUsed/>
    <w:rsid w:val="0000682A"/>
    <w:pPr>
      <w:tabs>
        <w:tab w:val="center" w:pos="4680"/>
        <w:tab w:val="right" w:pos="9360"/>
      </w:tabs>
    </w:pPr>
  </w:style>
  <w:style w:type="character" w:customStyle="1" w:styleId="FooterChar">
    <w:name w:val="Footer Char"/>
    <w:basedOn w:val="DefaultParagraphFont"/>
    <w:link w:val="Footer"/>
    <w:uiPriority w:val="99"/>
    <w:rsid w:val="0000682A"/>
    <w:rPr>
      <w:rFonts w:eastAsia="Times New Roman" w:cs="Times New Roman"/>
      <w:sz w:val="24"/>
      <w:szCs w:val="24"/>
    </w:rPr>
  </w:style>
  <w:style w:type="paragraph" w:styleId="Title">
    <w:name w:val="Title"/>
    <w:basedOn w:val="Normal"/>
    <w:next w:val="Normal"/>
    <w:link w:val="TitleChar"/>
    <w:uiPriority w:val="10"/>
    <w:qFormat/>
    <w:rsid w:val="0000682A"/>
    <w:pPr>
      <w:pBdr>
        <w:bottom w:val="single" w:sz="8" w:space="4" w:color="39888C"/>
      </w:pBdr>
      <w:contextualSpacing/>
    </w:pPr>
    <w:rPr>
      <w:rFonts w:eastAsiaTheme="majorEastAsia" w:cstheme="majorBidi"/>
      <w:spacing w:val="5"/>
      <w:kern w:val="28"/>
      <w:sz w:val="36"/>
      <w:szCs w:val="52"/>
    </w:rPr>
  </w:style>
  <w:style w:type="character" w:customStyle="1" w:styleId="TitleChar">
    <w:name w:val="Title Char"/>
    <w:basedOn w:val="DefaultParagraphFont"/>
    <w:link w:val="Title"/>
    <w:uiPriority w:val="10"/>
    <w:rsid w:val="0000682A"/>
    <w:rPr>
      <w:rFonts w:eastAsiaTheme="majorEastAsia" w:cstheme="majorBidi"/>
      <w:spacing w:val="5"/>
      <w:kern w:val="28"/>
      <w:sz w:val="36"/>
      <w:szCs w:val="52"/>
    </w:rPr>
  </w:style>
  <w:style w:type="paragraph" w:styleId="PlainText">
    <w:name w:val="Plain Text"/>
    <w:basedOn w:val="Normal"/>
    <w:link w:val="PlainTextChar"/>
    <w:uiPriority w:val="99"/>
    <w:unhideWhenUsed/>
    <w:rsid w:val="004D4201"/>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D4201"/>
    <w:rPr>
      <w:rFonts w:ascii="Calibri" w:hAnsi="Calibri"/>
      <w:szCs w:val="21"/>
    </w:rPr>
  </w:style>
  <w:style w:type="character" w:styleId="UnresolvedMention">
    <w:name w:val="Unresolved Mention"/>
    <w:basedOn w:val="DefaultParagraphFont"/>
    <w:uiPriority w:val="99"/>
    <w:semiHidden/>
    <w:unhideWhenUsed/>
    <w:rsid w:val="00915832"/>
    <w:rPr>
      <w:color w:val="605E5C"/>
      <w:shd w:val="clear" w:color="auto" w:fill="E1DFDD"/>
    </w:rPr>
  </w:style>
  <w:style w:type="paragraph" w:customStyle="1" w:styleId="Default">
    <w:name w:val="Default"/>
    <w:rsid w:val="00AE40F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632683">
      <w:bodyDiv w:val="1"/>
      <w:marLeft w:val="0"/>
      <w:marRight w:val="0"/>
      <w:marTop w:val="0"/>
      <w:marBottom w:val="0"/>
      <w:divBdr>
        <w:top w:val="none" w:sz="0" w:space="0" w:color="auto"/>
        <w:left w:val="none" w:sz="0" w:space="0" w:color="auto"/>
        <w:bottom w:val="none" w:sz="0" w:space="0" w:color="auto"/>
        <w:right w:val="none" w:sz="0" w:space="0" w:color="auto"/>
      </w:divBdr>
    </w:div>
    <w:div w:id="1003052743">
      <w:bodyDiv w:val="1"/>
      <w:marLeft w:val="0"/>
      <w:marRight w:val="0"/>
      <w:marTop w:val="0"/>
      <w:marBottom w:val="0"/>
      <w:divBdr>
        <w:top w:val="none" w:sz="0" w:space="0" w:color="auto"/>
        <w:left w:val="none" w:sz="0" w:space="0" w:color="auto"/>
        <w:bottom w:val="none" w:sz="0" w:space="0" w:color="auto"/>
        <w:right w:val="none" w:sz="0" w:space="0" w:color="auto"/>
      </w:divBdr>
    </w:div>
    <w:div w:id="1299218145">
      <w:bodyDiv w:val="1"/>
      <w:marLeft w:val="0"/>
      <w:marRight w:val="0"/>
      <w:marTop w:val="0"/>
      <w:marBottom w:val="0"/>
      <w:divBdr>
        <w:top w:val="none" w:sz="0" w:space="0" w:color="auto"/>
        <w:left w:val="none" w:sz="0" w:space="0" w:color="auto"/>
        <w:bottom w:val="none" w:sz="0" w:space="0" w:color="auto"/>
        <w:right w:val="none" w:sz="0" w:space="0" w:color="auto"/>
      </w:divBdr>
    </w:div>
    <w:div w:id="1337000071">
      <w:bodyDiv w:val="1"/>
      <w:marLeft w:val="0"/>
      <w:marRight w:val="0"/>
      <w:marTop w:val="0"/>
      <w:marBottom w:val="0"/>
      <w:divBdr>
        <w:top w:val="none" w:sz="0" w:space="0" w:color="auto"/>
        <w:left w:val="none" w:sz="0" w:space="0" w:color="auto"/>
        <w:bottom w:val="none" w:sz="0" w:space="0" w:color="auto"/>
        <w:right w:val="none" w:sz="0" w:space="0" w:color="auto"/>
      </w:divBdr>
    </w:div>
    <w:div w:id="1793402442">
      <w:bodyDiv w:val="1"/>
      <w:marLeft w:val="0"/>
      <w:marRight w:val="0"/>
      <w:marTop w:val="0"/>
      <w:marBottom w:val="0"/>
      <w:divBdr>
        <w:top w:val="none" w:sz="0" w:space="0" w:color="auto"/>
        <w:left w:val="none" w:sz="0" w:space="0" w:color="auto"/>
        <w:bottom w:val="none" w:sz="0" w:space="0" w:color="auto"/>
        <w:right w:val="none" w:sz="0" w:space="0" w:color="auto"/>
      </w:divBdr>
    </w:div>
    <w:div w:id="1868640464">
      <w:bodyDiv w:val="1"/>
      <w:marLeft w:val="0"/>
      <w:marRight w:val="0"/>
      <w:marTop w:val="0"/>
      <w:marBottom w:val="0"/>
      <w:divBdr>
        <w:top w:val="none" w:sz="0" w:space="0" w:color="auto"/>
        <w:left w:val="none" w:sz="0" w:space="0" w:color="auto"/>
        <w:bottom w:val="none" w:sz="0" w:space="0" w:color="auto"/>
        <w:right w:val="none" w:sz="0" w:space="0" w:color="auto"/>
      </w:divBdr>
    </w:div>
    <w:div w:id="1878274034">
      <w:bodyDiv w:val="1"/>
      <w:marLeft w:val="0"/>
      <w:marRight w:val="0"/>
      <w:marTop w:val="0"/>
      <w:marBottom w:val="0"/>
      <w:divBdr>
        <w:top w:val="none" w:sz="0" w:space="0" w:color="auto"/>
        <w:left w:val="none" w:sz="0" w:space="0" w:color="auto"/>
        <w:bottom w:val="none" w:sz="0" w:space="0" w:color="auto"/>
        <w:right w:val="none" w:sz="0" w:space="0" w:color="auto"/>
      </w:divBdr>
    </w:div>
    <w:div w:id="2121298736">
      <w:bodyDiv w:val="1"/>
      <w:marLeft w:val="0"/>
      <w:marRight w:val="0"/>
      <w:marTop w:val="0"/>
      <w:marBottom w:val="0"/>
      <w:divBdr>
        <w:top w:val="none" w:sz="0" w:space="0" w:color="auto"/>
        <w:left w:val="none" w:sz="0" w:space="0" w:color="auto"/>
        <w:bottom w:val="none" w:sz="0" w:space="0" w:color="auto"/>
        <w:right w:val="none" w:sz="0" w:space="0" w:color="auto"/>
      </w:divBdr>
    </w:div>
    <w:div w:id="214095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34CDC-BA2A-4E3A-8015-3C7217432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Obligations Training FAQ</vt:lpstr>
    </vt:vector>
  </TitlesOfParts>
  <Company>Veterans Benefits Administration</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Obligations Training FAQ</dc:title>
  <dc:subject/>
  <dc:creator>Department of Veterans Affairs, Veterans Benefits Administration, STAFF</dc:creator>
  <cp:keywords/>
  <dc:description/>
  <cp:lastModifiedBy>Kathy Poole</cp:lastModifiedBy>
  <cp:revision>8</cp:revision>
  <cp:lastPrinted>2019-09-16T19:04:00Z</cp:lastPrinted>
  <dcterms:created xsi:type="dcterms:W3CDTF">2020-10-15T12:49:00Z</dcterms:created>
  <dcterms:modified xsi:type="dcterms:W3CDTF">2020-10-15T14:33:00Z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