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5AC5917A" w14:textId="1CC10407" w:rsidR="00EA3963"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55331956" w:history="1">
            <w:r w:rsidR="00EA3963" w:rsidRPr="00FC148E">
              <w:rPr>
                <w:rStyle w:val="Hyperlink"/>
                <w:noProof/>
              </w:rPr>
              <w:t>Exam Sufficiency</w:t>
            </w:r>
            <w:r w:rsidR="00EA3963">
              <w:rPr>
                <w:noProof/>
                <w:webHidden/>
              </w:rPr>
              <w:tab/>
            </w:r>
            <w:r w:rsidR="00EA3963">
              <w:rPr>
                <w:noProof/>
                <w:webHidden/>
              </w:rPr>
              <w:fldChar w:fldCharType="begin"/>
            </w:r>
            <w:r w:rsidR="00EA3963">
              <w:rPr>
                <w:noProof/>
                <w:webHidden/>
              </w:rPr>
              <w:instrText xml:space="preserve"> PAGEREF _Toc155331956 \h </w:instrText>
            </w:r>
            <w:r w:rsidR="00EA3963">
              <w:rPr>
                <w:noProof/>
                <w:webHidden/>
              </w:rPr>
            </w:r>
            <w:r w:rsidR="00EA3963">
              <w:rPr>
                <w:noProof/>
                <w:webHidden/>
              </w:rPr>
              <w:fldChar w:fldCharType="separate"/>
            </w:r>
            <w:r w:rsidR="00EA3963">
              <w:rPr>
                <w:noProof/>
                <w:webHidden/>
              </w:rPr>
              <w:t>1</w:t>
            </w:r>
            <w:r w:rsidR="00EA3963">
              <w:rPr>
                <w:noProof/>
                <w:webHidden/>
              </w:rPr>
              <w:fldChar w:fldCharType="end"/>
            </w:r>
          </w:hyperlink>
        </w:p>
        <w:p w14:paraId="686ACC89" w14:textId="08BBF91D" w:rsidR="00EA3963" w:rsidRDefault="00000000">
          <w:pPr>
            <w:pStyle w:val="TOC1"/>
            <w:tabs>
              <w:tab w:val="right" w:leader="dot" w:pos="9630"/>
            </w:tabs>
            <w:rPr>
              <w:rFonts w:asciiTheme="minorHAnsi" w:eastAsiaTheme="minorEastAsia" w:hAnsiTheme="minorHAnsi" w:cstheme="minorBidi"/>
              <w:noProof/>
              <w:sz w:val="22"/>
              <w:szCs w:val="22"/>
              <w:lang w:bidi="ar-SA"/>
            </w:rPr>
          </w:pPr>
          <w:hyperlink w:anchor="_Toc155331957" w:history="1">
            <w:r w:rsidR="00EA3963" w:rsidRPr="00FC148E">
              <w:rPr>
                <w:rStyle w:val="Hyperlink"/>
                <w:noProof/>
              </w:rPr>
              <w:t>Analysis of Higher-Level Review Returns in Caseflow</w:t>
            </w:r>
            <w:r w:rsidR="00EA3963">
              <w:rPr>
                <w:noProof/>
                <w:webHidden/>
              </w:rPr>
              <w:tab/>
            </w:r>
            <w:r w:rsidR="00EA3963">
              <w:rPr>
                <w:noProof/>
                <w:webHidden/>
              </w:rPr>
              <w:fldChar w:fldCharType="begin"/>
            </w:r>
            <w:r w:rsidR="00EA3963">
              <w:rPr>
                <w:noProof/>
                <w:webHidden/>
              </w:rPr>
              <w:instrText xml:space="preserve"> PAGEREF _Toc155331957 \h </w:instrText>
            </w:r>
            <w:r w:rsidR="00EA3963">
              <w:rPr>
                <w:noProof/>
                <w:webHidden/>
              </w:rPr>
            </w:r>
            <w:r w:rsidR="00EA3963">
              <w:rPr>
                <w:noProof/>
                <w:webHidden/>
              </w:rPr>
              <w:fldChar w:fldCharType="separate"/>
            </w:r>
            <w:r w:rsidR="00EA3963">
              <w:rPr>
                <w:noProof/>
                <w:webHidden/>
              </w:rPr>
              <w:t>3</w:t>
            </w:r>
            <w:r w:rsidR="00EA3963">
              <w:rPr>
                <w:noProof/>
                <w:webHidden/>
              </w:rPr>
              <w:fldChar w:fldCharType="end"/>
            </w:r>
          </w:hyperlink>
        </w:p>
        <w:p w14:paraId="64358E17" w14:textId="616C6205" w:rsidR="00EA3963" w:rsidRDefault="00000000">
          <w:pPr>
            <w:pStyle w:val="TOC1"/>
            <w:tabs>
              <w:tab w:val="right" w:leader="dot" w:pos="9630"/>
            </w:tabs>
            <w:rPr>
              <w:rFonts w:asciiTheme="minorHAnsi" w:eastAsiaTheme="minorEastAsia" w:hAnsiTheme="minorHAnsi" w:cstheme="minorBidi"/>
              <w:noProof/>
              <w:sz w:val="22"/>
              <w:szCs w:val="22"/>
              <w:lang w:bidi="ar-SA"/>
            </w:rPr>
          </w:pPr>
          <w:hyperlink w:anchor="_Toc155331958" w:history="1">
            <w:r w:rsidR="00EA3963" w:rsidRPr="00FC148E">
              <w:rPr>
                <w:rStyle w:val="Hyperlink"/>
                <w:noProof/>
              </w:rPr>
              <w:t>Routing a Claim for Regional Office Research Coordinator Review</w:t>
            </w:r>
            <w:r w:rsidR="00EA3963">
              <w:rPr>
                <w:noProof/>
                <w:webHidden/>
              </w:rPr>
              <w:tab/>
            </w:r>
            <w:r w:rsidR="00EA3963">
              <w:rPr>
                <w:noProof/>
                <w:webHidden/>
              </w:rPr>
              <w:fldChar w:fldCharType="begin"/>
            </w:r>
            <w:r w:rsidR="00EA3963">
              <w:rPr>
                <w:noProof/>
                <w:webHidden/>
              </w:rPr>
              <w:instrText xml:space="preserve"> PAGEREF _Toc155331958 \h </w:instrText>
            </w:r>
            <w:r w:rsidR="00EA3963">
              <w:rPr>
                <w:noProof/>
                <w:webHidden/>
              </w:rPr>
            </w:r>
            <w:r w:rsidR="00EA3963">
              <w:rPr>
                <w:noProof/>
                <w:webHidden/>
              </w:rPr>
              <w:fldChar w:fldCharType="separate"/>
            </w:r>
            <w:r w:rsidR="00EA3963">
              <w:rPr>
                <w:noProof/>
                <w:webHidden/>
              </w:rPr>
              <w:t>5</w:t>
            </w:r>
            <w:r w:rsidR="00EA3963">
              <w:rPr>
                <w:noProof/>
                <w:webHidden/>
              </w:rPr>
              <w:fldChar w:fldCharType="end"/>
            </w:r>
          </w:hyperlink>
        </w:p>
        <w:p w14:paraId="7598FEE4" w14:textId="156A7842" w:rsidR="00EA3963" w:rsidRDefault="00000000">
          <w:pPr>
            <w:pStyle w:val="TOC1"/>
            <w:tabs>
              <w:tab w:val="right" w:leader="dot" w:pos="9630"/>
            </w:tabs>
            <w:rPr>
              <w:rFonts w:asciiTheme="minorHAnsi" w:eastAsiaTheme="minorEastAsia" w:hAnsiTheme="minorHAnsi" w:cstheme="minorBidi"/>
              <w:noProof/>
              <w:sz w:val="22"/>
              <w:szCs w:val="22"/>
              <w:lang w:bidi="ar-SA"/>
            </w:rPr>
          </w:pPr>
          <w:hyperlink w:anchor="_Toc155331959" w:history="1">
            <w:r w:rsidR="00EA3963" w:rsidRPr="00FC148E">
              <w:rPr>
                <w:rStyle w:val="Hyperlink"/>
                <w:noProof/>
              </w:rPr>
              <w:t>Questions and Answers</w:t>
            </w:r>
            <w:r w:rsidR="00EA3963">
              <w:rPr>
                <w:noProof/>
                <w:webHidden/>
              </w:rPr>
              <w:tab/>
            </w:r>
            <w:r w:rsidR="00EA3963">
              <w:rPr>
                <w:noProof/>
                <w:webHidden/>
              </w:rPr>
              <w:fldChar w:fldCharType="begin"/>
            </w:r>
            <w:r w:rsidR="00EA3963">
              <w:rPr>
                <w:noProof/>
                <w:webHidden/>
              </w:rPr>
              <w:instrText xml:space="preserve"> PAGEREF _Toc155331959 \h </w:instrText>
            </w:r>
            <w:r w:rsidR="00EA3963">
              <w:rPr>
                <w:noProof/>
                <w:webHidden/>
              </w:rPr>
            </w:r>
            <w:r w:rsidR="00EA3963">
              <w:rPr>
                <w:noProof/>
                <w:webHidden/>
              </w:rPr>
              <w:fldChar w:fldCharType="separate"/>
            </w:r>
            <w:r w:rsidR="00EA3963">
              <w:rPr>
                <w:noProof/>
                <w:webHidden/>
              </w:rPr>
              <w:t>6</w:t>
            </w:r>
            <w:r w:rsidR="00EA3963">
              <w:rPr>
                <w:noProof/>
                <w:webHidden/>
              </w:rPr>
              <w:fldChar w:fldCharType="end"/>
            </w:r>
          </w:hyperlink>
        </w:p>
        <w:p w14:paraId="44F67274" w14:textId="0977584F" w:rsidR="00666EEB" w:rsidRPr="00F66E3D" w:rsidRDefault="00666EEB" w:rsidP="00B50F9D">
          <w:pPr>
            <w:ind w:left="187"/>
            <w:rPr>
              <w:sz w:val="24"/>
              <w:szCs w:val="24"/>
            </w:rPr>
          </w:pPr>
          <w:r w:rsidRPr="00F66E3D">
            <w:rPr>
              <w:b/>
              <w:bCs/>
              <w:noProof/>
              <w:sz w:val="24"/>
              <w:szCs w:val="24"/>
            </w:rPr>
            <w:fldChar w:fldCharType="end"/>
          </w:r>
        </w:p>
      </w:sdtContent>
    </w:sdt>
    <w:p w14:paraId="300089BF" w14:textId="59FAB18E" w:rsidR="00DE6445" w:rsidRPr="00BE05B0" w:rsidRDefault="00C47619" w:rsidP="00B50F9D">
      <w:pPr>
        <w:pStyle w:val="Heading1"/>
        <w:pBdr>
          <w:bottom w:val="thinThickLargeGap" w:sz="8" w:space="1" w:color="auto"/>
        </w:pBdr>
        <w:spacing w:before="173"/>
        <w:ind w:left="187" w:right="0"/>
        <w:rPr>
          <w:color w:val="001F5F"/>
          <w:sz w:val="24"/>
          <w:szCs w:val="24"/>
        </w:rPr>
      </w:pPr>
      <w:bookmarkStart w:id="0" w:name="_Toc155331956"/>
      <w:r>
        <w:rPr>
          <w:color w:val="001F5F"/>
          <w:sz w:val="24"/>
          <w:szCs w:val="24"/>
        </w:rPr>
        <w:t>Exam Sufficiency</w:t>
      </w:r>
      <w:bookmarkEnd w:id="0"/>
    </w:p>
    <w:p w14:paraId="51C966AE" w14:textId="0CE57A66"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w:t>
      </w:r>
    </w:p>
    <w:p w14:paraId="3674F9DA" w14:textId="1BD580E7" w:rsidR="008858D6" w:rsidRDefault="008858D6" w:rsidP="008858D6">
      <w:pPr>
        <w:pStyle w:val="BodyText"/>
        <w:spacing w:after="240"/>
        <w:ind w:left="187"/>
      </w:pPr>
      <w:r w:rsidRPr="00BE05B0">
        <w:rPr>
          <w:b/>
        </w:rPr>
        <w:t xml:space="preserve">Presenter: </w:t>
      </w:r>
      <w:r w:rsidR="00C47619">
        <w:t>Lynn Rowzee</w:t>
      </w:r>
      <w:r w:rsidRPr="00BE05B0">
        <w:t xml:space="preserve">, </w:t>
      </w:r>
      <w:r w:rsidR="00C47619" w:rsidRPr="0005707F">
        <w:t>Management and Program Analyst, OAR</w:t>
      </w:r>
    </w:p>
    <w:p w14:paraId="40A1F577" w14:textId="77777777" w:rsidR="008858D6" w:rsidRPr="00BE05B0" w:rsidRDefault="008858D6" w:rsidP="008858D6">
      <w:pPr>
        <w:ind w:left="187"/>
        <w:rPr>
          <w:b/>
          <w:bCs/>
          <w:sz w:val="24"/>
          <w:szCs w:val="24"/>
        </w:rPr>
      </w:pPr>
      <w:bookmarkStart w:id="1" w:name="_Hlk155331690"/>
      <w:r w:rsidRPr="00BE05B0">
        <w:rPr>
          <w:b/>
          <w:bCs/>
          <w:sz w:val="24"/>
          <w:szCs w:val="24"/>
        </w:rPr>
        <w:t xml:space="preserve">References: </w:t>
      </w:r>
    </w:p>
    <w:p w14:paraId="32885973" w14:textId="344DEE17" w:rsidR="00C47619" w:rsidRPr="00C47619" w:rsidRDefault="00C47619" w:rsidP="00582790">
      <w:pPr>
        <w:numPr>
          <w:ilvl w:val="0"/>
          <w:numId w:val="1"/>
        </w:numPr>
        <w:tabs>
          <w:tab w:val="left" w:pos="540"/>
          <w:tab w:val="left" w:pos="720"/>
        </w:tabs>
        <w:ind w:left="540"/>
        <w:rPr>
          <w:sz w:val="24"/>
          <w:szCs w:val="24"/>
          <w:lang w:bidi="ar-SA"/>
        </w:rPr>
      </w:pPr>
      <w:r w:rsidRPr="00C47619">
        <w:rPr>
          <w:sz w:val="24"/>
          <w:szCs w:val="24"/>
          <w:lang w:bidi="ar-SA"/>
        </w:rPr>
        <w:t>38 U.S.C. § 5103A(d)</w:t>
      </w:r>
      <w:r w:rsidR="00EA3963">
        <w:rPr>
          <w:sz w:val="24"/>
          <w:szCs w:val="24"/>
          <w:lang w:bidi="ar-SA"/>
        </w:rPr>
        <w:t>,</w:t>
      </w:r>
      <w:r w:rsidRPr="00C47619">
        <w:rPr>
          <w:sz w:val="24"/>
          <w:szCs w:val="24"/>
          <w:lang w:bidi="ar-SA"/>
        </w:rPr>
        <w:t xml:space="preserve"> </w:t>
      </w:r>
      <w:r w:rsidRPr="00C47619">
        <w:rPr>
          <w:i/>
          <w:iCs/>
          <w:sz w:val="24"/>
          <w:szCs w:val="24"/>
          <w:lang w:bidi="ar-SA"/>
        </w:rPr>
        <w:t>Medical Examinations for Compensation Claims</w:t>
      </w:r>
      <w:bookmarkEnd w:id="1"/>
    </w:p>
    <w:p w14:paraId="33DC6BBE" w14:textId="2CB3BC20" w:rsidR="00C47619" w:rsidRPr="00C47619" w:rsidRDefault="00C47619">
      <w:pPr>
        <w:numPr>
          <w:ilvl w:val="0"/>
          <w:numId w:val="1"/>
        </w:numPr>
        <w:tabs>
          <w:tab w:val="left" w:pos="720"/>
        </w:tabs>
        <w:ind w:left="540"/>
        <w:rPr>
          <w:sz w:val="24"/>
          <w:szCs w:val="24"/>
          <w:lang w:bidi="ar-SA"/>
        </w:rPr>
      </w:pPr>
      <w:r w:rsidRPr="00C47619">
        <w:rPr>
          <w:sz w:val="24"/>
          <w:szCs w:val="24"/>
          <w:lang w:bidi="ar-SA"/>
        </w:rPr>
        <w:t>38 C.F.R. § 4.2</w:t>
      </w:r>
      <w:r w:rsidR="00EA3963">
        <w:rPr>
          <w:sz w:val="24"/>
          <w:szCs w:val="24"/>
          <w:lang w:bidi="ar-SA"/>
        </w:rPr>
        <w:t>,</w:t>
      </w:r>
      <w:r w:rsidRPr="00C47619">
        <w:rPr>
          <w:sz w:val="24"/>
          <w:szCs w:val="24"/>
          <w:lang w:bidi="ar-SA"/>
        </w:rPr>
        <w:t xml:space="preserve"> </w:t>
      </w:r>
      <w:r w:rsidRPr="00C47619">
        <w:rPr>
          <w:i/>
          <w:iCs/>
          <w:sz w:val="24"/>
          <w:szCs w:val="24"/>
          <w:lang w:bidi="ar-SA"/>
        </w:rPr>
        <w:t>Interpretation of examination reports</w:t>
      </w:r>
    </w:p>
    <w:p w14:paraId="2A1E1F22" w14:textId="0644F451" w:rsidR="00C47619" w:rsidRPr="00C47619" w:rsidRDefault="00C47619">
      <w:pPr>
        <w:numPr>
          <w:ilvl w:val="0"/>
          <w:numId w:val="1"/>
        </w:numPr>
        <w:tabs>
          <w:tab w:val="left" w:pos="720"/>
        </w:tabs>
        <w:ind w:left="540"/>
        <w:rPr>
          <w:sz w:val="24"/>
          <w:szCs w:val="24"/>
          <w:lang w:bidi="ar-SA"/>
        </w:rPr>
      </w:pPr>
      <w:r w:rsidRPr="00C47619">
        <w:rPr>
          <w:sz w:val="24"/>
          <w:szCs w:val="24"/>
          <w:lang w:bidi="ar-SA"/>
        </w:rPr>
        <w:t>38 C.F.R. § 4.70</w:t>
      </w:r>
      <w:r w:rsidR="00EA3963">
        <w:rPr>
          <w:sz w:val="24"/>
          <w:szCs w:val="24"/>
          <w:lang w:bidi="ar-SA"/>
        </w:rPr>
        <w:t>,</w:t>
      </w:r>
      <w:r w:rsidRPr="00C47619">
        <w:rPr>
          <w:sz w:val="24"/>
          <w:szCs w:val="24"/>
          <w:lang w:bidi="ar-SA"/>
        </w:rPr>
        <w:t xml:space="preserve"> </w:t>
      </w:r>
      <w:r w:rsidRPr="00C47619">
        <w:rPr>
          <w:i/>
          <w:iCs/>
          <w:sz w:val="24"/>
          <w:szCs w:val="24"/>
          <w:lang w:bidi="ar-SA"/>
        </w:rPr>
        <w:t>Inadequate examinations</w:t>
      </w:r>
    </w:p>
    <w:p w14:paraId="609D1D49" w14:textId="77777777" w:rsidR="00C47619" w:rsidRPr="00C47619" w:rsidRDefault="00C47619">
      <w:pPr>
        <w:numPr>
          <w:ilvl w:val="0"/>
          <w:numId w:val="1"/>
        </w:numPr>
        <w:tabs>
          <w:tab w:val="left" w:pos="720"/>
        </w:tabs>
        <w:ind w:left="540"/>
        <w:rPr>
          <w:i/>
          <w:iCs/>
          <w:sz w:val="24"/>
          <w:szCs w:val="24"/>
          <w:lang w:bidi="ar-SA"/>
        </w:rPr>
      </w:pPr>
      <w:r w:rsidRPr="00C47619">
        <w:rPr>
          <w:sz w:val="24"/>
          <w:szCs w:val="24"/>
          <w:lang w:bidi="ar-SA"/>
        </w:rPr>
        <w:t xml:space="preserve">M21-1, IV.i.2.A.7.d., </w:t>
      </w:r>
      <w:r w:rsidRPr="00C47619">
        <w:rPr>
          <w:i/>
          <w:iCs/>
          <w:sz w:val="24"/>
          <w:szCs w:val="24"/>
          <w:lang w:bidi="ar-SA"/>
        </w:rPr>
        <w:t>Procedure for Identifying the Evidence in a Medical Opinion Request</w:t>
      </w:r>
    </w:p>
    <w:p w14:paraId="067973BB" w14:textId="77777777" w:rsidR="00C47619" w:rsidRPr="00C47619" w:rsidRDefault="00C47619">
      <w:pPr>
        <w:numPr>
          <w:ilvl w:val="0"/>
          <w:numId w:val="1"/>
        </w:numPr>
        <w:tabs>
          <w:tab w:val="left" w:pos="720"/>
        </w:tabs>
        <w:ind w:left="540"/>
        <w:rPr>
          <w:sz w:val="24"/>
          <w:szCs w:val="24"/>
          <w:lang w:bidi="ar-SA"/>
        </w:rPr>
      </w:pPr>
      <w:r w:rsidRPr="00C47619">
        <w:rPr>
          <w:sz w:val="24"/>
          <w:szCs w:val="24"/>
          <w:lang w:bidi="ar-SA"/>
        </w:rPr>
        <w:t xml:space="preserve">M21-1, IV.i.2.A.7.f., </w:t>
      </w:r>
      <w:r w:rsidRPr="00C47619">
        <w:rPr>
          <w:i/>
          <w:iCs/>
          <w:sz w:val="24"/>
          <w:szCs w:val="24"/>
          <w:lang w:bidi="ar-SA"/>
        </w:rPr>
        <w:t>Medical Opinions Required for Remands</w:t>
      </w:r>
    </w:p>
    <w:p w14:paraId="7C598A39" w14:textId="77777777" w:rsidR="00C47619" w:rsidRPr="00C47619" w:rsidRDefault="00C47619">
      <w:pPr>
        <w:numPr>
          <w:ilvl w:val="0"/>
          <w:numId w:val="1"/>
        </w:numPr>
        <w:tabs>
          <w:tab w:val="left" w:pos="720"/>
        </w:tabs>
        <w:ind w:left="540"/>
        <w:rPr>
          <w:i/>
          <w:iCs/>
          <w:sz w:val="24"/>
          <w:szCs w:val="24"/>
          <w:lang w:bidi="ar-SA"/>
        </w:rPr>
      </w:pPr>
      <w:r w:rsidRPr="00C47619">
        <w:rPr>
          <w:sz w:val="24"/>
          <w:szCs w:val="24"/>
          <w:lang w:bidi="ar-SA"/>
        </w:rPr>
        <w:t xml:space="preserve">M21-1, IV.i.2.A.7.j., </w:t>
      </w:r>
      <w:r w:rsidRPr="00C47619">
        <w:rPr>
          <w:i/>
          <w:iCs/>
          <w:sz w:val="24"/>
          <w:szCs w:val="24"/>
          <w:lang w:bidi="ar-SA"/>
        </w:rPr>
        <w:t>Avoiding Asking for Legal Conclusions in Medical Opinion Requests</w:t>
      </w:r>
    </w:p>
    <w:p w14:paraId="4F0F8555" w14:textId="77777777" w:rsidR="00C47619" w:rsidRDefault="00C47619">
      <w:pPr>
        <w:numPr>
          <w:ilvl w:val="0"/>
          <w:numId w:val="1"/>
        </w:numPr>
        <w:tabs>
          <w:tab w:val="left" w:pos="720"/>
        </w:tabs>
        <w:ind w:left="540"/>
        <w:rPr>
          <w:sz w:val="24"/>
          <w:szCs w:val="24"/>
          <w:lang w:bidi="ar-SA"/>
        </w:rPr>
      </w:pPr>
      <w:r w:rsidRPr="00C47619">
        <w:rPr>
          <w:sz w:val="24"/>
          <w:szCs w:val="24"/>
          <w:lang w:bidi="ar-SA"/>
        </w:rPr>
        <w:t xml:space="preserve">M21-1, IV.i.2.A.8.a., </w:t>
      </w:r>
      <w:r w:rsidRPr="00C47619">
        <w:rPr>
          <w:i/>
          <w:iCs/>
          <w:sz w:val="24"/>
          <w:szCs w:val="24"/>
          <w:lang w:bidi="ar-SA"/>
        </w:rPr>
        <w:t>Importance of Claims Folder Review</w:t>
      </w:r>
    </w:p>
    <w:p w14:paraId="2052A4D5" w14:textId="217AF488" w:rsidR="008858D6" w:rsidRDefault="00C47619">
      <w:pPr>
        <w:numPr>
          <w:ilvl w:val="0"/>
          <w:numId w:val="1"/>
        </w:numPr>
        <w:tabs>
          <w:tab w:val="left" w:pos="720"/>
        </w:tabs>
        <w:ind w:left="540"/>
        <w:rPr>
          <w:sz w:val="24"/>
          <w:szCs w:val="24"/>
          <w:lang w:bidi="ar-SA"/>
        </w:rPr>
      </w:pPr>
      <w:r w:rsidRPr="00C47619">
        <w:rPr>
          <w:sz w:val="24"/>
          <w:szCs w:val="24"/>
          <w:lang w:bidi="ar-SA"/>
        </w:rPr>
        <w:t xml:space="preserve">M21-1, IV.i.3.A.1.l., </w:t>
      </w:r>
      <w:r w:rsidRPr="00EA3963">
        <w:rPr>
          <w:i/>
          <w:iCs/>
          <w:sz w:val="24"/>
          <w:szCs w:val="24"/>
          <w:lang w:bidi="ar-SA"/>
        </w:rPr>
        <w:t>Requirements for Examination Reports</w:t>
      </w:r>
    </w:p>
    <w:p w14:paraId="596A2184" w14:textId="77777777" w:rsidR="00C47619" w:rsidRPr="00C47619" w:rsidRDefault="00C47619">
      <w:pPr>
        <w:numPr>
          <w:ilvl w:val="0"/>
          <w:numId w:val="1"/>
        </w:numPr>
        <w:tabs>
          <w:tab w:val="left" w:pos="720"/>
        </w:tabs>
        <w:ind w:left="540"/>
        <w:rPr>
          <w:sz w:val="24"/>
          <w:szCs w:val="24"/>
          <w:lang w:bidi="ar-SA"/>
        </w:rPr>
      </w:pPr>
      <w:r w:rsidRPr="00C47619">
        <w:rPr>
          <w:sz w:val="24"/>
          <w:szCs w:val="24"/>
          <w:lang w:bidi="ar-SA"/>
        </w:rPr>
        <w:t xml:space="preserve">M21-1, IV.i.3.A.1.r., </w:t>
      </w:r>
      <w:r w:rsidRPr="00C47619">
        <w:rPr>
          <w:i/>
          <w:iCs/>
          <w:sz w:val="24"/>
          <w:szCs w:val="24"/>
          <w:lang w:bidi="ar-SA"/>
        </w:rPr>
        <w:t>Examiner Statements That an Opinion Would Be Speculative</w:t>
      </w:r>
    </w:p>
    <w:p w14:paraId="5794B558" w14:textId="77777777" w:rsidR="00C47619" w:rsidRPr="00C47619" w:rsidRDefault="00C47619">
      <w:pPr>
        <w:numPr>
          <w:ilvl w:val="0"/>
          <w:numId w:val="1"/>
        </w:numPr>
        <w:tabs>
          <w:tab w:val="left" w:pos="720"/>
        </w:tabs>
        <w:ind w:left="540"/>
        <w:rPr>
          <w:sz w:val="24"/>
          <w:szCs w:val="24"/>
          <w:lang w:bidi="ar-SA"/>
        </w:rPr>
      </w:pPr>
      <w:r w:rsidRPr="00C47619">
        <w:rPr>
          <w:sz w:val="24"/>
          <w:szCs w:val="24"/>
          <w:lang w:bidi="ar-SA"/>
        </w:rPr>
        <w:t xml:space="preserve">M21-1, IV.i.3.C.1.a., </w:t>
      </w:r>
      <w:r w:rsidRPr="00C47619">
        <w:rPr>
          <w:i/>
          <w:iCs/>
          <w:sz w:val="24"/>
          <w:szCs w:val="24"/>
          <w:lang w:bidi="ar-SA"/>
        </w:rPr>
        <w:t>Insufficient Examination Reports</w:t>
      </w:r>
    </w:p>
    <w:p w14:paraId="7EFDDC7D" w14:textId="77777777" w:rsidR="00C47619" w:rsidRPr="00C47619" w:rsidRDefault="00C47619">
      <w:pPr>
        <w:numPr>
          <w:ilvl w:val="0"/>
          <w:numId w:val="1"/>
        </w:numPr>
        <w:tabs>
          <w:tab w:val="left" w:pos="720"/>
        </w:tabs>
        <w:ind w:left="540"/>
        <w:rPr>
          <w:i/>
          <w:iCs/>
          <w:sz w:val="24"/>
          <w:szCs w:val="24"/>
          <w:lang w:bidi="ar-SA"/>
        </w:rPr>
      </w:pPr>
      <w:r w:rsidRPr="00C47619">
        <w:rPr>
          <w:sz w:val="24"/>
          <w:szCs w:val="24"/>
          <w:lang w:bidi="ar-SA"/>
        </w:rPr>
        <w:t xml:space="preserve">M21-5, 7.G.4.c., </w:t>
      </w:r>
      <w:r w:rsidRPr="00C47619">
        <w:rPr>
          <w:i/>
          <w:iCs/>
          <w:sz w:val="24"/>
          <w:szCs w:val="24"/>
          <w:lang w:bidi="ar-SA"/>
        </w:rPr>
        <w:t>Requesting Examinations for Remands</w:t>
      </w:r>
    </w:p>
    <w:p w14:paraId="6C009A59" w14:textId="77777777" w:rsidR="00C47619" w:rsidRPr="00C47619" w:rsidRDefault="00C47619">
      <w:pPr>
        <w:numPr>
          <w:ilvl w:val="0"/>
          <w:numId w:val="1"/>
        </w:numPr>
        <w:tabs>
          <w:tab w:val="left" w:pos="720"/>
        </w:tabs>
        <w:ind w:left="540"/>
        <w:rPr>
          <w:sz w:val="24"/>
          <w:szCs w:val="24"/>
          <w:lang w:bidi="ar-SA"/>
        </w:rPr>
      </w:pPr>
      <w:r w:rsidRPr="00C47619">
        <w:rPr>
          <w:sz w:val="24"/>
          <w:szCs w:val="24"/>
          <w:lang w:bidi="ar-SA"/>
        </w:rPr>
        <w:t xml:space="preserve">M21-1, III.i.2.F.2.c., </w:t>
      </w:r>
      <w:r w:rsidRPr="00C47619">
        <w:rPr>
          <w:i/>
          <w:iCs/>
          <w:sz w:val="24"/>
          <w:szCs w:val="24"/>
          <w:lang w:bidi="ar-SA"/>
        </w:rPr>
        <w:t>Additional Fields for Examination Management</w:t>
      </w:r>
    </w:p>
    <w:p w14:paraId="6E2E3ABF" w14:textId="77777777" w:rsidR="00C47619" w:rsidRPr="00C47619" w:rsidRDefault="00C47619">
      <w:pPr>
        <w:numPr>
          <w:ilvl w:val="0"/>
          <w:numId w:val="1"/>
        </w:numPr>
        <w:tabs>
          <w:tab w:val="left" w:pos="720"/>
        </w:tabs>
        <w:ind w:left="540"/>
        <w:rPr>
          <w:sz w:val="24"/>
          <w:szCs w:val="24"/>
          <w:lang w:bidi="ar-SA"/>
        </w:rPr>
      </w:pPr>
      <w:r w:rsidRPr="00C47619">
        <w:rPr>
          <w:sz w:val="24"/>
          <w:szCs w:val="24"/>
          <w:lang w:bidi="ar-SA"/>
        </w:rPr>
        <w:t xml:space="preserve">M21-1, IV.i.3.C.1.e, </w:t>
      </w:r>
      <w:r w:rsidRPr="00C47619">
        <w:rPr>
          <w:i/>
          <w:iCs/>
          <w:sz w:val="24"/>
          <w:szCs w:val="24"/>
          <w:lang w:bidi="ar-SA"/>
        </w:rPr>
        <w:t>Returning Examination Reports Requested Through CAPRI</w:t>
      </w:r>
    </w:p>
    <w:p w14:paraId="0E11DEA9" w14:textId="77777777" w:rsidR="00C47619" w:rsidRDefault="00C47619">
      <w:pPr>
        <w:numPr>
          <w:ilvl w:val="0"/>
          <w:numId w:val="1"/>
        </w:numPr>
        <w:tabs>
          <w:tab w:val="left" w:pos="720"/>
        </w:tabs>
        <w:ind w:left="540"/>
        <w:rPr>
          <w:sz w:val="24"/>
          <w:szCs w:val="24"/>
          <w:lang w:bidi="ar-SA"/>
        </w:rPr>
      </w:pPr>
      <w:r w:rsidRPr="00C47619">
        <w:rPr>
          <w:sz w:val="24"/>
          <w:szCs w:val="24"/>
          <w:lang w:bidi="ar-SA"/>
        </w:rPr>
        <w:t xml:space="preserve">M21-1, IV.i.3.C.1.f, </w:t>
      </w:r>
      <w:r w:rsidRPr="00C47619">
        <w:rPr>
          <w:i/>
          <w:iCs/>
          <w:sz w:val="24"/>
          <w:szCs w:val="24"/>
          <w:lang w:bidi="ar-SA"/>
        </w:rPr>
        <w:t>Returning Examination Reports Requested Through VBMS</w:t>
      </w:r>
    </w:p>
    <w:p w14:paraId="0503D968" w14:textId="00B37F18" w:rsidR="00C47619" w:rsidRPr="00EA3963" w:rsidRDefault="00C47619">
      <w:pPr>
        <w:numPr>
          <w:ilvl w:val="0"/>
          <w:numId w:val="1"/>
        </w:numPr>
        <w:tabs>
          <w:tab w:val="left" w:pos="720"/>
        </w:tabs>
        <w:ind w:left="540"/>
        <w:rPr>
          <w:i/>
          <w:iCs/>
          <w:sz w:val="24"/>
          <w:szCs w:val="24"/>
          <w:lang w:bidi="ar-SA"/>
        </w:rPr>
      </w:pPr>
      <w:r w:rsidRPr="00C47619">
        <w:rPr>
          <w:sz w:val="24"/>
          <w:szCs w:val="24"/>
          <w:lang w:bidi="ar-SA"/>
        </w:rPr>
        <w:t xml:space="preserve">M21-1, IV.i.3.C.1.g, </w:t>
      </w:r>
      <w:r w:rsidRPr="00EA3963">
        <w:rPr>
          <w:i/>
          <w:iCs/>
          <w:sz w:val="24"/>
          <w:szCs w:val="24"/>
          <w:lang w:bidi="ar-SA"/>
        </w:rPr>
        <w:t xml:space="preserve">Determining Whether a Rework Request or New ESR in VBMS </w:t>
      </w:r>
      <w:r w:rsidR="00EA3963" w:rsidRPr="00EA3963">
        <w:rPr>
          <w:i/>
          <w:iCs/>
          <w:sz w:val="24"/>
          <w:szCs w:val="24"/>
          <w:lang w:bidi="ar-SA"/>
        </w:rPr>
        <w:t>is</w:t>
      </w:r>
      <w:r w:rsidRPr="00EA3963">
        <w:rPr>
          <w:i/>
          <w:iCs/>
          <w:sz w:val="24"/>
          <w:szCs w:val="24"/>
          <w:lang w:bidi="ar-SA"/>
        </w:rPr>
        <w:t xml:space="preserve"> Required</w:t>
      </w:r>
    </w:p>
    <w:p w14:paraId="39E8B0EB" w14:textId="77777777" w:rsidR="00D77A01" w:rsidRPr="00C47619" w:rsidRDefault="00D77A01" w:rsidP="00D77A01">
      <w:pPr>
        <w:tabs>
          <w:tab w:val="left" w:pos="720"/>
        </w:tabs>
        <w:rPr>
          <w:sz w:val="24"/>
          <w:szCs w:val="24"/>
          <w:lang w:bidi="ar-SA"/>
        </w:rPr>
      </w:pPr>
    </w:p>
    <w:p w14:paraId="7DDE9170" w14:textId="77777777" w:rsidR="006D3B15" w:rsidRDefault="00D77A01" w:rsidP="006D3B15">
      <w:pPr>
        <w:tabs>
          <w:tab w:val="left" w:pos="720"/>
        </w:tabs>
        <w:ind w:left="180"/>
        <w:rPr>
          <w:sz w:val="24"/>
          <w:szCs w:val="24"/>
          <w:lang w:bidi="ar-SA"/>
        </w:rPr>
      </w:pPr>
      <w:r w:rsidRPr="00D77A01">
        <w:rPr>
          <w:sz w:val="24"/>
          <w:szCs w:val="24"/>
          <w:lang w:bidi="ar-SA"/>
        </w:rPr>
        <w:t>Exam related errors are among the most frequently cited benefit entitlement errors.</w:t>
      </w:r>
      <w:r w:rsidR="006D3B15">
        <w:rPr>
          <w:sz w:val="24"/>
          <w:szCs w:val="24"/>
          <w:lang w:bidi="ar-SA"/>
        </w:rPr>
        <w:t xml:space="preserve"> </w:t>
      </w:r>
    </w:p>
    <w:p w14:paraId="323317F5" w14:textId="77777777" w:rsidR="006D3B15" w:rsidRDefault="006D3B15" w:rsidP="006D3B15">
      <w:pPr>
        <w:tabs>
          <w:tab w:val="left" w:pos="720"/>
        </w:tabs>
        <w:ind w:left="180"/>
        <w:rPr>
          <w:sz w:val="24"/>
          <w:szCs w:val="24"/>
          <w:lang w:bidi="ar-SA"/>
        </w:rPr>
      </w:pPr>
    </w:p>
    <w:p w14:paraId="13F23DB0" w14:textId="5E7E669A" w:rsidR="00D77A01" w:rsidRPr="00D77A01" w:rsidRDefault="00D77A01" w:rsidP="006D3B15">
      <w:pPr>
        <w:tabs>
          <w:tab w:val="left" w:pos="720"/>
        </w:tabs>
        <w:ind w:left="180"/>
        <w:rPr>
          <w:sz w:val="24"/>
          <w:szCs w:val="24"/>
          <w:lang w:bidi="ar-SA"/>
        </w:rPr>
      </w:pPr>
      <w:r w:rsidRPr="00D77A01">
        <w:rPr>
          <w:sz w:val="24"/>
          <w:szCs w:val="24"/>
          <w:lang w:bidi="ar-SA"/>
        </w:rPr>
        <w:t>Decisions made using insufficient examinations/medical opinions often result in premature denials of benefits, erroneous grants of benefits, and incorrect evaluations.</w:t>
      </w:r>
    </w:p>
    <w:p w14:paraId="5A786DA3" w14:textId="6D2AEF10" w:rsidR="00D77A01" w:rsidRDefault="00D77A01" w:rsidP="006D3B15">
      <w:pPr>
        <w:tabs>
          <w:tab w:val="left" w:pos="720"/>
        </w:tabs>
        <w:rPr>
          <w:sz w:val="24"/>
          <w:szCs w:val="24"/>
          <w:lang w:bidi="ar-SA"/>
        </w:rPr>
      </w:pPr>
    </w:p>
    <w:p w14:paraId="23222995" w14:textId="77777777" w:rsidR="006D3B15" w:rsidRDefault="006D3B15" w:rsidP="006D3B15">
      <w:pPr>
        <w:tabs>
          <w:tab w:val="left" w:pos="720"/>
        </w:tabs>
        <w:rPr>
          <w:sz w:val="24"/>
          <w:szCs w:val="24"/>
          <w:lang w:bidi="ar-SA"/>
        </w:rPr>
      </w:pPr>
    </w:p>
    <w:p w14:paraId="4F3556B6" w14:textId="447DA702" w:rsidR="00D77A01" w:rsidRDefault="00D77A01" w:rsidP="00D77A01">
      <w:pPr>
        <w:tabs>
          <w:tab w:val="left" w:pos="720"/>
        </w:tabs>
        <w:ind w:left="180"/>
        <w:rPr>
          <w:sz w:val="24"/>
          <w:szCs w:val="24"/>
          <w:lang w:bidi="ar-SA"/>
        </w:rPr>
      </w:pPr>
      <w:r w:rsidRPr="00D77A01">
        <w:rPr>
          <w:sz w:val="24"/>
          <w:szCs w:val="24"/>
          <w:lang w:bidi="ar-SA"/>
        </w:rPr>
        <w:lastRenderedPageBreak/>
        <w:t>Many of these errors were cited on cases that had been certified back to the Board of Veterans Appeals (BVA) and resulted in subsequent remands (Stegall remands) for</w:t>
      </w:r>
      <w:r>
        <w:rPr>
          <w:sz w:val="24"/>
          <w:szCs w:val="24"/>
          <w:lang w:bidi="ar-SA"/>
        </w:rPr>
        <w:t xml:space="preserve"> f</w:t>
      </w:r>
      <w:r w:rsidRPr="00D77A01">
        <w:rPr>
          <w:sz w:val="24"/>
          <w:szCs w:val="24"/>
          <w:lang w:bidi="ar-SA"/>
        </w:rPr>
        <w:t>ailure to comply with remand orders.</w:t>
      </w:r>
    </w:p>
    <w:p w14:paraId="6073CFFB" w14:textId="77777777" w:rsidR="00D77A01" w:rsidRPr="00D77A01" w:rsidRDefault="00D77A01" w:rsidP="00D77A01">
      <w:pPr>
        <w:tabs>
          <w:tab w:val="left" w:pos="720"/>
        </w:tabs>
        <w:ind w:left="180"/>
        <w:rPr>
          <w:sz w:val="24"/>
          <w:szCs w:val="24"/>
          <w:lang w:bidi="ar-SA"/>
        </w:rPr>
      </w:pPr>
    </w:p>
    <w:p w14:paraId="4C4C72C9" w14:textId="55FEB004" w:rsidR="00D77A01" w:rsidRDefault="00D77A01" w:rsidP="00D77A01">
      <w:pPr>
        <w:tabs>
          <w:tab w:val="left" w:pos="720"/>
        </w:tabs>
        <w:ind w:left="180"/>
        <w:rPr>
          <w:sz w:val="24"/>
          <w:szCs w:val="24"/>
          <w:lang w:bidi="ar-SA"/>
        </w:rPr>
      </w:pPr>
      <w:r w:rsidRPr="00D77A01">
        <w:rPr>
          <w:sz w:val="24"/>
          <w:szCs w:val="24"/>
          <w:lang w:bidi="ar-SA"/>
        </w:rPr>
        <w:t>We often receive insufficient exam results because our exam requests did not adequately explain what was needed.</w:t>
      </w:r>
    </w:p>
    <w:p w14:paraId="26B36F82" w14:textId="77777777" w:rsidR="00D77A01" w:rsidRPr="00D77A01" w:rsidRDefault="00D77A01" w:rsidP="00D77A01">
      <w:pPr>
        <w:tabs>
          <w:tab w:val="left" w:pos="720"/>
        </w:tabs>
        <w:ind w:left="180"/>
        <w:rPr>
          <w:sz w:val="24"/>
          <w:szCs w:val="24"/>
          <w:lang w:bidi="ar-SA"/>
        </w:rPr>
      </w:pPr>
    </w:p>
    <w:p w14:paraId="2BDC6DBA" w14:textId="77777777" w:rsidR="00D77A01" w:rsidRPr="00D77A01" w:rsidRDefault="00D77A01" w:rsidP="00D77A01">
      <w:pPr>
        <w:tabs>
          <w:tab w:val="left" w:pos="720"/>
        </w:tabs>
        <w:ind w:left="180"/>
        <w:rPr>
          <w:sz w:val="24"/>
          <w:szCs w:val="24"/>
          <w:lang w:bidi="ar-SA"/>
        </w:rPr>
      </w:pPr>
      <w:r w:rsidRPr="00D77A01">
        <w:rPr>
          <w:sz w:val="24"/>
          <w:szCs w:val="24"/>
          <w:lang w:bidi="ar-SA"/>
        </w:rPr>
        <w:t>38 C.F.R. 4.2 states, “Different examiners, at different times, will not describe the same disability in the same language. Features of the disability which must have persisted unchanged may be overlooked or a change for the better or worse may not be accurately appreciated or described. It is the responsibility of the rating specialist to interpret reports of examination in the light of the whole recorded history, reconciling the various reports into a consistent picture so that the current rating may accurately reflect the elements of disability present. Each disability must be considered from the point of view of the veteran working or seeking work. If a diagnosis is not supported by the findings on the examination report or if the report does not contain sufficient detail, it is incumbent upon the rating board to return the report as inadequate for evaluation purposes.”</w:t>
      </w:r>
    </w:p>
    <w:p w14:paraId="01F19AAE" w14:textId="77777777" w:rsidR="00D77A01" w:rsidRDefault="00D77A01" w:rsidP="00D77A01">
      <w:pPr>
        <w:tabs>
          <w:tab w:val="left" w:pos="720"/>
        </w:tabs>
        <w:ind w:left="180"/>
        <w:rPr>
          <w:sz w:val="24"/>
          <w:szCs w:val="24"/>
          <w:lang w:bidi="ar-SA"/>
        </w:rPr>
      </w:pPr>
    </w:p>
    <w:p w14:paraId="28720718" w14:textId="71EF3C84" w:rsidR="00D77A01" w:rsidRDefault="00D77A01" w:rsidP="00D77A01">
      <w:pPr>
        <w:tabs>
          <w:tab w:val="left" w:pos="720"/>
        </w:tabs>
        <w:ind w:left="180"/>
        <w:rPr>
          <w:sz w:val="24"/>
          <w:szCs w:val="24"/>
          <w:lang w:bidi="ar-SA"/>
        </w:rPr>
      </w:pPr>
      <w:r w:rsidRPr="00D77A01">
        <w:rPr>
          <w:sz w:val="24"/>
          <w:szCs w:val="24"/>
          <w:lang w:bidi="ar-SA"/>
        </w:rPr>
        <w:t>Exam reports submitted to the rating activity must be as complete as possible and any missing, required information makes the report insufficient for rating purposes.</w:t>
      </w:r>
    </w:p>
    <w:p w14:paraId="0A66DAC3" w14:textId="77777777" w:rsidR="00D77A01" w:rsidRDefault="00D77A01" w:rsidP="00D77A01">
      <w:pPr>
        <w:tabs>
          <w:tab w:val="left" w:pos="720"/>
        </w:tabs>
        <w:ind w:left="180"/>
        <w:rPr>
          <w:sz w:val="24"/>
          <w:szCs w:val="24"/>
          <w:lang w:bidi="ar-SA"/>
        </w:rPr>
      </w:pPr>
    </w:p>
    <w:p w14:paraId="6601C311" w14:textId="7A142B40" w:rsidR="001F7D2C" w:rsidRDefault="00D77A01" w:rsidP="001F7D2C">
      <w:pPr>
        <w:tabs>
          <w:tab w:val="left" w:pos="720"/>
        </w:tabs>
        <w:ind w:left="180"/>
        <w:rPr>
          <w:sz w:val="24"/>
          <w:szCs w:val="24"/>
          <w:lang w:bidi="ar-SA"/>
        </w:rPr>
      </w:pPr>
      <w:r w:rsidRPr="00D77A01">
        <w:rPr>
          <w:sz w:val="24"/>
          <w:szCs w:val="24"/>
          <w:lang w:bidi="ar-SA"/>
        </w:rPr>
        <w:t>Examples of deficiencies:</w:t>
      </w:r>
    </w:p>
    <w:p w14:paraId="72CC2ECF" w14:textId="77777777" w:rsidR="001F7D2C" w:rsidRDefault="001F7D2C" w:rsidP="001F7D2C">
      <w:pPr>
        <w:tabs>
          <w:tab w:val="left" w:pos="720"/>
        </w:tabs>
        <w:ind w:left="180"/>
        <w:rPr>
          <w:sz w:val="24"/>
          <w:szCs w:val="24"/>
          <w:lang w:bidi="ar-SA"/>
        </w:rPr>
      </w:pPr>
    </w:p>
    <w:p w14:paraId="61B6C671" w14:textId="77777777" w:rsidR="00D77A01" w:rsidRPr="00D77A01" w:rsidRDefault="00D77A01" w:rsidP="00582790">
      <w:pPr>
        <w:pStyle w:val="ListParagraph"/>
        <w:numPr>
          <w:ilvl w:val="0"/>
          <w:numId w:val="2"/>
        </w:numPr>
        <w:tabs>
          <w:tab w:val="left" w:pos="450"/>
          <w:tab w:val="left" w:pos="720"/>
        </w:tabs>
        <w:ind w:hanging="720"/>
        <w:rPr>
          <w:sz w:val="24"/>
          <w:szCs w:val="24"/>
          <w:lang w:bidi="ar-SA"/>
        </w:rPr>
      </w:pPr>
      <w:r w:rsidRPr="00D77A01">
        <w:rPr>
          <w:sz w:val="24"/>
          <w:szCs w:val="24"/>
          <w:lang w:bidi="ar-SA"/>
        </w:rPr>
        <w:t xml:space="preserve">Unsigned </w:t>
      </w:r>
    </w:p>
    <w:p w14:paraId="3BE7BC23" w14:textId="77777777" w:rsidR="00D77A01" w:rsidRPr="00D77A01" w:rsidRDefault="00D77A01" w:rsidP="00582790">
      <w:pPr>
        <w:pStyle w:val="ListParagraph"/>
        <w:numPr>
          <w:ilvl w:val="0"/>
          <w:numId w:val="2"/>
        </w:numPr>
        <w:tabs>
          <w:tab w:val="left" w:pos="450"/>
          <w:tab w:val="left" w:pos="720"/>
        </w:tabs>
        <w:ind w:hanging="720"/>
        <w:rPr>
          <w:sz w:val="24"/>
          <w:szCs w:val="24"/>
          <w:lang w:bidi="ar-SA"/>
        </w:rPr>
      </w:pPr>
      <w:r w:rsidRPr="00D77A01">
        <w:rPr>
          <w:sz w:val="24"/>
          <w:szCs w:val="24"/>
          <w:lang w:bidi="ar-SA"/>
        </w:rPr>
        <w:t xml:space="preserve">Doesn’t address all disabilities for which exam </w:t>
      </w:r>
      <w:proofErr w:type="gramStart"/>
      <w:r w:rsidRPr="00D77A01">
        <w:rPr>
          <w:sz w:val="24"/>
          <w:szCs w:val="24"/>
          <w:lang w:bidi="ar-SA"/>
        </w:rPr>
        <w:t>requested</w:t>
      </w:r>
      <w:proofErr w:type="gramEnd"/>
    </w:p>
    <w:p w14:paraId="44295172" w14:textId="77777777" w:rsidR="00D77A01" w:rsidRPr="00D77A01" w:rsidRDefault="00D77A01" w:rsidP="00582790">
      <w:pPr>
        <w:pStyle w:val="ListParagraph"/>
        <w:numPr>
          <w:ilvl w:val="0"/>
          <w:numId w:val="2"/>
        </w:numPr>
        <w:tabs>
          <w:tab w:val="left" w:pos="450"/>
          <w:tab w:val="left" w:pos="720"/>
        </w:tabs>
        <w:ind w:hanging="720"/>
        <w:rPr>
          <w:sz w:val="24"/>
          <w:szCs w:val="24"/>
          <w:lang w:bidi="ar-SA"/>
        </w:rPr>
      </w:pPr>
      <w:r w:rsidRPr="00D77A01">
        <w:rPr>
          <w:sz w:val="24"/>
          <w:szCs w:val="24"/>
          <w:lang w:bidi="ar-SA"/>
        </w:rPr>
        <w:t xml:space="preserve">Required questions on DBQ are </w:t>
      </w:r>
      <w:proofErr w:type="gramStart"/>
      <w:r w:rsidRPr="00D77A01">
        <w:rPr>
          <w:sz w:val="24"/>
          <w:szCs w:val="24"/>
          <w:lang w:bidi="ar-SA"/>
        </w:rPr>
        <w:t>unanswered</w:t>
      </w:r>
      <w:proofErr w:type="gramEnd"/>
    </w:p>
    <w:p w14:paraId="00266E3D" w14:textId="77777777" w:rsidR="00D77A01" w:rsidRPr="00D77A01" w:rsidRDefault="00D77A01" w:rsidP="00582790">
      <w:pPr>
        <w:pStyle w:val="ListParagraph"/>
        <w:numPr>
          <w:ilvl w:val="0"/>
          <w:numId w:val="2"/>
        </w:numPr>
        <w:tabs>
          <w:tab w:val="left" w:pos="450"/>
          <w:tab w:val="left" w:pos="720"/>
        </w:tabs>
        <w:ind w:hanging="720"/>
        <w:rPr>
          <w:sz w:val="24"/>
          <w:szCs w:val="24"/>
          <w:lang w:bidi="ar-SA"/>
        </w:rPr>
      </w:pPr>
      <w:r w:rsidRPr="00D77A01">
        <w:rPr>
          <w:sz w:val="24"/>
          <w:szCs w:val="24"/>
          <w:lang w:bidi="ar-SA"/>
        </w:rPr>
        <w:t xml:space="preserve">Claims file not reviewed when </w:t>
      </w:r>
      <w:proofErr w:type="gramStart"/>
      <w:r w:rsidRPr="00D77A01">
        <w:rPr>
          <w:sz w:val="24"/>
          <w:szCs w:val="24"/>
          <w:lang w:bidi="ar-SA"/>
        </w:rPr>
        <w:t>required</w:t>
      </w:r>
      <w:proofErr w:type="gramEnd"/>
    </w:p>
    <w:p w14:paraId="5D5FDC3F" w14:textId="77777777" w:rsidR="00D77A01" w:rsidRPr="00D77A01" w:rsidRDefault="00D77A01" w:rsidP="00582790">
      <w:pPr>
        <w:pStyle w:val="ListParagraph"/>
        <w:numPr>
          <w:ilvl w:val="0"/>
          <w:numId w:val="2"/>
        </w:numPr>
        <w:tabs>
          <w:tab w:val="left" w:pos="450"/>
          <w:tab w:val="left" w:pos="720"/>
        </w:tabs>
        <w:ind w:left="450" w:hanging="270"/>
        <w:rPr>
          <w:sz w:val="24"/>
          <w:szCs w:val="24"/>
          <w:lang w:bidi="ar-SA"/>
        </w:rPr>
      </w:pPr>
      <w:r w:rsidRPr="00D77A01">
        <w:rPr>
          <w:sz w:val="24"/>
          <w:szCs w:val="24"/>
          <w:lang w:bidi="ar-SA"/>
        </w:rPr>
        <w:t>Missing disability specific information pertinent to the disability (such as impact of musculoskeletal pain on functional loss of affected joint)</w:t>
      </w:r>
    </w:p>
    <w:p w14:paraId="41913EAB" w14:textId="77777777" w:rsidR="00D77A01" w:rsidRPr="00D77A01" w:rsidRDefault="00D77A01" w:rsidP="00582790">
      <w:pPr>
        <w:pStyle w:val="ListParagraph"/>
        <w:numPr>
          <w:ilvl w:val="0"/>
          <w:numId w:val="2"/>
        </w:numPr>
        <w:tabs>
          <w:tab w:val="left" w:pos="450"/>
          <w:tab w:val="left" w:pos="720"/>
        </w:tabs>
        <w:ind w:hanging="720"/>
        <w:rPr>
          <w:sz w:val="24"/>
          <w:szCs w:val="24"/>
          <w:lang w:bidi="ar-SA"/>
        </w:rPr>
      </w:pPr>
      <w:r w:rsidRPr="00D77A01">
        <w:rPr>
          <w:sz w:val="24"/>
          <w:szCs w:val="24"/>
          <w:lang w:bidi="ar-SA"/>
        </w:rPr>
        <w:t xml:space="preserve">Medical opinion not supported by a valid rationale or by the evidence of </w:t>
      </w:r>
      <w:proofErr w:type="gramStart"/>
      <w:r w:rsidRPr="00D77A01">
        <w:rPr>
          <w:sz w:val="24"/>
          <w:szCs w:val="24"/>
          <w:lang w:bidi="ar-SA"/>
        </w:rPr>
        <w:t>record</w:t>
      </w:r>
      <w:proofErr w:type="gramEnd"/>
    </w:p>
    <w:p w14:paraId="3B793E41" w14:textId="3BE8D15B" w:rsidR="00D77A01" w:rsidRDefault="00D77A01" w:rsidP="00582790">
      <w:pPr>
        <w:pStyle w:val="ListParagraph"/>
        <w:numPr>
          <w:ilvl w:val="0"/>
          <w:numId w:val="2"/>
        </w:numPr>
        <w:tabs>
          <w:tab w:val="left" w:pos="450"/>
          <w:tab w:val="left" w:pos="720"/>
        </w:tabs>
        <w:ind w:hanging="720"/>
        <w:rPr>
          <w:sz w:val="24"/>
          <w:szCs w:val="24"/>
          <w:lang w:bidi="ar-SA"/>
        </w:rPr>
      </w:pPr>
      <w:r w:rsidRPr="00D77A01">
        <w:rPr>
          <w:sz w:val="24"/>
          <w:szCs w:val="24"/>
          <w:lang w:bidi="ar-SA"/>
        </w:rPr>
        <w:t xml:space="preserve">No medical opinion provided when one was </w:t>
      </w:r>
      <w:proofErr w:type="gramStart"/>
      <w:r w:rsidRPr="00D77A01">
        <w:rPr>
          <w:sz w:val="24"/>
          <w:szCs w:val="24"/>
          <w:lang w:bidi="ar-SA"/>
        </w:rPr>
        <w:t>requested</w:t>
      </w:r>
      <w:proofErr w:type="gramEnd"/>
    </w:p>
    <w:p w14:paraId="44947927" w14:textId="77777777" w:rsidR="006D3B15" w:rsidRDefault="006D3B15" w:rsidP="006D3B15">
      <w:pPr>
        <w:tabs>
          <w:tab w:val="left" w:pos="720"/>
        </w:tabs>
        <w:rPr>
          <w:sz w:val="24"/>
          <w:szCs w:val="24"/>
          <w:lang w:bidi="ar-SA"/>
        </w:rPr>
      </w:pPr>
    </w:p>
    <w:p w14:paraId="07E9CD55" w14:textId="21A55F4B" w:rsidR="00D77A01" w:rsidRDefault="00D77A01" w:rsidP="00582790">
      <w:pPr>
        <w:tabs>
          <w:tab w:val="left" w:pos="720"/>
        </w:tabs>
        <w:ind w:left="180"/>
        <w:rPr>
          <w:sz w:val="24"/>
          <w:szCs w:val="24"/>
          <w:lang w:bidi="ar-SA"/>
        </w:rPr>
      </w:pPr>
      <w:r w:rsidRPr="00D77A01">
        <w:rPr>
          <w:sz w:val="24"/>
          <w:szCs w:val="24"/>
          <w:lang w:bidi="ar-SA"/>
        </w:rPr>
        <w:t>In Barr v. Nicholson, the Court of Appeals for Veterans Claims (CAVC) held that if VA</w:t>
      </w:r>
      <w:r w:rsidR="00582790">
        <w:rPr>
          <w:sz w:val="24"/>
          <w:szCs w:val="24"/>
          <w:lang w:bidi="ar-SA"/>
        </w:rPr>
        <w:t xml:space="preserve"> </w:t>
      </w:r>
      <w:r w:rsidRPr="00D77A01">
        <w:rPr>
          <w:sz w:val="24"/>
          <w:szCs w:val="24"/>
          <w:lang w:bidi="ar-SA"/>
        </w:rPr>
        <w:t>provides an examination when developing a claim for service connection (SC), even if not statutorily obligated to do so, the examination must be adequate, or the Veteran must be notified as to why one will not or cannot be provided.</w:t>
      </w:r>
    </w:p>
    <w:p w14:paraId="141E0778" w14:textId="5F1138F2" w:rsidR="00D77A01" w:rsidRDefault="00D77A01" w:rsidP="00582790">
      <w:pPr>
        <w:tabs>
          <w:tab w:val="left" w:pos="720"/>
        </w:tabs>
        <w:ind w:hanging="180"/>
        <w:rPr>
          <w:sz w:val="24"/>
          <w:szCs w:val="24"/>
          <w:lang w:bidi="ar-SA"/>
        </w:rPr>
      </w:pPr>
    </w:p>
    <w:p w14:paraId="3677D271" w14:textId="348E4731" w:rsidR="00D77A01" w:rsidRDefault="00D77A01" w:rsidP="00582790">
      <w:pPr>
        <w:tabs>
          <w:tab w:val="left" w:pos="720"/>
        </w:tabs>
        <w:ind w:left="180"/>
        <w:rPr>
          <w:sz w:val="24"/>
          <w:szCs w:val="24"/>
          <w:lang w:bidi="ar-SA"/>
        </w:rPr>
      </w:pPr>
      <w:r w:rsidRPr="00D77A01">
        <w:rPr>
          <w:sz w:val="24"/>
          <w:szCs w:val="24"/>
          <w:lang w:bidi="ar-SA"/>
        </w:rPr>
        <w:t>Exam reports needing clarification must be discussed with or returned to the examiner.</w:t>
      </w:r>
      <w:r w:rsidR="00485F1A">
        <w:rPr>
          <w:sz w:val="24"/>
          <w:szCs w:val="24"/>
          <w:lang w:bidi="ar-SA"/>
        </w:rPr>
        <w:t xml:space="preserve"> </w:t>
      </w:r>
      <w:r w:rsidRPr="00D77A01">
        <w:rPr>
          <w:sz w:val="24"/>
          <w:szCs w:val="24"/>
          <w:lang w:bidi="ar-SA"/>
        </w:rPr>
        <w:t>Examples include, but are not limited to:</w:t>
      </w:r>
    </w:p>
    <w:p w14:paraId="259902FB" w14:textId="77777777" w:rsidR="001F7D2C" w:rsidRPr="00D77A01" w:rsidRDefault="001F7D2C" w:rsidP="00D77A01">
      <w:pPr>
        <w:tabs>
          <w:tab w:val="left" w:pos="720"/>
        </w:tabs>
        <w:ind w:left="360"/>
        <w:rPr>
          <w:sz w:val="24"/>
          <w:szCs w:val="24"/>
          <w:lang w:bidi="ar-SA"/>
        </w:rPr>
      </w:pPr>
    </w:p>
    <w:p w14:paraId="0CEE3A2E" w14:textId="77777777" w:rsidR="00D77A01" w:rsidRPr="00D77A01" w:rsidRDefault="00D77A01" w:rsidP="00AB755E">
      <w:pPr>
        <w:pStyle w:val="ListParagraph"/>
        <w:numPr>
          <w:ilvl w:val="0"/>
          <w:numId w:val="3"/>
        </w:numPr>
        <w:tabs>
          <w:tab w:val="left" w:pos="720"/>
        </w:tabs>
        <w:ind w:left="540"/>
        <w:rPr>
          <w:sz w:val="24"/>
          <w:szCs w:val="24"/>
          <w:lang w:bidi="ar-SA"/>
        </w:rPr>
      </w:pPr>
      <w:r w:rsidRPr="00D77A01">
        <w:rPr>
          <w:sz w:val="24"/>
          <w:szCs w:val="24"/>
          <w:lang w:bidi="ar-SA"/>
        </w:rPr>
        <w:t xml:space="preserve">Ambiguous conclusions or findings that are open to more than one </w:t>
      </w:r>
      <w:proofErr w:type="gramStart"/>
      <w:r w:rsidRPr="00D77A01">
        <w:rPr>
          <w:sz w:val="24"/>
          <w:szCs w:val="24"/>
          <w:lang w:bidi="ar-SA"/>
        </w:rPr>
        <w:t>interpretation</w:t>
      </w:r>
      <w:proofErr w:type="gramEnd"/>
    </w:p>
    <w:p w14:paraId="44DB02E5" w14:textId="7C9FF6D6" w:rsidR="00D77A01" w:rsidRPr="00D77A01" w:rsidRDefault="00D77A01" w:rsidP="00AB755E">
      <w:pPr>
        <w:pStyle w:val="ListParagraph"/>
        <w:numPr>
          <w:ilvl w:val="0"/>
          <w:numId w:val="3"/>
        </w:numPr>
        <w:tabs>
          <w:tab w:val="left" w:pos="720"/>
        </w:tabs>
        <w:ind w:left="540"/>
        <w:rPr>
          <w:sz w:val="24"/>
          <w:szCs w:val="24"/>
          <w:lang w:bidi="ar-SA"/>
        </w:rPr>
      </w:pPr>
      <w:r w:rsidRPr="00D77A01">
        <w:rPr>
          <w:sz w:val="24"/>
          <w:szCs w:val="24"/>
          <w:lang w:bidi="ar-SA"/>
        </w:rPr>
        <w:t>A change in diagnosis or etiology for a previously recognized SC disability</w:t>
      </w:r>
    </w:p>
    <w:p w14:paraId="1FCD7917" w14:textId="28AB18E3" w:rsidR="00D77A01" w:rsidRDefault="00D77A01" w:rsidP="00582790">
      <w:pPr>
        <w:tabs>
          <w:tab w:val="left" w:pos="720"/>
        </w:tabs>
        <w:ind w:left="360" w:hanging="810"/>
        <w:rPr>
          <w:sz w:val="24"/>
          <w:szCs w:val="24"/>
          <w:lang w:bidi="ar-SA"/>
        </w:rPr>
      </w:pPr>
    </w:p>
    <w:p w14:paraId="0E8B8755" w14:textId="210AE6C2" w:rsidR="00D77A01" w:rsidRPr="00D77A01" w:rsidRDefault="00D77A01" w:rsidP="006D3B15">
      <w:pPr>
        <w:tabs>
          <w:tab w:val="left" w:pos="720"/>
        </w:tabs>
        <w:ind w:left="187"/>
        <w:rPr>
          <w:sz w:val="24"/>
          <w:szCs w:val="24"/>
          <w:lang w:bidi="ar-SA"/>
        </w:rPr>
      </w:pPr>
      <w:r w:rsidRPr="00D77A01">
        <w:rPr>
          <w:sz w:val="24"/>
          <w:szCs w:val="24"/>
          <w:lang w:bidi="ar-SA"/>
        </w:rPr>
        <w:lastRenderedPageBreak/>
        <w:t>Resolve inconsistencies or conflicting findings of various medical examiners by requesting a medical opinion by a different examiner.</w:t>
      </w:r>
    </w:p>
    <w:p w14:paraId="3A610557" w14:textId="77777777" w:rsidR="006D3B15" w:rsidRDefault="006D3B15" w:rsidP="00D77A01">
      <w:pPr>
        <w:tabs>
          <w:tab w:val="left" w:pos="720"/>
        </w:tabs>
        <w:ind w:left="187"/>
        <w:rPr>
          <w:sz w:val="24"/>
          <w:szCs w:val="24"/>
          <w:lang w:bidi="ar-SA"/>
        </w:rPr>
      </w:pPr>
    </w:p>
    <w:p w14:paraId="19D38639" w14:textId="026A12D4" w:rsidR="00D77A01" w:rsidRPr="00D77A01" w:rsidRDefault="00D77A01" w:rsidP="00D77A01">
      <w:pPr>
        <w:tabs>
          <w:tab w:val="left" w:pos="720"/>
        </w:tabs>
        <w:ind w:left="187"/>
        <w:rPr>
          <w:sz w:val="24"/>
          <w:szCs w:val="24"/>
          <w:lang w:bidi="ar-SA"/>
        </w:rPr>
      </w:pPr>
      <w:r w:rsidRPr="00D77A01">
        <w:rPr>
          <w:sz w:val="24"/>
          <w:szCs w:val="24"/>
          <w:lang w:bidi="ar-SA"/>
        </w:rPr>
        <w:t>Return insufficient or inadequate exam reports using the tables in M21-1, IV.i.3.C.1.e</w:t>
      </w:r>
      <w:r>
        <w:rPr>
          <w:sz w:val="24"/>
          <w:szCs w:val="24"/>
          <w:lang w:bidi="ar-SA"/>
        </w:rPr>
        <w:t xml:space="preserve"> </w:t>
      </w:r>
      <w:r w:rsidRPr="00D77A01">
        <w:rPr>
          <w:sz w:val="24"/>
          <w:szCs w:val="24"/>
          <w:lang w:bidi="ar-SA"/>
        </w:rPr>
        <w:t>&amp;</w:t>
      </w:r>
      <w:r>
        <w:rPr>
          <w:sz w:val="24"/>
          <w:szCs w:val="24"/>
          <w:lang w:bidi="ar-SA"/>
        </w:rPr>
        <w:t xml:space="preserve"> </w:t>
      </w:r>
      <w:r w:rsidRPr="00D77A01">
        <w:rPr>
          <w:sz w:val="24"/>
          <w:szCs w:val="24"/>
          <w:lang w:bidi="ar-SA"/>
        </w:rPr>
        <w:t>f</w:t>
      </w:r>
      <w:r>
        <w:rPr>
          <w:sz w:val="24"/>
          <w:szCs w:val="24"/>
          <w:lang w:bidi="ar-SA"/>
        </w:rPr>
        <w:t>.</w:t>
      </w:r>
    </w:p>
    <w:p w14:paraId="7DEE730C" w14:textId="77777777" w:rsidR="00D77A01" w:rsidRDefault="00D77A01" w:rsidP="00D77A01">
      <w:pPr>
        <w:tabs>
          <w:tab w:val="left" w:pos="720"/>
        </w:tabs>
        <w:rPr>
          <w:sz w:val="24"/>
          <w:szCs w:val="24"/>
          <w:lang w:bidi="ar-SA"/>
        </w:rPr>
      </w:pPr>
    </w:p>
    <w:p w14:paraId="32C27827" w14:textId="704875FD" w:rsidR="00D77A01" w:rsidRDefault="00D77A01" w:rsidP="00D77A01">
      <w:pPr>
        <w:tabs>
          <w:tab w:val="left" w:pos="720"/>
        </w:tabs>
        <w:ind w:left="187"/>
        <w:rPr>
          <w:sz w:val="24"/>
          <w:szCs w:val="24"/>
          <w:lang w:bidi="ar-SA"/>
        </w:rPr>
      </w:pPr>
      <w:r w:rsidRPr="00D77A01">
        <w:rPr>
          <w:sz w:val="24"/>
          <w:szCs w:val="24"/>
          <w:lang w:bidi="ar-SA"/>
        </w:rPr>
        <w:t>Use the table in M21-1, IV.i.3.C.1.g, to determine whether a rework request is necessary or whether a new exam scheduling request (ESR) is required</w:t>
      </w:r>
      <w:r>
        <w:rPr>
          <w:sz w:val="24"/>
          <w:szCs w:val="24"/>
          <w:lang w:bidi="ar-SA"/>
        </w:rPr>
        <w:t>.</w:t>
      </w:r>
    </w:p>
    <w:p w14:paraId="26E34CEB" w14:textId="790A9D52" w:rsidR="00D77A01" w:rsidRDefault="00D77A01" w:rsidP="00D77A01">
      <w:pPr>
        <w:tabs>
          <w:tab w:val="left" w:pos="720"/>
        </w:tabs>
        <w:ind w:left="187"/>
        <w:rPr>
          <w:sz w:val="24"/>
          <w:szCs w:val="24"/>
          <w:lang w:bidi="ar-SA"/>
        </w:rPr>
      </w:pPr>
    </w:p>
    <w:p w14:paraId="0AEB0CCC" w14:textId="33D62ED8" w:rsidR="00D77A01" w:rsidRDefault="00D77A01" w:rsidP="00D77A01">
      <w:pPr>
        <w:tabs>
          <w:tab w:val="left" w:pos="720"/>
        </w:tabs>
        <w:ind w:left="187"/>
        <w:rPr>
          <w:sz w:val="24"/>
          <w:szCs w:val="24"/>
          <w:lang w:bidi="ar-SA"/>
        </w:rPr>
      </w:pPr>
      <w:r w:rsidRPr="00D77A01">
        <w:rPr>
          <w:sz w:val="24"/>
          <w:szCs w:val="24"/>
          <w:lang w:bidi="ar-SA"/>
        </w:rPr>
        <w:t>Claims processors must exercise great attention to detail when entering exam requests to garner the best results from the examiner</w:t>
      </w:r>
      <w:r>
        <w:rPr>
          <w:sz w:val="24"/>
          <w:szCs w:val="24"/>
          <w:lang w:bidi="ar-SA"/>
        </w:rPr>
        <w:t>.</w:t>
      </w:r>
    </w:p>
    <w:p w14:paraId="3ACFD0C9" w14:textId="77777777" w:rsidR="001F7D2C" w:rsidRPr="00D77A01" w:rsidRDefault="001F7D2C" w:rsidP="00D77A01">
      <w:pPr>
        <w:tabs>
          <w:tab w:val="left" w:pos="720"/>
        </w:tabs>
        <w:ind w:left="187"/>
        <w:rPr>
          <w:sz w:val="24"/>
          <w:szCs w:val="24"/>
          <w:lang w:bidi="ar-SA"/>
        </w:rPr>
      </w:pPr>
    </w:p>
    <w:p w14:paraId="2C5670D0" w14:textId="77777777" w:rsidR="00D77A01" w:rsidRDefault="00D77A01" w:rsidP="00AB755E">
      <w:pPr>
        <w:pStyle w:val="ListParagraph"/>
        <w:numPr>
          <w:ilvl w:val="0"/>
          <w:numId w:val="4"/>
        </w:numPr>
        <w:tabs>
          <w:tab w:val="left" w:pos="540"/>
        </w:tabs>
        <w:ind w:left="900" w:hanging="727"/>
        <w:rPr>
          <w:sz w:val="24"/>
          <w:szCs w:val="24"/>
          <w:lang w:bidi="ar-SA"/>
        </w:rPr>
      </w:pPr>
      <w:r w:rsidRPr="00D77A01">
        <w:rPr>
          <w:sz w:val="24"/>
          <w:szCs w:val="24"/>
          <w:lang w:bidi="ar-SA"/>
        </w:rPr>
        <w:t xml:space="preserve">All pertinent evidence must be identified for the examiner’s </w:t>
      </w:r>
      <w:proofErr w:type="gramStart"/>
      <w:r w:rsidRPr="00D77A01">
        <w:rPr>
          <w:sz w:val="24"/>
          <w:szCs w:val="24"/>
          <w:lang w:bidi="ar-SA"/>
        </w:rPr>
        <w:t>review</w:t>
      </w:r>
      <w:proofErr w:type="gramEnd"/>
    </w:p>
    <w:p w14:paraId="510E6FCB" w14:textId="77777777" w:rsidR="00D77A01" w:rsidRDefault="00D77A01" w:rsidP="00AB755E">
      <w:pPr>
        <w:pStyle w:val="ListParagraph"/>
        <w:numPr>
          <w:ilvl w:val="0"/>
          <w:numId w:val="4"/>
        </w:numPr>
        <w:tabs>
          <w:tab w:val="left" w:pos="540"/>
        </w:tabs>
        <w:ind w:left="900" w:hanging="727"/>
        <w:rPr>
          <w:sz w:val="24"/>
          <w:szCs w:val="24"/>
          <w:lang w:bidi="ar-SA"/>
        </w:rPr>
      </w:pPr>
      <w:r w:rsidRPr="00D77A01">
        <w:rPr>
          <w:sz w:val="24"/>
          <w:szCs w:val="24"/>
          <w:lang w:bidi="ar-SA"/>
        </w:rPr>
        <w:t>Read the exam request before submitting it. Does it make sense?</w:t>
      </w:r>
    </w:p>
    <w:p w14:paraId="27425DB5" w14:textId="411302CD" w:rsidR="00D77A01" w:rsidRPr="00D77A01" w:rsidRDefault="00D77A01" w:rsidP="00AB755E">
      <w:pPr>
        <w:pStyle w:val="ListParagraph"/>
        <w:numPr>
          <w:ilvl w:val="0"/>
          <w:numId w:val="4"/>
        </w:numPr>
        <w:tabs>
          <w:tab w:val="left" w:pos="720"/>
        </w:tabs>
        <w:ind w:left="547" w:hanging="367"/>
        <w:rPr>
          <w:sz w:val="24"/>
          <w:szCs w:val="24"/>
          <w:lang w:bidi="ar-SA"/>
        </w:rPr>
      </w:pPr>
      <w:r w:rsidRPr="00D77A01">
        <w:rPr>
          <w:sz w:val="24"/>
          <w:szCs w:val="24"/>
          <w:lang w:bidi="ar-SA"/>
        </w:rPr>
        <w:t>Use the alternate contention name field in VBMS when the contention name,</w:t>
      </w:r>
      <w:r>
        <w:rPr>
          <w:sz w:val="24"/>
          <w:szCs w:val="24"/>
          <w:lang w:bidi="ar-SA"/>
        </w:rPr>
        <w:t xml:space="preserve"> </w:t>
      </w:r>
      <w:r w:rsidRPr="00D77A01">
        <w:rPr>
          <w:sz w:val="24"/>
          <w:szCs w:val="24"/>
          <w:lang w:bidi="ar-SA"/>
        </w:rPr>
        <w:t>as</w:t>
      </w:r>
      <w:r>
        <w:rPr>
          <w:sz w:val="24"/>
          <w:szCs w:val="24"/>
          <w:lang w:bidi="ar-SA"/>
        </w:rPr>
        <w:t xml:space="preserve"> </w:t>
      </w:r>
      <w:r w:rsidRPr="00D77A01">
        <w:rPr>
          <w:sz w:val="24"/>
          <w:szCs w:val="24"/>
          <w:lang w:bidi="ar-SA"/>
        </w:rPr>
        <w:t xml:space="preserve">stated by the claimant or required for </w:t>
      </w:r>
      <w:proofErr w:type="spellStart"/>
      <w:r w:rsidRPr="00D77A01">
        <w:rPr>
          <w:sz w:val="24"/>
          <w:szCs w:val="24"/>
          <w:lang w:bidi="ar-SA"/>
        </w:rPr>
        <w:t>Caseflow</w:t>
      </w:r>
      <w:proofErr w:type="spellEnd"/>
      <w:r w:rsidRPr="00D77A01">
        <w:rPr>
          <w:sz w:val="24"/>
          <w:szCs w:val="24"/>
          <w:lang w:bidi="ar-SA"/>
        </w:rPr>
        <w:t>-managed EPs, results in</w:t>
      </w:r>
      <w:r w:rsidR="006D3B15">
        <w:rPr>
          <w:sz w:val="24"/>
          <w:szCs w:val="24"/>
          <w:lang w:bidi="ar-SA"/>
        </w:rPr>
        <w:t xml:space="preserve"> </w:t>
      </w:r>
      <w:r w:rsidRPr="00D77A01">
        <w:rPr>
          <w:sz w:val="24"/>
          <w:szCs w:val="24"/>
          <w:lang w:bidi="ar-SA"/>
        </w:rPr>
        <w:t>grammatically incorrect or confusing exam request language in the standardized</w:t>
      </w:r>
      <w:r>
        <w:rPr>
          <w:sz w:val="24"/>
          <w:szCs w:val="24"/>
          <w:lang w:bidi="ar-SA"/>
        </w:rPr>
        <w:t xml:space="preserve"> </w:t>
      </w:r>
      <w:r w:rsidRPr="00D77A01">
        <w:rPr>
          <w:sz w:val="24"/>
          <w:szCs w:val="24"/>
          <w:lang w:bidi="ar-SA"/>
        </w:rPr>
        <w:t xml:space="preserve">exam request </w:t>
      </w:r>
      <w:proofErr w:type="gramStart"/>
      <w:r w:rsidRPr="00D77A01">
        <w:rPr>
          <w:sz w:val="24"/>
          <w:szCs w:val="24"/>
          <w:lang w:bidi="ar-SA"/>
        </w:rPr>
        <w:t>paragraphs</w:t>
      </w:r>
      <w:proofErr w:type="gramEnd"/>
    </w:p>
    <w:p w14:paraId="1C3D0C23" w14:textId="77777777" w:rsidR="00D77A01" w:rsidRDefault="00D77A01" w:rsidP="00D77A01">
      <w:pPr>
        <w:tabs>
          <w:tab w:val="left" w:pos="720"/>
        </w:tabs>
        <w:rPr>
          <w:sz w:val="24"/>
          <w:szCs w:val="24"/>
          <w:lang w:bidi="ar-SA"/>
        </w:rPr>
      </w:pPr>
    </w:p>
    <w:p w14:paraId="34C1389A" w14:textId="05CA7215" w:rsidR="00D77A01" w:rsidRPr="00D77A01" w:rsidRDefault="00D77A01" w:rsidP="00D77A01">
      <w:pPr>
        <w:tabs>
          <w:tab w:val="left" w:pos="720"/>
        </w:tabs>
        <w:ind w:left="187"/>
        <w:rPr>
          <w:sz w:val="24"/>
          <w:szCs w:val="24"/>
          <w:lang w:bidi="ar-SA"/>
        </w:rPr>
      </w:pPr>
      <w:r w:rsidRPr="00D77A01">
        <w:rPr>
          <w:sz w:val="24"/>
          <w:szCs w:val="24"/>
          <w:lang w:bidi="ar-SA"/>
        </w:rPr>
        <w:t>When requesting an opinion in compliance with BVA remand instructions, specifically explain what information is needed. Quoting the instructions from BVA on the medical</w:t>
      </w:r>
      <w:r>
        <w:rPr>
          <w:sz w:val="24"/>
          <w:szCs w:val="24"/>
          <w:lang w:bidi="ar-SA"/>
        </w:rPr>
        <w:t xml:space="preserve"> </w:t>
      </w:r>
      <w:r w:rsidRPr="00D77A01">
        <w:rPr>
          <w:sz w:val="24"/>
          <w:szCs w:val="24"/>
          <w:lang w:bidi="ar-SA"/>
        </w:rPr>
        <w:t xml:space="preserve">opinion request may be helpful but try to avoid legal jargon. </w:t>
      </w:r>
    </w:p>
    <w:p w14:paraId="58CA6421" w14:textId="77777777" w:rsidR="00D77A01" w:rsidRDefault="00D77A01" w:rsidP="00D77A01">
      <w:pPr>
        <w:tabs>
          <w:tab w:val="left" w:pos="720"/>
        </w:tabs>
        <w:ind w:left="187"/>
        <w:rPr>
          <w:sz w:val="24"/>
          <w:szCs w:val="24"/>
          <w:lang w:bidi="ar-SA"/>
        </w:rPr>
      </w:pPr>
    </w:p>
    <w:p w14:paraId="73A52E07" w14:textId="42873A0A" w:rsidR="00D77A01" w:rsidRPr="00D77A01" w:rsidRDefault="00D77A01" w:rsidP="00D77A01">
      <w:pPr>
        <w:tabs>
          <w:tab w:val="left" w:pos="720"/>
        </w:tabs>
        <w:ind w:left="187"/>
        <w:rPr>
          <w:sz w:val="24"/>
          <w:szCs w:val="24"/>
          <w:lang w:bidi="ar-SA"/>
        </w:rPr>
      </w:pPr>
      <w:r w:rsidRPr="00D77A01">
        <w:rPr>
          <w:sz w:val="24"/>
          <w:szCs w:val="24"/>
          <w:lang w:bidi="ar-SA"/>
        </w:rPr>
        <w:t>Read the entire remand to identify the pertinent evidence that should be identified for the examiner’s review as well as to properly explain the medical opinion we are asking the examiner to provide.</w:t>
      </w:r>
    </w:p>
    <w:p w14:paraId="536DBA98" w14:textId="77777777" w:rsidR="00D77A01" w:rsidRDefault="00D77A01" w:rsidP="00D77A01">
      <w:pPr>
        <w:tabs>
          <w:tab w:val="left" w:pos="720"/>
        </w:tabs>
        <w:ind w:left="187"/>
        <w:rPr>
          <w:sz w:val="24"/>
          <w:szCs w:val="24"/>
          <w:lang w:bidi="ar-SA"/>
        </w:rPr>
      </w:pPr>
    </w:p>
    <w:p w14:paraId="2A3EBAE9" w14:textId="67701F4D" w:rsidR="00D77A01" w:rsidRDefault="00D77A01" w:rsidP="00D77A01">
      <w:pPr>
        <w:tabs>
          <w:tab w:val="left" w:pos="720"/>
        </w:tabs>
        <w:ind w:left="187"/>
        <w:rPr>
          <w:sz w:val="24"/>
          <w:szCs w:val="24"/>
          <w:lang w:bidi="ar-SA"/>
        </w:rPr>
      </w:pPr>
      <w:r w:rsidRPr="00D77A01">
        <w:rPr>
          <w:sz w:val="24"/>
          <w:szCs w:val="24"/>
          <w:lang w:bidi="ar-SA"/>
        </w:rPr>
        <w:t>Do NOT simply refer the examiner to the claims folder containing the remand instructions.</w:t>
      </w:r>
    </w:p>
    <w:p w14:paraId="72714476" w14:textId="77777777" w:rsidR="00D77A01" w:rsidRPr="00D77A01" w:rsidRDefault="00D77A01" w:rsidP="00D77A01">
      <w:pPr>
        <w:tabs>
          <w:tab w:val="left" w:pos="720"/>
        </w:tabs>
        <w:rPr>
          <w:sz w:val="24"/>
          <w:szCs w:val="24"/>
          <w:lang w:bidi="ar-SA"/>
        </w:rPr>
      </w:pPr>
    </w:p>
    <w:p w14:paraId="5B78D257" w14:textId="11C45DB4" w:rsidR="00E03D44" w:rsidRPr="00BE05B0" w:rsidRDefault="000A661F" w:rsidP="00EA3963">
      <w:pPr>
        <w:pStyle w:val="Heading1"/>
        <w:pBdr>
          <w:bottom w:val="thinThickLargeGap" w:sz="8" w:space="1" w:color="auto"/>
        </w:pBdr>
        <w:spacing w:before="173"/>
        <w:ind w:left="187" w:right="0"/>
        <w:rPr>
          <w:color w:val="001F5F"/>
          <w:sz w:val="24"/>
          <w:szCs w:val="24"/>
        </w:rPr>
      </w:pPr>
      <w:bookmarkStart w:id="2" w:name="_Toc155331957"/>
      <w:r w:rsidRPr="000A661F">
        <w:rPr>
          <w:color w:val="001F5F"/>
          <w:sz w:val="24"/>
          <w:szCs w:val="24"/>
        </w:rPr>
        <w:t xml:space="preserve">Analysis of Higher-Level Review Returns in </w:t>
      </w:r>
      <w:proofErr w:type="spellStart"/>
      <w:r w:rsidRPr="000A661F">
        <w:rPr>
          <w:color w:val="001F5F"/>
          <w:sz w:val="24"/>
          <w:szCs w:val="24"/>
        </w:rPr>
        <w:t>Caseflow</w:t>
      </w:r>
      <w:bookmarkEnd w:id="2"/>
      <w:proofErr w:type="spellEnd"/>
    </w:p>
    <w:p w14:paraId="3EF520D5" w14:textId="1B485AFB"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 and Claims Assistants (CA)</w:t>
      </w:r>
    </w:p>
    <w:p w14:paraId="4E7EA990" w14:textId="645B08A3" w:rsidR="008858D6" w:rsidRDefault="008858D6" w:rsidP="000A661F">
      <w:pPr>
        <w:pStyle w:val="BodyText"/>
        <w:spacing w:after="240"/>
        <w:ind w:left="187"/>
      </w:pPr>
      <w:r w:rsidRPr="00BE05B0">
        <w:rPr>
          <w:b/>
        </w:rPr>
        <w:t xml:space="preserve">Presenter: </w:t>
      </w:r>
      <w:r w:rsidR="000A661F" w:rsidRPr="000A661F">
        <w:t>Chelsey Kondrak, Senior Management and Program Analyst</w:t>
      </w:r>
      <w:r w:rsidR="000A661F">
        <w:t>, OAR</w:t>
      </w:r>
    </w:p>
    <w:p w14:paraId="0717D520" w14:textId="66551CD5" w:rsidR="000A661F" w:rsidRDefault="000A661F" w:rsidP="001F7D2C">
      <w:pPr>
        <w:pStyle w:val="BodyText"/>
        <w:ind w:left="187"/>
      </w:pPr>
      <w:r w:rsidRPr="000A661F">
        <w:t xml:space="preserve">During FY 2023, OAR identified claims of which </w:t>
      </w:r>
      <w:proofErr w:type="spellStart"/>
      <w:r w:rsidRPr="000A661F">
        <w:t>Caseflow</w:t>
      </w:r>
      <w:proofErr w:type="spellEnd"/>
      <w:r w:rsidRPr="000A661F">
        <w:t xml:space="preserve"> did not appropriately establish the EP 040 DTA or </w:t>
      </w:r>
      <w:proofErr w:type="spellStart"/>
      <w:r w:rsidRPr="000A661F">
        <w:t>DoO</w:t>
      </w:r>
      <w:proofErr w:type="spellEnd"/>
      <w:r w:rsidRPr="000A661F">
        <w:t>. The failure of the EP 040 establishment is due to one of the following reasons:</w:t>
      </w:r>
    </w:p>
    <w:p w14:paraId="6A3FFCE8" w14:textId="77777777" w:rsidR="001F7D2C" w:rsidRDefault="001F7D2C" w:rsidP="001F7D2C">
      <w:pPr>
        <w:pStyle w:val="BodyText"/>
        <w:ind w:left="187"/>
      </w:pPr>
    </w:p>
    <w:p w14:paraId="5D7A2F79" w14:textId="2BA7CE5B" w:rsidR="001F7D2C" w:rsidRDefault="00AB755E" w:rsidP="00D44CD2">
      <w:pPr>
        <w:pStyle w:val="BodyText"/>
        <w:numPr>
          <w:ilvl w:val="0"/>
          <w:numId w:val="10"/>
        </w:numPr>
        <w:tabs>
          <w:tab w:val="left" w:pos="540"/>
        </w:tabs>
        <w:ind w:left="270" w:hanging="90"/>
      </w:pPr>
      <w:r>
        <w:t>U</w:t>
      </w:r>
      <w:r w:rsidR="000A661F" w:rsidRPr="000A661F">
        <w:t>ser did not select the correct disposition in VBMS-R,</w:t>
      </w:r>
    </w:p>
    <w:p w14:paraId="5CDC6537" w14:textId="77777777" w:rsidR="00AB755E" w:rsidRDefault="000A661F" w:rsidP="00AB755E">
      <w:pPr>
        <w:pStyle w:val="BodyText"/>
        <w:numPr>
          <w:ilvl w:val="0"/>
          <w:numId w:val="10"/>
        </w:numPr>
        <w:tabs>
          <w:tab w:val="left" w:pos="540"/>
        </w:tabs>
        <w:ind w:left="270" w:hanging="90"/>
      </w:pPr>
      <w:r w:rsidRPr="000A661F">
        <w:lastRenderedPageBreak/>
        <w:t>Claim was not promulgated through VBMS-A, or</w:t>
      </w:r>
    </w:p>
    <w:p w14:paraId="5E6B5EE8" w14:textId="2F2E2CFC" w:rsidR="00AB755E" w:rsidRDefault="000A661F" w:rsidP="00D44CD2">
      <w:pPr>
        <w:pStyle w:val="BodyText"/>
        <w:numPr>
          <w:ilvl w:val="0"/>
          <w:numId w:val="10"/>
        </w:numPr>
        <w:tabs>
          <w:tab w:val="left" w:pos="540"/>
        </w:tabs>
        <w:ind w:left="270" w:hanging="90"/>
      </w:pPr>
      <w:r w:rsidRPr="000A661F">
        <w:t>System failure which requires contractor intervention.</w:t>
      </w:r>
    </w:p>
    <w:p w14:paraId="19808A7A" w14:textId="77777777" w:rsidR="00D44CD2" w:rsidRDefault="00D44CD2" w:rsidP="00D44CD2">
      <w:pPr>
        <w:pStyle w:val="BodyText"/>
        <w:tabs>
          <w:tab w:val="left" w:pos="540"/>
        </w:tabs>
        <w:ind w:left="270"/>
      </w:pPr>
    </w:p>
    <w:p w14:paraId="17F611A2" w14:textId="1DE1118F" w:rsidR="000A661F" w:rsidRDefault="000A661F" w:rsidP="000A661F">
      <w:pPr>
        <w:pStyle w:val="BodyText"/>
        <w:spacing w:after="240"/>
        <w:ind w:left="187"/>
      </w:pPr>
      <w:r w:rsidRPr="000A661F">
        <w:t>When employees encounter a claim of which the EP 040 fails to establish, they should take the following actions:</w:t>
      </w:r>
    </w:p>
    <w:p w14:paraId="53404429" w14:textId="77777777" w:rsidR="000A661F" w:rsidRDefault="000A661F" w:rsidP="00AB755E">
      <w:pPr>
        <w:pStyle w:val="BodyText"/>
        <w:numPr>
          <w:ilvl w:val="0"/>
          <w:numId w:val="6"/>
        </w:numPr>
        <w:ind w:left="540"/>
      </w:pPr>
      <w:r w:rsidRPr="000A661F">
        <w:t xml:space="preserve">Open a </w:t>
      </w:r>
      <w:proofErr w:type="spellStart"/>
      <w:r w:rsidRPr="000A661F">
        <w:t>YourIT</w:t>
      </w:r>
      <w:proofErr w:type="spellEnd"/>
      <w:r w:rsidRPr="000A661F">
        <w:t xml:space="preserve"> ticket, and</w:t>
      </w:r>
    </w:p>
    <w:p w14:paraId="6E9919B0" w14:textId="027B6D20" w:rsidR="004F0187" w:rsidRDefault="000A661F" w:rsidP="00AB755E">
      <w:pPr>
        <w:pStyle w:val="BodyText"/>
        <w:numPr>
          <w:ilvl w:val="0"/>
          <w:numId w:val="6"/>
        </w:numPr>
        <w:ind w:left="540"/>
      </w:pPr>
      <w:r w:rsidRPr="000A661F">
        <w:t>Route the ticket to OAR’s Program Administration staff if it is an urgent issue</w:t>
      </w:r>
      <w:r w:rsidR="004F0187">
        <w:t>.</w:t>
      </w:r>
    </w:p>
    <w:p w14:paraId="3E9C9B16" w14:textId="54162596" w:rsidR="000A661F" w:rsidRDefault="000A661F" w:rsidP="00AB755E">
      <w:pPr>
        <w:pStyle w:val="BodyText"/>
        <w:ind w:left="540" w:hanging="360"/>
      </w:pPr>
    </w:p>
    <w:p w14:paraId="5F2CCAEE" w14:textId="77777777" w:rsidR="000A661F" w:rsidRDefault="000A661F" w:rsidP="000A661F">
      <w:pPr>
        <w:pStyle w:val="BodyText"/>
        <w:spacing w:after="240"/>
        <w:ind w:left="187"/>
      </w:pPr>
      <w:r w:rsidRPr="000A661F">
        <w:t>OAR works closely with OIT to resolve the issue in establishing impacted EPs 040.</w:t>
      </w:r>
    </w:p>
    <w:p w14:paraId="0C39C2BC" w14:textId="77777777" w:rsidR="000A661F" w:rsidRDefault="000A661F" w:rsidP="000A661F">
      <w:pPr>
        <w:pStyle w:val="BodyText"/>
        <w:spacing w:after="240"/>
        <w:ind w:left="187"/>
      </w:pPr>
      <w:r w:rsidRPr="000A661F">
        <w:t xml:space="preserve">VA created a temporary process to synchronize claims between </w:t>
      </w:r>
      <w:proofErr w:type="spellStart"/>
      <w:r w:rsidRPr="000A661F">
        <w:t>Caseflow</w:t>
      </w:r>
      <w:proofErr w:type="spellEnd"/>
      <w:r w:rsidRPr="000A661F">
        <w:t xml:space="preserve"> and VBMS.</w:t>
      </w:r>
    </w:p>
    <w:p w14:paraId="4FFF15DD" w14:textId="1EF06DB5" w:rsidR="000A661F" w:rsidRDefault="000A661F" w:rsidP="000A661F">
      <w:pPr>
        <w:pStyle w:val="BodyText"/>
        <w:spacing w:after="240"/>
        <w:ind w:left="187"/>
      </w:pPr>
      <w:r w:rsidRPr="000A661F">
        <w:t>For those claims unable to be resolved by OIT synchronization efforts, OAR collaborates with OBI to batch establish EP 040 affected claims.</w:t>
      </w:r>
    </w:p>
    <w:p w14:paraId="4FE88D0D" w14:textId="77777777" w:rsidR="000A661F" w:rsidRPr="000A661F" w:rsidRDefault="000A661F" w:rsidP="000A661F">
      <w:pPr>
        <w:pStyle w:val="BodyText"/>
        <w:spacing w:after="240"/>
        <w:ind w:left="187"/>
      </w:pPr>
      <w:r w:rsidRPr="000A661F">
        <w:t xml:space="preserve">OAR first identified the synchronization issue between </w:t>
      </w:r>
      <w:proofErr w:type="spellStart"/>
      <w:r w:rsidRPr="000A661F">
        <w:t>Caseflow</w:t>
      </w:r>
      <w:proofErr w:type="spellEnd"/>
      <w:r w:rsidRPr="000A661F">
        <w:t xml:space="preserve"> and VBMS in November 2022. As of December 2022, OAR identified 11,963 instances where there was no EP 040 controlling the DTA error correction or </w:t>
      </w:r>
      <w:proofErr w:type="spellStart"/>
      <w:r w:rsidRPr="000A661F">
        <w:t>DoO</w:t>
      </w:r>
      <w:proofErr w:type="spellEnd"/>
      <w:r w:rsidRPr="000A661F">
        <w:t>.</w:t>
      </w:r>
    </w:p>
    <w:p w14:paraId="2778197F" w14:textId="77777777" w:rsidR="000A661F" w:rsidRPr="000A661F" w:rsidRDefault="000A661F" w:rsidP="000A661F">
      <w:pPr>
        <w:pStyle w:val="BodyText"/>
        <w:spacing w:after="240"/>
        <w:ind w:left="187"/>
      </w:pPr>
      <w:r w:rsidRPr="000A661F">
        <w:t xml:space="preserve">Throughout FY 2023, OAR collaborated with OIT and OBI to synchronize claims between </w:t>
      </w:r>
      <w:proofErr w:type="spellStart"/>
      <w:r w:rsidRPr="000A661F">
        <w:t>Caseflow</w:t>
      </w:r>
      <w:proofErr w:type="spellEnd"/>
      <w:r w:rsidRPr="000A661F">
        <w:t xml:space="preserve"> and VBMS and completed eight batch establishments.</w:t>
      </w:r>
    </w:p>
    <w:p w14:paraId="08AD7034" w14:textId="229F767D" w:rsidR="000A661F" w:rsidRDefault="000A661F" w:rsidP="000A661F">
      <w:pPr>
        <w:pStyle w:val="BodyText"/>
        <w:spacing w:after="240"/>
        <w:ind w:left="187"/>
      </w:pPr>
      <w:r w:rsidRPr="000A661F">
        <w:t>OIT began actions to mitigate the synchronization delays in February 2023.</w:t>
      </w:r>
    </w:p>
    <w:p w14:paraId="4EEF0677" w14:textId="77777777" w:rsidR="000A661F" w:rsidRPr="000A661F" w:rsidRDefault="000A661F" w:rsidP="000A661F">
      <w:pPr>
        <w:pStyle w:val="BodyText"/>
        <w:spacing w:after="240"/>
        <w:ind w:left="187"/>
      </w:pPr>
      <w:r w:rsidRPr="000A661F">
        <w:t>The number of uncontrolled EP 040 instances will continue to fluctuate until the long-term solution is implemented.</w:t>
      </w:r>
    </w:p>
    <w:p w14:paraId="42D7E47D" w14:textId="77777777" w:rsidR="000A661F" w:rsidRPr="000A661F" w:rsidRDefault="000A661F" w:rsidP="000A661F">
      <w:pPr>
        <w:pStyle w:val="BodyText"/>
        <w:spacing w:after="240"/>
        <w:ind w:left="187"/>
      </w:pPr>
      <w:r w:rsidRPr="000A661F">
        <w:t>During the week of September 11, 2023, OAR and OIT scheduled an additional batch establishment to resolve a remaining 88 uncontrolled instances.</w:t>
      </w:r>
    </w:p>
    <w:p w14:paraId="63C98C7A" w14:textId="61E68E5E" w:rsidR="000A661F" w:rsidRDefault="000A661F" w:rsidP="000A661F">
      <w:pPr>
        <w:pStyle w:val="BodyText"/>
        <w:spacing w:after="240"/>
        <w:ind w:left="187"/>
      </w:pPr>
      <w:r w:rsidRPr="000A661F">
        <w:t xml:space="preserve">From December 2022 to September 2023, there is a 99% (11,963 to 88) decrease in the number of uncontrolled instances where there is no EP 040 controlling a DTA error correction or </w:t>
      </w:r>
      <w:proofErr w:type="spellStart"/>
      <w:r w:rsidRPr="000A661F">
        <w:t>DoO</w:t>
      </w:r>
      <w:proofErr w:type="spellEnd"/>
      <w:r w:rsidRPr="000A661F">
        <w:t>.</w:t>
      </w:r>
    </w:p>
    <w:p w14:paraId="16A9C9E2" w14:textId="77777777" w:rsidR="000A661F" w:rsidRPr="000A661F" w:rsidRDefault="000A661F" w:rsidP="000A661F">
      <w:pPr>
        <w:pStyle w:val="BodyText"/>
        <w:spacing w:after="240"/>
        <w:ind w:left="187"/>
      </w:pPr>
      <w:r w:rsidRPr="000A661F">
        <w:t xml:space="preserve">OAR seeks to eliminate system dependence on </w:t>
      </w:r>
      <w:proofErr w:type="spellStart"/>
      <w:r w:rsidRPr="000A661F">
        <w:t>Caseflow</w:t>
      </w:r>
      <w:proofErr w:type="spellEnd"/>
      <w:r w:rsidRPr="000A661F">
        <w:t xml:space="preserve"> to trigger the establishment process for the EP 040 DTA and </w:t>
      </w:r>
      <w:proofErr w:type="spellStart"/>
      <w:r w:rsidRPr="000A661F">
        <w:t>DoO</w:t>
      </w:r>
      <w:proofErr w:type="spellEnd"/>
      <w:r w:rsidRPr="000A661F">
        <w:t xml:space="preserve">. </w:t>
      </w:r>
    </w:p>
    <w:p w14:paraId="0AB2A99D" w14:textId="77777777" w:rsidR="000A661F" w:rsidRPr="000A661F" w:rsidRDefault="000A661F" w:rsidP="000A661F">
      <w:pPr>
        <w:pStyle w:val="BodyText"/>
        <w:spacing w:after="240"/>
        <w:ind w:left="187"/>
      </w:pPr>
      <w:r w:rsidRPr="000A661F">
        <w:t xml:space="preserve">OAR is coordinating with OBI and OIT to transition the establishment of AMA claims from </w:t>
      </w:r>
      <w:proofErr w:type="spellStart"/>
      <w:r w:rsidRPr="000A661F">
        <w:t>Caseflow</w:t>
      </w:r>
      <w:proofErr w:type="spellEnd"/>
      <w:r w:rsidRPr="000A661F">
        <w:t xml:space="preserve"> into VBMS.</w:t>
      </w:r>
    </w:p>
    <w:p w14:paraId="64F09D23" w14:textId="03219C98" w:rsidR="000A661F" w:rsidRDefault="000A661F" w:rsidP="000A661F">
      <w:pPr>
        <w:pStyle w:val="BodyText"/>
        <w:spacing w:after="240"/>
        <w:ind w:left="187"/>
      </w:pPr>
      <w:r w:rsidRPr="000A661F">
        <w:t>OAR anticipates deployment of the long-term solution in FY 2024.</w:t>
      </w:r>
    </w:p>
    <w:p w14:paraId="08A209E4" w14:textId="76E988A0" w:rsidR="000A661F" w:rsidRDefault="000A661F" w:rsidP="000A661F">
      <w:pPr>
        <w:pStyle w:val="BodyText"/>
        <w:spacing w:after="240"/>
        <w:ind w:left="187"/>
      </w:pPr>
    </w:p>
    <w:p w14:paraId="1B1C9C27" w14:textId="6E7B9144" w:rsidR="006D5495" w:rsidRPr="00BE05B0" w:rsidRDefault="000A661F" w:rsidP="00EA3963">
      <w:pPr>
        <w:pStyle w:val="Heading1"/>
        <w:pBdr>
          <w:bottom w:val="thinThickLargeGap" w:sz="8" w:space="1" w:color="auto"/>
        </w:pBdr>
        <w:ind w:left="187" w:right="0"/>
        <w:rPr>
          <w:color w:val="001F5F"/>
          <w:sz w:val="24"/>
          <w:szCs w:val="24"/>
        </w:rPr>
      </w:pPr>
      <w:bookmarkStart w:id="3" w:name="_Toc155331958"/>
      <w:r>
        <w:rPr>
          <w:color w:val="001F5F"/>
          <w:sz w:val="24"/>
          <w:szCs w:val="24"/>
        </w:rPr>
        <w:lastRenderedPageBreak/>
        <w:t>Routing a Claim for Regional Office Research Coordinator Review</w:t>
      </w:r>
      <w:bookmarkEnd w:id="3"/>
    </w:p>
    <w:p w14:paraId="738C6A34" w14:textId="537A45DF"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 and Claims Assistants (CA)</w:t>
      </w:r>
    </w:p>
    <w:p w14:paraId="7FEE21C9" w14:textId="439B3775" w:rsidR="008858D6" w:rsidRDefault="008858D6" w:rsidP="000A661F">
      <w:pPr>
        <w:pStyle w:val="BodyText"/>
        <w:spacing w:after="240"/>
        <w:ind w:left="187"/>
      </w:pPr>
      <w:r w:rsidRPr="00BE05B0">
        <w:rPr>
          <w:b/>
        </w:rPr>
        <w:t xml:space="preserve">Presenter: </w:t>
      </w:r>
      <w:r w:rsidR="000A661F" w:rsidRPr="000A661F">
        <w:t>Jerri Perry, Management and Program Analyst</w:t>
      </w:r>
      <w:r w:rsidR="000A661F">
        <w:t>, OAR</w:t>
      </w:r>
    </w:p>
    <w:p w14:paraId="69571FCF" w14:textId="77777777" w:rsidR="000A661F" w:rsidRPr="000A661F" w:rsidRDefault="000A661F" w:rsidP="00EA3963">
      <w:pPr>
        <w:pStyle w:val="BodyText"/>
        <w:ind w:left="187"/>
        <w:rPr>
          <w:b/>
        </w:rPr>
      </w:pPr>
      <w:r w:rsidRPr="000A661F">
        <w:rPr>
          <w:b/>
        </w:rPr>
        <w:t xml:space="preserve">References: </w:t>
      </w:r>
    </w:p>
    <w:p w14:paraId="2B1C3C2B" w14:textId="77777777" w:rsidR="00EA3963" w:rsidRDefault="000A661F">
      <w:pPr>
        <w:pStyle w:val="BodyText"/>
        <w:numPr>
          <w:ilvl w:val="0"/>
          <w:numId w:val="8"/>
        </w:numPr>
        <w:rPr>
          <w:bCs/>
          <w:i/>
          <w:iCs/>
        </w:rPr>
      </w:pPr>
      <w:r w:rsidRPr="000A661F">
        <w:rPr>
          <w:bCs/>
        </w:rPr>
        <w:t xml:space="preserve">M21-1, VIII.iv.1.A.3.r., </w:t>
      </w:r>
      <w:r w:rsidRPr="000A661F">
        <w:rPr>
          <w:bCs/>
          <w:i/>
          <w:iCs/>
        </w:rPr>
        <w:t>Procedures for Routing a PTSD Claim for RO Research Coordinator Review</w:t>
      </w:r>
    </w:p>
    <w:p w14:paraId="5AA6D0A2" w14:textId="55655289" w:rsidR="000A661F" w:rsidRPr="00EA3963" w:rsidRDefault="000A661F">
      <w:pPr>
        <w:pStyle w:val="BodyText"/>
        <w:numPr>
          <w:ilvl w:val="0"/>
          <w:numId w:val="8"/>
        </w:numPr>
        <w:rPr>
          <w:bCs/>
          <w:i/>
          <w:iCs/>
        </w:rPr>
      </w:pPr>
      <w:r w:rsidRPr="00EA3963">
        <w:rPr>
          <w:bCs/>
        </w:rPr>
        <w:t>M21-1, VIII.iv.1.A.4.c.,</w:t>
      </w:r>
      <w:r w:rsidRPr="00EA3963">
        <w:rPr>
          <w:bCs/>
          <w:i/>
          <w:iCs/>
        </w:rPr>
        <w:t xml:space="preserve"> Procedures for Conducting RO Research Coordinator Review</w:t>
      </w:r>
    </w:p>
    <w:p w14:paraId="531B6EA1" w14:textId="77777777" w:rsidR="000A661F" w:rsidRPr="000A661F" w:rsidRDefault="000A661F" w:rsidP="000A661F">
      <w:pPr>
        <w:pStyle w:val="BodyText"/>
        <w:ind w:left="547"/>
        <w:rPr>
          <w:bCs/>
          <w:i/>
          <w:iCs/>
        </w:rPr>
      </w:pPr>
    </w:p>
    <w:p w14:paraId="6751C014" w14:textId="1939D4D6" w:rsidR="000A661F" w:rsidRPr="000A661F" w:rsidRDefault="000A661F" w:rsidP="000A661F">
      <w:pPr>
        <w:pStyle w:val="BodyText"/>
        <w:spacing w:after="240"/>
        <w:ind w:left="187"/>
      </w:pPr>
      <w:r w:rsidRPr="000A661F">
        <w:t xml:space="preserve">OAR was tasked with reviewing HLR Returns to determine if overdevelopment was occurring. </w:t>
      </w:r>
    </w:p>
    <w:p w14:paraId="07532BDE" w14:textId="0F975590" w:rsidR="000A661F" w:rsidRDefault="000A661F" w:rsidP="000A661F">
      <w:pPr>
        <w:pStyle w:val="BodyText"/>
        <w:spacing w:after="240"/>
        <w:ind w:left="187"/>
      </w:pPr>
      <w:r w:rsidRPr="000A661F">
        <w:t>OAR did not find evidence of overdevelopment; however, OAR did identify errors with the required Military Records Research Center (MRRC) Special Issue (SI) not being in place for claims intended to be routed to the Regional Office (RO) Records Research Coordinator (RRC) for review, prompting these claims to be prematurely pulled back into NWQ. It is the placement of the MRRC SI that anchors the claim on station.</w:t>
      </w:r>
    </w:p>
    <w:p w14:paraId="01258F43" w14:textId="77777777" w:rsidR="000A661F" w:rsidRDefault="000A661F" w:rsidP="000A661F">
      <w:pPr>
        <w:pStyle w:val="BodyText"/>
        <w:spacing w:after="240"/>
        <w:ind w:left="187"/>
      </w:pPr>
      <w:r w:rsidRPr="000A661F">
        <w:t>Initial action requirements include:</w:t>
      </w:r>
    </w:p>
    <w:p w14:paraId="3991A449" w14:textId="77777777" w:rsidR="000A661F" w:rsidRDefault="000A661F" w:rsidP="00AB755E">
      <w:pPr>
        <w:pStyle w:val="BodyText"/>
        <w:numPr>
          <w:ilvl w:val="2"/>
          <w:numId w:val="9"/>
        </w:numPr>
        <w:ind w:left="540" w:hanging="367"/>
      </w:pPr>
      <w:r w:rsidRPr="000A661F">
        <w:t>“RO Research Coordinator Review” Tracked Item (TI)</w:t>
      </w:r>
    </w:p>
    <w:p w14:paraId="12509515" w14:textId="77777777" w:rsidR="000A661F" w:rsidRDefault="000A661F" w:rsidP="00AB755E">
      <w:pPr>
        <w:pStyle w:val="BodyText"/>
        <w:numPr>
          <w:ilvl w:val="2"/>
          <w:numId w:val="9"/>
        </w:numPr>
        <w:ind w:left="540" w:hanging="367"/>
      </w:pPr>
      <w:r w:rsidRPr="000A661F">
        <w:t>“MRRC” Special Issue</w:t>
      </w:r>
    </w:p>
    <w:p w14:paraId="7DFC26BB" w14:textId="77777777" w:rsidR="000A661F" w:rsidRDefault="000A661F" w:rsidP="000A661F">
      <w:pPr>
        <w:pStyle w:val="BodyText"/>
        <w:ind w:left="720"/>
      </w:pPr>
    </w:p>
    <w:p w14:paraId="46BCD8EF" w14:textId="77777777" w:rsidR="000A661F" w:rsidRPr="000A661F" w:rsidRDefault="000A661F" w:rsidP="000A661F">
      <w:pPr>
        <w:pStyle w:val="BodyText"/>
        <w:spacing w:after="240"/>
        <w:ind w:left="187"/>
      </w:pPr>
      <w:r w:rsidRPr="000A661F">
        <w:t>If the stressor can be conceded without submitting a research request via MRRC:</w:t>
      </w:r>
    </w:p>
    <w:p w14:paraId="5330D618" w14:textId="77777777" w:rsidR="000A661F" w:rsidRDefault="000A661F" w:rsidP="00AB755E">
      <w:pPr>
        <w:pStyle w:val="BodyText"/>
        <w:numPr>
          <w:ilvl w:val="0"/>
          <w:numId w:val="7"/>
        </w:numPr>
        <w:spacing w:after="240"/>
        <w:ind w:left="540"/>
      </w:pPr>
      <w:r w:rsidRPr="000A661F">
        <w:t>Annotate the claims folder as directed in M21-1, VIII.iv.1.A.1.h, Annotating Documents Used to Concede a Stressor</w:t>
      </w:r>
    </w:p>
    <w:p w14:paraId="6E4BD2CD" w14:textId="77777777" w:rsidR="000A661F" w:rsidRDefault="000A661F" w:rsidP="000A661F">
      <w:pPr>
        <w:pStyle w:val="BodyText"/>
        <w:spacing w:after="240"/>
        <w:ind w:left="187"/>
      </w:pPr>
      <w:r w:rsidRPr="000A661F">
        <w:t>If the stressor must be submitted for MRRC review:</w:t>
      </w:r>
    </w:p>
    <w:p w14:paraId="7A5486D4" w14:textId="54DC3CBC" w:rsidR="000A661F" w:rsidRDefault="000A661F" w:rsidP="00AB755E">
      <w:pPr>
        <w:pStyle w:val="BodyText"/>
        <w:numPr>
          <w:ilvl w:val="0"/>
          <w:numId w:val="7"/>
        </w:numPr>
        <w:ind w:left="540"/>
      </w:pPr>
      <w:r w:rsidRPr="000A661F">
        <w:t>Submit a request for corroboration utilizing the RECORDS RESEARCH REQUEST chevron in VBMS</w:t>
      </w:r>
      <w:r w:rsidR="00EA3963">
        <w:t>.</w:t>
      </w:r>
    </w:p>
    <w:p w14:paraId="04CC7AA5" w14:textId="0CE09CB8" w:rsidR="000A661F" w:rsidRDefault="000A661F" w:rsidP="00AB755E">
      <w:pPr>
        <w:pStyle w:val="BodyText"/>
        <w:numPr>
          <w:ilvl w:val="0"/>
          <w:numId w:val="7"/>
        </w:numPr>
        <w:ind w:left="540"/>
      </w:pPr>
      <w:r w:rsidRPr="000A661F">
        <w:t>Mark the RO RESEARCH COORDINATOR REVIEW tracked item as received and remove the MRRC Special Issue indicator</w:t>
      </w:r>
      <w:r w:rsidR="00EA3963">
        <w:t>.</w:t>
      </w:r>
    </w:p>
    <w:p w14:paraId="2D53C58D" w14:textId="46AA6E4B" w:rsidR="00002AC7" w:rsidRDefault="00002AC7" w:rsidP="008858D6">
      <w:pPr>
        <w:pStyle w:val="BodyText"/>
        <w:spacing w:after="240"/>
        <w:ind w:left="187"/>
        <w:rPr>
          <w:lang w:bidi="ar-SA"/>
        </w:rPr>
      </w:pPr>
    </w:p>
    <w:p w14:paraId="13561D6C" w14:textId="1132F93C" w:rsidR="00EA3963" w:rsidRDefault="00EA3963" w:rsidP="008858D6">
      <w:pPr>
        <w:pStyle w:val="BodyText"/>
        <w:spacing w:after="240"/>
        <w:ind w:left="187"/>
        <w:rPr>
          <w:lang w:bidi="ar-SA"/>
        </w:rPr>
      </w:pPr>
    </w:p>
    <w:p w14:paraId="27F53F30" w14:textId="77777777" w:rsidR="00EA3963" w:rsidRDefault="00EA3963" w:rsidP="008858D6">
      <w:pPr>
        <w:pStyle w:val="BodyText"/>
        <w:spacing w:after="240"/>
        <w:ind w:left="187"/>
        <w:rPr>
          <w:lang w:bidi="ar-SA"/>
        </w:rPr>
      </w:pPr>
    </w:p>
    <w:p w14:paraId="0C188410" w14:textId="77777777" w:rsidR="00EA3963" w:rsidRPr="00BE05B0" w:rsidRDefault="00EA3963" w:rsidP="00EA3963">
      <w:pPr>
        <w:pStyle w:val="Heading1"/>
        <w:pBdr>
          <w:bottom w:val="thinThickLargeGap" w:sz="8" w:space="1" w:color="auto"/>
        </w:pBdr>
        <w:spacing w:before="173"/>
        <w:ind w:left="187" w:right="0"/>
        <w:rPr>
          <w:color w:val="001F5F"/>
          <w:sz w:val="24"/>
          <w:szCs w:val="24"/>
        </w:rPr>
      </w:pPr>
      <w:bookmarkStart w:id="4" w:name="_Toc137544537"/>
      <w:bookmarkStart w:id="5" w:name="_Toc155331959"/>
      <w:r>
        <w:rPr>
          <w:color w:val="001F5F"/>
          <w:sz w:val="24"/>
          <w:szCs w:val="24"/>
        </w:rPr>
        <w:lastRenderedPageBreak/>
        <w:t>Questions and Answers</w:t>
      </w:r>
      <w:bookmarkEnd w:id="4"/>
      <w:bookmarkEnd w:id="5"/>
    </w:p>
    <w:p w14:paraId="238F1469" w14:textId="40DA869E" w:rsidR="00EA3963" w:rsidRPr="002D66BE" w:rsidRDefault="00EA3963" w:rsidP="00EA3963">
      <w:pPr>
        <w:pStyle w:val="BodyText"/>
        <w:spacing w:after="240"/>
        <w:ind w:left="187"/>
        <w:rPr>
          <w:lang w:bidi="ar-SA"/>
        </w:rPr>
      </w:pPr>
      <w:r>
        <w:rPr>
          <w:lang w:bidi="ar-SA"/>
        </w:rPr>
        <w:t>A q</w:t>
      </w:r>
      <w:r w:rsidRPr="002D66BE">
        <w:rPr>
          <w:lang w:bidi="ar-SA"/>
        </w:rPr>
        <w:t xml:space="preserve">uestion arose during the quality call. We have detailed </w:t>
      </w:r>
      <w:r>
        <w:rPr>
          <w:lang w:bidi="ar-SA"/>
        </w:rPr>
        <w:t>that item</w:t>
      </w:r>
      <w:r w:rsidRPr="002D66BE">
        <w:rPr>
          <w:lang w:bidi="ar-SA"/>
        </w:rPr>
        <w:t xml:space="preserve"> below</w:t>
      </w:r>
      <w:r>
        <w:rPr>
          <w:lang w:bidi="ar-SA"/>
        </w:rPr>
        <w:t>, with the applicable response</w:t>
      </w:r>
      <w:r w:rsidRPr="002D66BE">
        <w:rPr>
          <w:lang w:bidi="ar-SA"/>
        </w:rPr>
        <w:t>.</w:t>
      </w:r>
    </w:p>
    <w:p w14:paraId="430EB545" w14:textId="30254D15" w:rsidR="00EA3963" w:rsidRDefault="00EA3963" w:rsidP="00EA3963">
      <w:pPr>
        <w:widowControl/>
        <w:autoSpaceDE/>
        <w:autoSpaceDN/>
        <w:ind w:left="187"/>
        <w:rPr>
          <w:rFonts w:eastAsia="Times New Roman"/>
          <w:sz w:val="24"/>
          <w:szCs w:val="24"/>
        </w:rPr>
      </w:pPr>
      <w:r w:rsidRPr="002D66BE">
        <w:rPr>
          <w:b/>
          <w:bCs/>
          <w:sz w:val="24"/>
          <w:szCs w:val="24"/>
          <w:lang w:bidi="ar-SA"/>
        </w:rPr>
        <w:t xml:space="preserve">Q1: </w:t>
      </w:r>
      <w:r w:rsidR="009542E4" w:rsidRPr="009542E4">
        <w:rPr>
          <w:rFonts w:eastAsia="Times New Roman"/>
          <w:sz w:val="24"/>
          <w:szCs w:val="24"/>
        </w:rPr>
        <w:t>The Records Research special issue has been removed, what are the modification needed to the slide presented?</w:t>
      </w:r>
      <w:r w:rsidR="009542E4">
        <w:t xml:space="preserve"> </w:t>
      </w:r>
      <w:r w:rsidR="009542E4" w:rsidRPr="009542E4">
        <w:rPr>
          <w:rFonts w:eastAsia="Times New Roman"/>
          <w:sz w:val="24"/>
          <w:szCs w:val="24"/>
        </w:rPr>
        <w:t>How do you validly cite an error for a special issue that isn't in the M21-4?</w:t>
      </w:r>
    </w:p>
    <w:p w14:paraId="264CE997" w14:textId="77777777" w:rsidR="00EA3963" w:rsidRPr="002D66BE" w:rsidRDefault="00EA3963" w:rsidP="00EA3963">
      <w:pPr>
        <w:widowControl/>
        <w:autoSpaceDE/>
        <w:autoSpaceDN/>
        <w:ind w:left="187"/>
        <w:rPr>
          <w:rFonts w:eastAsia="Times New Roman"/>
          <w:sz w:val="24"/>
          <w:szCs w:val="24"/>
          <w:lang w:bidi="ar-SA"/>
        </w:rPr>
      </w:pPr>
    </w:p>
    <w:p w14:paraId="6FAA114E" w14:textId="5FA8440B" w:rsidR="00EA3963" w:rsidRPr="007F0421" w:rsidRDefault="00EA3963" w:rsidP="00EA3963">
      <w:pPr>
        <w:ind w:left="187"/>
        <w:rPr>
          <w:rFonts w:eastAsia="Calibri"/>
          <w:sz w:val="24"/>
          <w:szCs w:val="24"/>
          <w:lang w:bidi="ar-SA"/>
        </w:rPr>
      </w:pPr>
      <w:r w:rsidRPr="002D66BE">
        <w:rPr>
          <w:b/>
          <w:bCs/>
          <w:lang w:bidi="ar-SA"/>
        </w:rPr>
        <w:t>A1:</w:t>
      </w:r>
      <w:r w:rsidRPr="007F0421">
        <w:rPr>
          <w:rFonts w:eastAsia="Calibri"/>
          <w:sz w:val="24"/>
          <w:szCs w:val="24"/>
          <w:lang w:bidi="ar-SA"/>
        </w:rPr>
        <w:t xml:space="preserve"> </w:t>
      </w:r>
      <w:r w:rsidR="009542E4">
        <w:rPr>
          <w:rFonts w:eastAsia="Calibri"/>
          <w:sz w:val="24"/>
          <w:szCs w:val="24"/>
          <w:lang w:bidi="ar-SA"/>
        </w:rPr>
        <w:t>M21-4 E.2.b. was updated on December 29, 2023</w:t>
      </w:r>
      <w:r w:rsidR="001F7D2C">
        <w:rPr>
          <w:rFonts w:eastAsia="Calibri"/>
          <w:sz w:val="24"/>
          <w:szCs w:val="24"/>
          <w:lang w:bidi="ar-SA"/>
        </w:rPr>
        <w:t>,</w:t>
      </w:r>
      <w:r w:rsidR="009542E4">
        <w:rPr>
          <w:rFonts w:eastAsia="Calibri"/>
          <w:sz w:val="24"/>
          <w:szCs w:val="24"/>
          <w:lang w:bidi="ar-SA"/>
        </w:rPr>
        <w:t xml:space="preserve"> to restore the </w:t>
      </w:r>
      <w:r w:rsidR="009542E4" w:rsidRPr="009542E4">
        <w:rPr>
          <w:rFonts w:eastAsia="Calibri"/>
          <w:i/>
          <w:iCs/>
          <w:sz w:val="24"/>
          <w:szCs w:val="24"/>
          <w:lang w:bidi="ar-SA"/>
        </w:rPr>
        <w:t>MRRC Request</w:t>
      </w:r>
      <w:r w:rsidR="009542E4">
        <w:rPr>
          <w:rFonts w:eastAsia="Calibri"/>
          <w:sz w:val="24"/>
          <w:szCs w:val="24"/>
          <w:lang w:bidi="ar-SA"/>
        </w:rPr>
        <w:t xml:space="preserve"> special issue in the </w:t>
      </w:r>
      <w:r w:rsidR="009542E4" w:rsidRPr="009542E4">
        <w:rPr>
          <w:rFonts w:eastAsia="Calibri"/>
          <w:i/>
          <w:iCs/>
          <w:sz w:val="24"/>
          <w:szCs w:val="24"/>
          <w:lang w:bidi="ar-SA"/>
        </w:rPr>
        <w:t>Index of Current Special Issues</w:t>
      </w:r>
      <w:r w:rsidR="009542E4">
        <w:rPr>
          <w:rFonts w:eastAsia="Calibri"/>
          <w:sz w:val="24"/>
          <w:szCs w:val="24"/>
          <w:lang w:bidi="ar-SA"/>
        </w:rPr>
        <w:t xml:space="preserve">. Claims processors should continue to add the </w:t>
      </w:r>
      <w:r w:rsidR="009542E4" w:rsidRPr="009542E4">
        <w:rPr>
          <w:rFonts w:eastAsia="Calibri"/>
          <w:i/>
          <w:iCs/>
          <w:sz w:val="24"/>
          <w:szCs w:val="24"/>
          <w:lang w:bidi="ar-SA"/>
        </w:rPr>
        <w:t>MRRC Request</w:t>
      </w:r>
      <w:r w:rsidR="009542E4">
        <w:rPr>
          <w:rFonts w:eastAsia="Calibri"/>
          <w:sz w:val="24"/>
          <w:szCs w:val="24"/>
          <w:lang w:bidi="ar-SA"/>
        </w:rPr>
        <w:t xml:space="preserve"> special issue for routing a request to the RO Research Coordinator, as described in M21-1 </w:t>
      </w:r>
      <w:r w:rsidR="009542E4" w:rsidRPr="009542E4">
        <w:rPr>
          <w:rFonts w:eastAsia="Calibri"/>
          <w:sz w:val="24"/>
          <w:szCs w:val="24"/>
          <w:lang w:bidi="ar-SA"/>
        </w:rPr>
        <w:t>VIII.iv.1.A.3.r.</w:t>
      </w:r>
    </w:p>
    <w:p w14:paraId="3252FADF" w14:textId="77777777" w:rsidR="00EA3963" w:rsidRPr="002846E1" w:rsidRDefault="00EA3963" w:rsidP="008858D6">
      <w:pPr>
        <w:pStyle w:val="BodyText"/>
        <w:spacing w:after="240"/>
        <w:ind w:left="187"/>
        <w:rPr>
          <w:lang w:bidi="ar-SA"/>
        </w:rPr>
      </w:pPr>
    </w:p>
    <w:sectPr w:rsidR="00EA3963" w:rsidRPr="002846E1">
      <w:headerReference w:type="default" r:id="rId8"/>
      <w:footerReference w:type="default" r:id="rId9"/>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4311" w14:textId="77777777" w:rsidR="00AA635F" w:rsidRDefault="00AA635F">
      <w:r>
        <w:separator/>
      </w:r>
    </w:p>
  </w:endnote>
  <w:endnote w:type="continuationSeparator" w:id="0">
    <w:p w14:paraId="31BB3347" w14:textId="77777777" w:rsidR="00AA635F" w:rsidRDefault="00AA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2D81BF7A" w:rsidR="00032A4F" w:rsidRDefault="00032A4F">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714C6383" wp14:editId="51E99FE5">
              <wp:simplePos x="0" y="0"/>
              <wp:positionH relativeFrom="page">
                <wp:posOffset>6257925</wp:posOffset>
              </wp:positionH>
              <wp:positionV relativeFrom="bottomMargin">
                <wp:posOffset>88265</wp:posOffset>
              </wp:positionV>
              <wp:extent cx="625475" cy="219075"/>
              <wp:effectExtent l="0" t="0" r="3175" b="952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6383" id="_x0000_t202" coordsize="21600,21600" o:spt="202" path="m,l,21600r21600,l21600,xe">
              <v:stroke joinstyle="miter"/>
              <v:path gradientshapeok="t" o:connecttype="rect"/>
            </v:shapetype>
            <v:shape id="Text Box 1" o:spid="_x0000_s1027"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766F95BB" wp14:editId="0AA7E651">
              <wp:simplePos x="0" y="0"/>
              <wp:positionH relativeFrom="page">
                <wp:posOffset>904875</wp:posOffset>
              </wp:positionH>
              <wp:positionV relativeFrom="bottomMargin">
                <wp:posOffset>104775</wp:posOffset>
              </wp:positionV>
              <wp:extent cx="2209800" cy="180975"/>
              <wp:effectExtent l="0" t="0" r="0" b="952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1DB4702D" w:rsidR="00032A4F" w:rsidRDefault="00D77A01">
                          <w:pPr>
                            <w:pStyle w:val="BodyText"/>
                            <w:spacing w:before="12"/>
                            <w:ind w:left="20"/>
                          </w:pPr>
                          <w:r>
                            <w:t>January 2024</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95BB" id="Text Box 2" o:spid="_x0000_s1028" type="#_x0000_t202" alt="&quot;&quot;"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1DB4702D" w:rsidR="00032A4F" w:rsidRDefault="00D77A01">
                    <w:pPr>
                      <w:pStyle w:val="BodyText"/>
                      <w:spacing w:before="12"/>
                      <w:ind w:left="20"/>
                    </w:pPr>
                    <w:r>
                      <w:t>January 2024</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DC1C" w14:textId="77777777" w:rsidR="00AA635F" w:rsidRDefault="00AA635F">
      <w:r>
        <w:separator/>
      </w:r>
    </w:p>
  </w:footnote>
  <w:footnote w:type="continuationSeparator" w:id="0">
    <w:p w14:paraId="21514B10" w14:textId="77777777" w:rsidR="00AA635F" w:rsidRDefault="00AA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590D1F2C" w:rsidR="00032A4F" w:rsidRDefault="00C47619">
                          <w:pPr>
                            <w:spacing w:before="7"/>
                            <w:ind w:left="20"/>
                            <w:rPr>
                              <w:b/>
                              <w:sz w:val="40"/>
                            </w:rPr>
                          </w:pPr>
                          <w:r>
                            <w:rPr>
                              <w:b/>
                              <w:color w:val="FFFFFF"/>
                              <w:sz w:val="4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590D1F2C" w:rsidR="00032A4F" w:rsidRDefault="00C47619">
                    <w:pPr>
                      <w:spacing w:before="7"/>
                      <w:ind w:left="20"/>
                      <w:rPr>
                        <w:b/>
                        <w:sz w:val="40"/>
                      </w:rPr>
                    </w:pPr>
                    <w:r>
                      <w:rPr>
                        <w:b/>
                        <w:color w:val="FFFFFF"/>
                        <w:sz w:val="40"/>
                      </w:rPr>
                      <w:t>January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EAA"/>
    <w:multiLevelType w:val="multilevel"/>
    <w:tmpl w:val="5B26406E"/>
    <w:lvl w:ilvl="0">
      <w:start w:val="1"/>
      <w:numFmt w:val="decimal"/>
      <w:lvlText w:val="%1)"/>
      <w:lvlJc w:val="left"/>
      <w:pPr>
        <w:ind w:left="360" w:hanging="360"/>
      </w:pPr>
    </w:lvl>
    <w:lvl w:ilvl="1">
      <w:numFmt w:val="bullet"/>
      <w:lvlText w:val="•"/>
      <w:lvlJc w:val="left"/>
      <w:pPr>
        <w:ind w:left="547" w:hanging="360"/>
      </w:pPr>
      <w:rPr>
        <w:rFonts w:ascii="Arial" w:eastAsia="Arial" w:hAnsi="Arial" w:cs="Arial" w:hint="default"/>
        <w:b/>
        <w:i w:val="0"/>
      </w:rPr>
    </w:lvl>
    <w:lvl w:ilvl="2">
      <w:start w:val="1"/>
      <w:numFmt w:val="bullet"/>
      <w:lvlText w:val=""/>
      <w:lvlJc w:val="left"/>
      <w:pPr>
        <w:ind w:left="907"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C13AB"/>
    <w:multiLevelType w:val="hybridMultilevel"/>
    <w:tmpl w:val="A4A24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B3FC5"/>
    <w:multiLevelType w:val="hybridMultilevel"/>
    <w:tmpl w:val="31782C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5C62DB"/>
    <w:multiLevelType w:val="hybridMultilevel"/>
    <w:tmpl w:val="1814396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24494A09"/>
    <w:multiLevelType w:val="hybridMultilevel"/>
    <w:tmpl w:val="37AAC99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31166330"/>
    <w:multiLevelType w:val="hybridMultilevel"/>
    <w:tmpl w:val="0AAA641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3CC504F5"/>
    <w:multiLevelType w:val="hybridMultilevel"/>
    <w:tmpl w:val="061263DC"/>
    <w:lvl w:ilvl="0" w:tplc="B132711E">
      <w:numFmt w:val="bullet"/>
      <w:lvlText w:val="•"/>
      <w:lvlJc w:val="left"/>
      <w:pPr>
        <w:ind w:left="547" w:hanging="360"/>
      </w:pPr>
      <w:rPr>
        <w:rFonts w:ascii="Arial" w:eastAsia="Arial" w:hAnsi="Arial" w:cs="Arial" w:hint="default"/>
        <w:b/>
        <w:i w:val="0"/>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7" w15:restartNumberingAfterBreak="0">
    <w:nsid w:val="48A237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E23102"/>
    <w:multiLevelType w:val="hybridMultilevel"/>
    <w:tmpl w:val="B4887A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010595717">
    <w:abstractNumId w:val="8"/>
  </w:num>
  <w:num w:numId="2" w16cid:durableId="1226915946">
    <w:abstractNumId w:val="9"/>
  </w:num>
  <w:num w:numId="3" w16cid:durableId="92551668">
    <w:abstractNumId w:val="1"/>
  </w:num>
  <w:num w:numId="4" w16cid:durableId="1759011840">
    <w:abstractNumId w:val="4"/>
  </w:num>
  <w:num w:numId="5" w16cid:durableId="1388993183">
    <w:abstractNumId w:val="7"/>
  </w:num>
  <w:num w:numId="6" w16cid:durableId="190917865">
    <w:abstractNumId w:val="5"/>
  </w:num>
  <w:num w:numId="7" w16cid:durableId="1343626865">
    <w:abstractNumId w:val="3"/>
  </w:num>
  <w:num w:numId="8" w16cid:durableId="691498813">
    <w:abstractNumId w:val="6"/>
  </w:num>
  <w:num w:numId="9" w16cid:durableId="1738477486">
    <w:abstractNumId w:val="0"/>
  </w:num>
  <w:num w:numId="10" w16cid:durableId="81109595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7D16"/>
    <w:rsid w:val="00057A83"/>
    <w:rsid w:val="00062382"/>
    <w:rsid w:val="00063458"/>
    <w:rsid w:val="00074104"/>
    <w:rsid w:val="00074F85"/>
    <w:rsid w:val="00080742"/>
    <w:rsid w:val="00090F8F"/>
    <w:rsid w:val="00095A02"/>
    <w:rsid w:val="000A036D"/>
    <w:rsid w:val="000A0590"/>
    <w:rsid w:val="000A2FF9"/>
    <w:rsid w:val="000A38CD"/>
    <w:rsid w:val="000A45E1"/>
    <w:rsid w:val="000A4A9E"/>
    <w:rsid w:val="000A57CD"/>
    <w:rsid w:val="000A661F"/>
    <w:rsid w:val="000B31A9"/>
    <w:rsid w:val="000C2427"/>
    <w:rsid w:val="000C65FD"/>
    <w:rsid w:val="000D6AAC"/>
    <w:rsid w:val="000E362A"/>
    <w:rsid w:val="000E44E7"/>
    <w:rsid w:val="000E5C07"/>
    <w:rsid w:val="000E6565"/>
    <w:rsid w:val="000F1D94"/>
    <w:rsid w:val="000F40B0"/>
    <w:rsid w:val="000F6A28"/>
    <w:rsid w:val="00100D42"/>
    <w:rsid w:val="00103083"/>
    <w:rsid w:val="00104C72"/>
    <w:rsid w:val="00104CA8"/>
    <w:rsid w:val="00105A9A"/>
    <w:rsid w:val="001117AA"/>
    <w:rsid w:val="0011280C"/>
    <w:rsid w:val="00121DB7"/>
    <w:rsid w:val="001254A2"/>
    <w:rsid w:val="00132D59"/>
    <w:rsid w:val="00137572"/>
    <w:rsid w:val="00137B44"/>
    <w:rsid w:val="001439B6"/>
    <w:rsid w:val="00143A59"/>
    <w:rsid w:val="0014613D"/>
    <w:rsid w:val="00154AB2"/>
    <w:rsid w:val="0016697E"/>
    <w:rsid w:val="00166BB4"/>
    <w:rsid w:val="00170E21"/>
    <w:rsid w:val="001752DE"/>
    <w:rsid w:val="00176C1A"/>
    <w:rsid w:val="001813CF"/>
    <w:rsid w:val="0018271A"/>
    <w:rsid w:val="00182A46"/>
    <w:rsid w:val="00184963"/>
    <w:rsid w:val="001850F8"/>
    <w:rsid w:val="00192FA5"/>
    <w:rsid w:val="0019656B"/>
    <w:rsid w:val="001978AC"/>
    <w:rsid w:val="001A16DD"/>
    <w:rsid w:val="001A5BC1"/>
    <w:rsid w:val="001B1C21"/>
    <w:rsid w:val="001B1D82"/>
    <w:rsid w:val="001C6051"/>
    <w:rsid w:val="001C6C95"/>
    <w:rsid w:val="001C758B"/>
    <w:rsid w:val="001D094D"/>
    <w:rsid w:val="001D3160"/>
    <w:rsid w:val="001D3781"/>
    <w:rsid w:val="001D3AE3"/>
    <w:rsid w:val="001D6573"/>
    <w:rsid w:val="001E1078"/>
    <w:rsid w:val="001E1ABD"/>
    <w:rsid w:val="001F2AED"/>
    <w:rsid w:val="001F537D"/>
    <w:rsid w:val="001F615E"/>
    <w:rsid w:val="001F7D2C"/>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A7991"/>
    <w:rsid w:val="002A7D28"/>
    <w:rsid w:val="002B0B87"/>
    <w:rsid w:val="002B135B"/>
    <w:rsid w:val="002B388D"/>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996"/>
    <w:rsid w:val="00305FC1"/>
    <w:rsid w:val="00310E8E"/>
    <w:rsid w:val="00311D4F"/>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3D6"/>
    <w:rsid w:val="003956BF"/>
    <w:rsid w:val="003A1898"/>
    <w:rsid w:val="003A1F41"/>
    <w:rsid w:val="003A7FE9"/>
    <w:rsid w:val="003B19EF"/>
    <w:rsid w:val="003B3E1F"/>
    <w:rsid w:val="003B5E00"/>
    <w:rsid w:val="003D1246"/>
    <w:rsid w:val="003D6B9F"/>
    <w:rsid w:val="003E776A"/>
    <w:rsid w:val="003F14FD"/>
    <w:rsid w:val="003F1AAD"/>
    <w:rsid w:val="003F5BD8"/>
    <w:rsid w:val="00400F79"/>
    <w:rsid w:val="00401E05"/>
    <w:rsid w:val="004051CF"/>
    <w:rsid w:val="0041021C"/>
    <w:rsid w:val="004129C2"/>
    <w:rsid w:val="0042045B"/>
    <w:rsid w:val="00420BBD"/>
    <w:rsid w:val="00427B4D"/>
    <w:rsid w:val="0043671B"/>
    <w:rsid w:val="004415DE"/>
    <w:rsid w:val="0044630D"/>
    <w:rsid w:val="00447141"/>
    <w:rsid w:val="004516E3"/>
    <w:rsid w:val="00470030"/>
    <w:rsid w:val="0047008B"/>
    <w:rsid w:val="004706B9"/>
    <w:rsid w:val="00476F68"/>
    <w:rsid w:val="004772C8"/>
    <w:rsid w:val="004801BD"/>
    <w:rsid w:val="00483FC0"/>
    <w:rsid w:val="00484CA3"/>
    <w:rsid w:val="00485F1A"/>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0187"/>
    <w:rsid w:val="004F105F"/>
    <w:rsid w:val="004F6513"/>
    <w:rsid w:val="005075B7"/>
    <w:rsid w:val="005122EC"/>
    <w:rsid w:val="00514A22"/>
    <w:rsid w:val="005168E0"/>
    <w:rsid w:val="00523172"/>
    <w:rsid w:val="005248AE"/>
    <w:rsid w:val="00530689"/>
    <w:rsid w:val="00532734"/>
    <w:rsid w:val="0053383A"/>
    <w:rsid w:val="005438B3"/>
    <w:rsid w:val="00550E5F"/>
    <w:rsid w:val="0055265A"/>
    <w:rsid w:val="00555A17"/>
    <w:rsid w:val="005569F2"/>
    <w:rsid w:val="0056005E"/>
    <w:rsid w:val="00563874"/>
    <w:rsid w:val="00566CFA"/>
    <w:rsid w:val="00582189"/>
    <w:rsid w:val="00582790"/>
    <w:rsid w:val="0058367A"/>
    <w:rsid w:val="00584A58"/>
    <w:rsid w:val="00590463"/>
    <w:rsid w:val="005974E7"/>
    <w:rsid w:val="005A0EF0"/>
    <w:rsid w:val="005A35CA"/>
    <w:rsid w:val="005B43F6"/>
    <w:rsid w:val="005B5486"/>
    <w:rsid w:val="005C4CB4"/>
    <w:rsid w:val="005C71DC"/>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224C"/>
    <w:rsid w:val="00645291"/>
    <w:rsid w:val="0065254C"/>
    <w:rsid w:val="006542D7"/>
    <w:rsid w:val="0065586E"/>
    <w:rsid w:val="00662353"/>
    <w:rsid w:val="00666EEB"/>
    <w:rsid w:val="006701D2"/>
    <w:rsid w:val="00670979"/>
    <w:rsid w:val="00672401"/>
    <w:rsid w:val="0067291C"/>
    <w:rsid w:val="006729CB"/>
    <w:rsid w:val="00673B50"/>
    <w:rsid w:val="0067725C"/>
    <w:rsid w:val="00683849"/>
    <w:rsid w:val="0068585E"/>
    <w:rsid w:val="00694928"/>
    <w:rsid w:val="00697C2A"/>
    <w:rsid w:val="006A22E4"/>
    <w:rsid w:val="006A7664"/>
    <w:rsid w:val="006B60DE"/>
    <w:rsid w:val="006C32AE"/>
    <w:rsid w:val="006C421E"/>
    <w:rsid w:val="006C5205"/>
    <w:rsid w:val="006D21F4"/>
    <w:rsid w:val="006D3B15"/>
    <w:rsid w:val="006D5495"/>
    <w:rsid w:val="006E5F47"/>
    <w:rsid w:val="006E64C4"/>
    <w:rsid w:val="006E693E"/>
    <w:rsid w:val="006F2F21"/>
    <w:rsid w:val="006F3E7A"/>
    <w:rsid w:val="0070119E"/>
    <w:rsid w:val="0070137D"/>
    <w:rsid w:val="007065AF"/>
    <w:rsid w:val="00706ABB"/>
    <w:rsid w:val="00716D1F"/>
    <w:rsid w:val="00717A52"/>
    <w:rsid w:val="00733369"/>
    <w:rsid w:val="00742F10"/>
    <w:rsid w:val="00743A2C"/>
    <w:rsid w:val="00745C57"/>
    <w:rsid w:val="00747C42"/>
    <w:rsid w:val="007503ED"/>
    <w:rsid w:val="00753641"/>
    <w:rsid w:val="00754344"/>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24FA"/>
    <w:rsid w:val="007D3867"/>
    <w:rsid w:val="007D7D3E"/>
    <w:rsid w:val="007E00EA"/>
    <w:rsid w:val="007E09E7"/>
    <w:rsid w:val="007F5007"/>
    <w:rsid w:val="007F552D"/>
    <w:rsid w:val="007F7D37"/>
    <w:rsid w:val="00803ED4"/>
    <w:rsid w:val="008076E9"/>
    <w:rsid w:val="00812A63"/>
    <w:rsid w:val="00813CB8"/>
    <w:rsid w:val="00816EDB"/>
    <w:rsid w:val="008177C9"/>
    <w:rsid w:val="008227AA"/>
    <w:rsid w:val="008246F6"/>
    <w:rsid w:val="00826855"/>
    <w:rsid w:val="0082763F"/>
    <w:rsid w:val="008316AB"/>
    <w:rsid w:val="00832947"/>
    <w:rsid w:val="00834F9F"/>
    <w:rsid w:val="00835A46"/>
    <w:rsid w:val="0084538A"/>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4991"/>
    <w:rsid w:val="009024B9"/>
    <w:rsid w:val="00904EAC"/>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542E4"/>
    <w:rsid w:val="00965240"/>
    <w:rsid w:val="00967C52"/>
    <w:rsid w:val="0098077D"/>
    <w:rsid w:val="00985F8C"/>
    <w:rsid w:val="009907F3"/>
    <w:rsid w:val="00991F89"/>
    <w:rsid w:val="00993C33"/>
    <w:rsid w:val="00997EB5"/>
    <w:rsid w:val="009A0E63"/>
    <w:rsid w:val="009A5E7D"/>
    <w:rsid w:val="009A77B3"/>
    <w:rsid w:val="009A7B2C"/>
    <w:rsid w:val="009A7FD5"/>
    <w:rsid w:val="009B3153"/>
    <w:rsid w:val="009B580D"/>
    <w:rsid w:val="009C1FC1"/>
    <w:rsid w:val="009C3CAD"/>
    <w:rsid w:val="009D0826"/>
    <w:rsid w:val="009D238A"/>
    <w:rsid w:val="009D5F76"/>
    <w:rsid w:val="009E0629"/>
    <w:rsid w:val="009F2E15"/>
    <w:rsid w:val="009F6BEC"/>
    <w:rsid w:val="00A02AD3"/>
    <w:rsid w:val="00A04076"/>
    <w:rsid w:val="00A14BAD"/>
    <w:rsid w:val="00A15D93"/>
    <w:rsid w:val="00A208C1"/>
    <w:rsid w:val="00A213F2"/>
    <w:rsid w:val="00A249D3"/>
    <w:rsid w:val="00A24C4F"/>
    <w:rsid w:val="00A35CD4"/>
    <w:rsid w:val="00A3748B"/>
    <w:rsid w:val="00A374BB"/>
    <w:rsid w:val="00A45056"/>
    <w:rsid w:val="00A469C4"/>
    <w:rsid w:val="00A47173"/>
    <w:rsid w:val="00A568CB"/>
    <w:rsid w:val="00A56AB4"/>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35F"/>
    <w:rsid w:val="00AA6B79"/>
    <w:rsid w:val="00AA78C7"/>
    <w:rsid w:val="00AB1D74"/>
    <w:rsid w:val="00AB3248"/>
    <w:rsid w:val="00AB3898"/>
    <w:rsid w:val="00AB755E"/>
    <w:rsid w:val="00AC00A5"/>
    <w:rsid w:val="00AC2CD0"/>
    <w:rsid w:val="00AD0E22"/>
    <w:rsid w:val="00AD317C"/>
    <w:rsid w:val="00AD4431"/>
    <w:rsid w:val="00AD44C6"/>
    <w:rsid w:val="00AD57DA"/>
    <w:rsid w:val="00AD60B7"/>
    <w:rsid w:val="00AE3BE1"/>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21C7F"/>
    <w:rsid w:val="00B2277E"/>
    <w:rsid w:val="00B31AD9"/>
    <w:rsid w:val="00B35CD8"/>
    <w:rsid w:val="00B36263"/>
    <w:rsid w:val="00B42B3E"/>
    <w:rsid w:val="00B44ABF"/>
    <w:rsid w:val="00B50F9D"/>
    <w:rsid w:val="00B62628"/>
    <w:rsid w:val="00B636DD"/>
    <w:rsid w:val="00B7002A"/>
    <w:rsid w:val="00B7265C"/>
    <w:rsid w:val="00B77638"/>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E7805"/>
    <w:rsid w:val="00BF07F3"/>
    <w:rsid w:val="00BF2E80"/>
    <w:rsid w:val="00BF413B"/>
    <w:rsid w:val="00BF46FB"/>
    <w:rsid w:val="00C05A81"/>
    <w:rsid w:val="00C067CC"/>
    <w:rsid w:val="00C07BCD"/>
    <w:rsid w:val="00C108C5"/>
    <w:rsid w:val="00C158AD"/>
    <w:rsid w:val="00C160C8"/>
    <w:rsid w:val="00C2308E"/>
    <w:rsid w:val="00C23B13"/>
    <w:rsid w:val="00C255B4"/>
    <w:rsid w:val="00C25679"/>
    <w:rsid w:val="00C3607D"/>
    <w:rsid w:val="00C36A0B"/>
    <w:rsid w:val="00C44AF5"/>
    <w:rsid w:val="00C44DFC"/>
    <w:rsid w:val="00C47619"/>
    <w:rsid w:val="00C479C9"/>
    <w:rsid w:val="00C52184"/>
    <w:rsid w:val="00C54120"/>
    <w:rsid w:val="00C55CCE"/>
    <w:rsid w:val="00C56084"/>
    <w:rsid w:val="00C60B7A"/>
    <w:rsid w:val="00C60CA9"/>
    <w:rsid w:val="00C62293"/>
    <w:rsid w:val="00C644BF"/>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F7C"/>
    <w:rsid w:val="00D40C2E"/>
    <w:rsid w:val="00D44CD2"/>
    <w:rsid w:val="00D45EBF"/>
    <w:rsid w:val="00D47CC4"/>
    <w:rsid w:val="00D5353E"/>
    <w:rsid w:val="00D543D3"/>
    <w:rsid w:val="00D56342"/>
    <w:rsid w:val="00D62195"/>
    <w:rsid w:val="00D6271E"/>
    <w:rsid w:val="00D62ABE"/>
    <w:rsid w:val="00D62E16"/>
    <w:rsid w:val="00D63BD8"/>
    <w:rsid w:val="00D6637F"/>
    <w:rsid w:val="00D7173E"/>
    <w:rsid w:val="00D74534"/>
    <w:rsid w:val="00D77A01"/>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A0725"/>
    <w:rsid w:val="00EA3963"/>
    <w:rsid w:val="00EA4BD9"/>
    <w:rsid w:val="00EA4F6A"/>
    <w:rsid w:val="00EB25E2"/>
    <w:rsid w:val="00EB4218"/>
    <w:rsid w:val="00EB74C3"/>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6CC1"/>
    <w:rsid w:val="00F66E3D"/>
    <w:rsid w:val="00F67E91"/>
    <w:rsid w:val="00F71C4E"/>
    <w:rsid w:val="00F77E2B"/>
    <w:rsid w:val="00F80577"/>
    <w:rsid w:val="00F8159B"/>
    <w:rsid w:val="00F81930"/>
    <w:rsid w:val="00F833AD"/>
    <w:rsid w:val="00F84014"/>
    <w:rsid w:val="00F90F2C"/>
    <w:rsid w:val="00F930FB"/>
    <w:rsid w:val="00FA03BF"/>
    <w:rsid w:val="00FB3A17"/>
    <w:rsid w:val="00FB76D5"/>
    <w:rsid w:val="00FC460E"/>
    <w:rsid w:val="00FC5A36"/>
    <w:rsid w:val="00FC65E1"/>
    <w:rsid w:val="00FD12BD"/>
    <w:rsid w:val="00FD2D38"/>
    <w:rsid w:val="00FD478C"/>
    <w:rsid w:val="00FD7F3C"/>
    <w:rsid w:val="00FE4453"/>
    <w:rsid w:val="00FE6741"/>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Heading1Char">
    <w:name w:val="Heading 1 Char"/>
    <w:basedOn w:val="DefaultParagraphFont"/>
    <w:link w:val="Heading1"/>
    <w:uiPriority w:val="9"/>
    <w:rsid w:val="00EA3963"/>
    <w:rPr>
      <w:rFonts w:ascii="Arial" w:eastAsia="Arial" w:hAnsi="Arial" w:cs="Arial"/>
      <w:b/>
      <w:bCs/>
      <w:sz w:val="28"/>
      <w:szCs w:val="28"/>
      <w:lang w:bidi="en-US"/>
    </w:rPr>
  </w:style>
  <w:style w:type="character" w:customStyle="1" w:styleId="BodyTextChar">
    <w:name w:val="Body Text Char"/>
    <w:basedOn w:val="DefaultParagraphFont"/>
    <w:link w:val="BodyText"/>
    <w:uiPriority w:val="1"/>
    <w:rsid w:val="00EA3963"/>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Department of Veterans Affairs, Veterans Benefits Administration, Office of Administrative Review, STAFF Bulletin</vt:lpstr>
    </vt:vector>
  </TitlesOfParts>
  <Company>Veterans Benefits Administration</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 Veterans Benefits Administration, Office of Administrative Review, STAFF Bulletin</dc:title>
  <dc:subject/>
  <dc:creator>Department of Veterans Affairs, Veterans Benefits Administration, Office of Administrative Review, STAFF</dc:creator>
  <cp:keywords/>
  <dc:description/>
  <cp:lastModifiedBy>Kathy Poole</cp:lastModifiedBy>
  <cp:revision>3</cp:revision>
  <cp:lastPrinted>2021-10-28T16:37:00Z</cp:lastPrinted>
  <dcterms:created xsi:type="dcterms:W3CDTF">2024-01-10T15:28:00Z</dcterms:created>
  <dcterms:modified xsi:type="dcterms:W3CDTF">2024-01-23T15:48:00Z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ies>
</file>