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a14="http://schemas.microsoft.com/office/drawing/2010/main">
            <w:pict>
              <v:group id="Group 20" style="width:470.9pt;height:2.9pt;mso-position-horizontal-relative:char;mso-position-vertical-relative:line" alt="&quot;&quot;" coordsize="9418,58" o:spid="_x0000_s1026" w14:anchorId="5A4E4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style="position:absolute;visibility:visible;mso-wrap-style:square" o:spid="_x0000_s1027" strokecolor="#001f5f" strokeweight="1.44pt" o:connectortype="straight" from="0,14" to="9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v:line id="Line 21" style="position:absolute;visibility:visible;mso-wrap-style:square" o:spid="_x0000_s1028" strokecolor="#001f5f" strokeweight=".72pt" o:connectortype="straight" from="0,50" to="94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FD99CBF" w14:textId="0D560F0F" w:rsidR="00C701CA" w:rsidRDefault="00666EEB">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r w:rsidRPr="00F66E3D">
            <w:fldChar w:fldCharType="begin"/>
          </w:r>
          <w:r w:rsidRPr="00F66E3D">
            <w:instrText xml:space="preserve"> TOC \o "1-3" \h \z \u </w:instrText>
          </w:r>
          <w:r w:rsidRPr="00F66E3D">
            <w:fldChar w:fldCharType="separate"/>
          </w:r>
          <w:hyperlink w:anchor="_Toc172643473" w:history="1">
            <w:r w:rsidR="00C701CA" w:rsidRPr="00FB7AD5">
              <w:rPr>
                <w:rStyle w:val="Hyperlink"/>
                <w:noProof/>
              </w:rPr>
              <w:t>Reminders</w:t>
            </w:r>
            <w:r w:rsidR="00C701CA">
              <w:rPr>
                <w:noProof/>
                <w:webHidden/>
              </w:rPr>
              <w:tab/>
            </w:r>
            <w:r w:rsidR="00C701CA">
              <w:rPr>
                <w:noProof/>
                <w:webHidden/>
              </w:rPr>
              <w:fldChar w:fldCharType="begin"/>
            </w:r>
            <w:r w:rsidR="00C701CA">
              <w:rPr>
                <w:noProof/>
                <w:webHidden/>
              </w:rPr>
              <w:instrText xml:space="preserve"> PAGEREF _Toc172643473 \h </w:instrText>
            </w:r>
            <w:r w:rsidR="00C701CA">
              <w:rPr>
                <w:noProof/>
                <w:webHidden/>
              </w:rPr>
            </w:r>
            <w:r w:rsidR="00C701CA">
              <w:rPr>
                <w:noProof/>
                <w:webHidden/>
              </w:rPr>
              <w:fldChar w:fldCharType="separate"/>
            </w:r>
            <w:r w:rsidR="001D70AA">
              <w:rPr>
                <w:noProof/>
                <w:webHidden/>
              </w:rPr>
              <w:t>1</w:t>
            </w:r>
            <w:r w:rsidR="00C701CA">
              <w:rPr>
                <w:noProof/>
                <w:webHidden/>
              </w:rPr>
              <w:fldChar w:fldCharType="end"/>
            </w:r>
          </w:hyperlink>
        </w:p>
        <w:p w14:paraId="4A5F1843" w14:textId="552C62D0" w:rsidR="00C701CA"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2643474" w:history="1">
            <w:r w:rsidR="00C701CA" w:rsidRPr="00FB7AD5">
              <w:rPr>
                <w:rStyle w:val="Hyperlink"/>
                <w:noProof/>
              </w:rPr>
              <w:t>Utilize Award Information Screen for Audits (Historical Charts on Award Prints are Inaccurate)</w:t>
            </w:r>
            <w:r w:rsidR="00C701CA">
              <w:rPr>
                <w:noProof/>
                <w:webHidden/>
              </w:rPr>
              <w:tab/>
            </w:r>
            <w:r w:rsidR="00C701CA">
              <w:rPr>
                <w:noProof/>
                <w:webHidden/>
              </w:rPr>
              <w:fldChar w:fldCharType="begin"/>
            </w:r>
            <w:r w:rsidR="00C701CA">
              <w:rPr>
                <w:noProof/>
                <w:webHidden/>
              </w:rPr>
              <w:instrText xml:space="preserve"> PAGEREF _Toc172643474 \h </w:instrText>
            </w:r>
            <w:r w:rsidR="00C701CA">
              <w:rPr>
                <w:noProof/>
                <w:webHidden/>
              </w:rPr>
            </w:r>
            <w:r w:rsidR="00C701CA">
              <w:rPr>
                <w:noProof/>
                <w:webHidden/>
              </w:rPr>
              <w:fldChar w:fldCharType="separate"/>
            </w:r>
            <w:r w:rsidR="001D70AA">
              <w:rPr>
                <w:noProof/>
                <w:webHidden/>
              </w:rPr>
              <w:t>3</w:t>
            </w:r>
            <w:r w:rsidR="00C701CA">
              <w:rPr>
                <w:noProof/>
                <w:webHidden/>
              </w:rPr>
              <w:fldChar w:fldCharType="end"/>
            </w:r>
          </w:hyperlink>
        </w:p>
        <w:p w14:paraId="3D32AA1E" w14:textId="475B2973" w:rsidR="00C701CA"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2643475" w:history="1">
            <w:r w:rsidR="00C701CA" w:rsidRPr="00FB7AD5">
              <w:rPr>
                <w:rStyle w:val="Hyperlink"/>
                <w:noProof/>
              </w:rPr>
              <w:t xml:space="preserve">Partial </w:t>
            </w:r>
            <w:r w:rsidR="00C701CA" w:rsidRPr="00FB7AD5">
              <w:rPr>
                <w:rStyle w:val="Hyperlink"/>
                <w:i/>
                <w:iCs/>
                <w:noProof/>
              </w:rPr>
              <w:t>Rosinski</w:t>
            </w:r>
            <w:r w:rsidR="00C701CA" w:rsidRPr="00FB7AD5">
              <w:rPr>
                <w:rStyle w:val="Hyperlink"/>
                <w:noProof/>
              </w:rPr>
              <w:t xml:space="preserve"> (06J6) on Attorney Fee Release Memo</w:t>
            </w:r>
            <w:r w:rsidR="00C701CA">
              <w:rPr>
                <w:noProof/>
                <w:webHidden/>
              </w:rPr>
              <w:tab/>
            </w:r>
            <w:r w:rsidR="00C701CA">
              <w:rPr>
                <w:noProof/>
                <w:webHidden/>
              </w:rPr>
              <w:fldChar w:fldCharType="begin"/>
            </w:r>
            <w:r w:rsidR="00C701CA">
              <w:rPr>
                <w:noProof/>
                <w:webHidden/>
              </w:rPr>
              <w:instrText xml:space="preserve"> PAGEREF _Toc172643475 \h </w:instrText>
            </w:r>
            <w:r w:rsidR="00C701CA">
              <w:rPr>
                <w:noProof/>
                <w:webHidden/>
              </w:rPr>
            </w:r>
            <w:r w:rsidR="00C701CA">
              <w:rPr>
                <w:noProof/>
                <w:webHidden/>
              </w:rPr>
              <w:fldChar w:fldCharType="separate"/>
            </w:r>
            <w:r w:rsidR="001D70AA">
              <w:rPr>
                <w:noProof/>
                <w:webHidden/>
              </w:rPr>
              <w:t>5</w:t>
            </w:r>
            <w:r w:rsidR="00C701CA">
              <w:rPr>
                <w:noProof/>
                <w:webHidden/>
              </w:rPr>
              <w:fldChar w:fldCharType="end"/>
            </w:r>
          </w:hyperlink>
        </w:p>
        <w:p w14:paraId="5BB50A54" w14:textId="56395A61" w:rsidR="00C701CA"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2643476" w:history="1">
            <w:r w:rsidR="00C701CA" w:rsidRPr="00FB7AD5">
              <w:rPr>
                <w:rStyle w:val="Hyperlink"/>
                <w:noProof/>
              </w:rPr>
              <w:t>04E Requirement Clarification</w:t>
            </w:r>
            <w:r w:rsidR="00C701CA">
              <w:rPr>
                <w:noProof/>
                <w:webHidden/>
              </w:rPr>
              <w:tab/>
            </w:r>
            <w:r w:rsidR="00C701CA">
              <w:rPr>
                <w:noProof/>
                <w:webHidden/>
              </w:rPr>
              <w:fldChar w:fldCharType="begin"/>
            </w:r>
            <w:r w:rsidR="00C701CA">
              <w:rPr>
                <w:noProof/>
                <w:webHidden/>
              </w:rPr>
              <w:instrText xml:space="preserve"> PAGEREF _Toc172643476 \h </w:instrText>
            </w:r>
            <w:r w:rsidR="00C701CA">
              <w:rPr>
                <w:noProof/>
                <w:webHidden/>
              </w:rPr>
            </w:r>
            <w:r w:rsidR="00C701CA">
              <w:rPr>
                <w:noProof/>
                <w:webHidden/>
              </w:rPr>
              <w:fldChar w:fldCharType="separate"/>
            </w:r>
            <w:r w:rsidR="001D70AA">
              <w:rPr>
                <w:noProof/>
                <w:webHidden/>
              </w:rPr>
              <w:t>6</w:t>
            </w:r>
            <w:r w:rsidR="00C701CA">
              <w:rPr>
                <w:noProof/>
                <w:webHidden/>
              </w:rPr>
              <w:fldChar w:fldCharType="end"/>
            </w:r>
          </w:hyperlink>
        </w:p>
        <w:p w14:paraId="4B5A12A7" w14:textId="39560216" w:rsidR="00C701CA"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2643477" w:history="1">
            <w:r w:rsidR="00C701CA" w:rsidRPr="00FB7AD5">
              <w:rPr>
                <w:rStyle w:val="Hyperlink"/>
                <w:noProof/>
              </w:rPr>
              <w:t>040 Higer-level Review Returns Fee Release</w:t>
            </w:r>
            <w:r w:rsidR="00C701CA">
              <w:rPr>
                <w:noProof/>
                <w:webHidden/>
              </w:rPr>
              <w:tab/>
            </w:r>
            <w:r w:rsidR="00C701CA">
              <w:rPr>
                <w:noProof/>
                <w:webHidden/>
              </w:rPr>
              <w:fldChar w:fldCharType="begin"/>
            </w:r>
            <w:r w:rsidR="00C701CA">
              <w:rPr>
                <w:noProof/>
                <w:webHidden/>
              </w:rPr>
              <w:instrText xml:space="preserve"> PAGEREF _Toc172643477 \h </w:instrText>
            </w:r>
            <w:r w:rsidR="00C701CA">
              <w:rPr>
                <w:noProof/>
                <w:webHidden/>
              </w:rPr>
            </w:r>
            <w:r w:rsidR="00C701CA">
              <w:rPr>
                <w:noProof/>
                <w:webHidden/>
              </w:rPr>
              <w:fldChar w:fldCharType="separate"/>
            </w:r>
            <w:r w:rsidR="001D70AA">
              <w:rPr>
                <w:noProof/>
                <w:webHidden/>
              </w:rPr>
              <w:t>7</w:t>
            </w:r>
            <w:r w:rsidR="00C701CA">
              <w:rPr>
                <w:noProof/>
                <w:webHidden/>
              </w:rPr>
              <w:fldChar w:fldCharType="end"/>
            </w:r>
          </w:hyperlink>
        </w:p>
        <w:p w14:paraId="598A7E36" w14:textId="58EE3003" w:rsidR="00C701CA"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2643478" w:history="1">
            <w:r w:rsidR="00C701CA" w:rsidRPr="00FB7AD5">
              <w:rPr>
                <w:rStyle w:val="Hyperlink"/>
                <w:noProof/>
              </w:rPr>
              <w:t>Question and Answer – 040 Higher-level Review Returns Fee Release</w:t>
            </w:r>
            <w:r w:rsidR="00C701CA">
              <w:rPr>
                <w:noProof/>
                <w:webHidden/>
              </w:rPr>
              <w:tab/>
            </w:r>
            <w:r w:rsidR="00C701CA">
              <w:rPr>
                <w:noProof/>
                <w:webHidden/>
              </w:rPr>
              <w:fldChar w:fldCharType="begin"/>
            </w:r>
            <w:r w:rsidR="00C701CA">
              <w:rPr>
                <w:noProof/>
                <w:webHidden/>
              </w:rPr>
              <w:instrText xml:space="preserve"> PAGEREF _Toc172643478 \h </w:instrText>
            </w:r>
            <w:r w:rsidR="00C701CA">
              <w:rPr>
                <w:noProof/>
                <w:webHidden/>
              </w:rPr>
            </w:r>
            <w:r w:rsidR="00C701CA">
              <w:rPr>
                <w:noProof/>
                <w:webHidden/>
              </w:rPr>
              <w:fldChar w:fldCharType="separate"/>
            </w:r>
            <w:r w:rsidR="001D70AA">
              <w:rPr>
                <w:noProof/>
                <w:webHidden/>
              </w:rPr>
              <w:t>8</w:t>
            </w:r>
            <w:r w:rsidR="00C701CA">
              <w:rPr>
                <w:noProof/>
                <w:webHidden/>
              </w:rPr>
              <w:fldChar w:fldCharType="end"/>
            </w:r>
          </w:hyperlink>
        </w:p>
        <w:p w14:paraId="3118CCE3" w14:textId="6897DBE7" w:rsidR="00C701CA"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2643479" w:history="1">
            <w:r w:rsidR="00C701CA" w:rsidRPr="00FB7AD5">
              <w:rPr>
                <w:rStyle w:val="Hyperlink"/>
                <w:noProof/>
              </w:rPr>
              <w:t>Summary of the Case Fee Decision Notice Tickets</w:t>
            </w:r>
            <w:r w:rsidR="00C701CA">
              <w:rPr>
                <w:noProof/>
                <w:webHidden/>
              </w:rPr>
              <w:tab/>
            </w:r>
            <w:r w:rsidR="00C701CA">
              <w:rPr>
                <w:noProof/>
                <w:webHidden/>
              </w:rPr>
              <w:fldChar w:fldCharType="begin"/>
            </w:r>
            <w:r w:rsidR="00C701CA">
              <w:rPr>
                <w:noProof/>
                <w:webHidden/>
              </w:rPr>
              <w:instrText xml:space="preserve"> PAGEREF _Toc172643479 \h </w:instrText>
            </w:r>
            <w:r w:rsidR="00C701CA">
              <w:rPr>
                <w:noProof/>
                <w:webHidden/>
              </w:rPr>
            </w:r>
            <w:r w:rsidR="00C701CA">
              <w:rPr>
                <w:noProof/>
                <w:webHidden/>
              </w:rPr>
              <w:fldChar w:fldCharType="separate"/>
            </w:r>
            <w:r w:rsidR="001D70AA">
              <w:rPr>
                <w:noProof/>
                <w:webHidden/>
              </w:rPr>
              <w:t>9</w:t>
            </w:r>
            <w:r w:rsidR="00C701CA">
              <w:rPr>
                <w:noProof/>
                <w:webHidden/>
              </w:rPr>
              <w:fldChar w:fldCharType="end"/>
            </w:r>
          </w:hyperlink>
        </w:p>
        <w:p w14:paraId="1F78F031" w14:textId="296C0199" w:rsidR="00C701CA" w:rsidRDefault="00000000">
          <w:pPr>
            <w:pStyle w:val="TOC1"/>
            <w:tabs>
              <w:tab w:val="right" w:leader="dot" w:pos="9630"/>
            </w:tabs>
            <w:rPr>
              <w:rFonts w:asciiTheme="minorHAnsi" w:eastAsiaTheme="minorEastAsia" w:hAnsiTheme="minorHAnsi" w:cstheme="minorBidi"/>
              <w:noProof/>
              <w:kern w:val="2"/>
              <w:sz w:val="22"/>
              <w:szCs w:val="22"/>
              <w:lang w:bidi="ar-SA"/>
              <w14:ligatures w14:val="standardContextual"/>
            </w:rPr>
          </w:pPr>
          <w:hyperlink w:anchor="_Toc172643480" w:history="1">
            <w:r w:rsidR="00C701CA" w:rsidRPr="00FB7AD5">
              <w:rPr>
                <w:rStyle w:val="Hyperlink"/>
                <w:noProof/>
              </w:rPr>
              <w:t>Question and Answer – Summary of the Case Fee Decision Notice Tickets</w:t>
            </w:r>
            <w:r w:rsidR="00C701CA">
              <w:rPr>
                <w:noProof/>
                <w:webHidden/>
              </w:rPr>
              <w:tab/>
            </w:r>
            <w:r w:rsidR="00C701CA">
              <w:rPr>
                <w:noProof/>
                <w:webHidden/>
              </w:rPr>
              <w:fldChar w:fldCharType="begin"/>
            </w:r>
            <w:r w:rsidR="00C701CA">
              <w:rPr>
                <w:noProof/>
                <w:webHidden/>
              </w:rPr>
              <w:instrText xml:space="preserve"> PAGEREF _Toc172643480 \h </w:instrText>
            </w:r>
            <w:r w:rsidR="00C701CA">
              <w:rPr>
                <w:noProof/>
                <w:webHidden/>
              </w:rPr>
            </w:r>
            <w:r w:rsidR="00C701CA">
              <w:rPr>
                <w:noProof/>
                <w:webHidden/>
              </w:rPr>
              <w:fldChar w:fldCharType="separate"/>
            </w:r>
            <w:r w:rsidR="001D70AA">
              <w:rPr>
                <w:noProof/>
                <w:webHidden/>
              </w:rPr>
              <w:t>10</w:t>
            </w:r>
            <w:r w:rsidR="00C701CA">
              <w:rPr>
                <w:noProof/>
                <w:webHidden/>
              </w:rPr>
              <w:fldChar w:fldCharType="end"/>
            </w:r>
          </w:hyperlink>
        </w:p>
        <w:p w14:paraId="44F67274" w14:textId="7DA34577" w:rsidR="00666EEB" w:rsidRPr="00F66E3D" w:rsidRDefault="00666EEB" w:rsidP="00B50F9D">
          <w:pPr>
            <w:ind w:left="187"/>
            <w:rPr>
              <w:sz w:val="24"/>
              <w:szCs w:val="24"/>
            </w:rPr>
          </w:pPr>
          <w:r w:rsidRPr="00F66E3D">
            <w:rPr>
              <w:b/>
              <w:bCs/>
              <w:noProof/>
              <w:sz w:val="24"/>
              <w:szCs w:val="24"/>
            </w:rPr>
            <w:fldChar w:fldCharType="end"/>
          </w:r>
        </w:p>
      </w:sdtContent>
    </w:sdt>
    <w:p w14:paraId="300089BF" w14:textId="3CF37AF6" w:rsidR="00DE6445" w:rsidRPr="00BE05B0" w:rsidRDefault="009100C8" w:rsidP="00B50F9D">
      <w:pPr>
        <w:pStyle w:val="Heading1"/>
        <w:pBdr>
          <w:bottom w:val="thinThickLargeGap" w:sz="8" w:space="1" w:color="auto"/>
        </w:pBdr>
        <w:spacing w:before="173"/>
        <w:ind w:left="187" w:right="0"/>
        <w:rPr>
          <w:color w:val="001F5F"/>
          <w:sz w:val="24"/>
          <w:szCs w:val="24"/>
        </w:rPr>
      </w:pPr>
      <w:bookmarkStart w:id="0" w:name="_Toc172643473"/>
      <w:r>
        <w:rPr>
          <w:color w:val="001F5F"/>
          <w:sz w:val="24"/>
          <w:szCs w:val="24"/>
        </w:rPr>
        <w:t>Reminders</w:t>
      </w:r>
      <w:bookmarkEnd w:id="0"/>
    </w:p>
    <w:p w14:paraId="51C966AE" w14:textId="658787B4"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AAFCs, AAFC Management, Authorization Quality Review Specialists (AQRS), Quality Review Team Management</w:t>
      </w:r>
      <w:r w:rsidR="00A51D7A">
        <w:rPr>
          <w:rStyle w:val="normaltextrun"/>
          <w:color w:val="000000"/>
          <w:bdr w:val="none" w:sz="0" w:space="0" w:color="auto" w:frame="1"/>
        </w:rPr>
        <w:t xml:space="preserve">, </w:t>
      </w:r>
      <w:r w:rsidR="00B1610F">
        <w:rPr>
          <w:rStyle w:val="normaltextrun"/>
          <w:color w:val="000000"/>
          <w:bdr w:val="none" w:sz="0" w:space="0" w:color="auto" w:frame="1"/>
        </w:rPr>
        <w:t>Support Service Division Personnel and Management</w:t>
      </w:r>
      <w:r w:rsidR="00A51D7A">
        <w:rPr>
          <w:rStyle w:val="normaltextrun"/>
          <w:color w:val="000000"/>
          <w:bdr w:val="none" w:sz="0" w:space="0" w:color="auto" w:frame="1"/>
        </w:rPr>
        <w:t>.</w:t>
      </w:r>
    </w:p>
    <w:p w14:paraId="3674F9DA" w14:textId="58205B6B" w:rsidR="008858D6" w:rsidRDefault="008858D6" w:rsidP="008858D6">
      <w:pPr>
        <w:pStyle w:val="BodyText"/>
        <w:spacing w:after="240"/>
        <w:ind w:left="187"/>
      </w:pPr>
      <w:r w:rsidRPr="00BE05B0">
        <w:rPr>
          <w:b/>
        </w:rPr>
        <w:t xml:space="preserve">Presenter: </w:t>
      </w:r>
      <w:r w:rsidR="00D565E6">
        <w:t>Donald West</w:t>
      </w:r>
      <w:r w:rsidRPr="00BE05B0">
        <w:t xml:space="preserve">, </w:t>
      </w:r>
      <w:r w:rsidR="00D565E6">
        <w:t>Management and Program Analyst, OAR</w:t>
      </w:r>
    </w:p>
    <w:p w14:paraId="40A1F577" w14:textId="77777777" w:rsidR="008858D6" w:rsidRPr="00BE05B0" w:rsidRDefault="008858D6" w:rsidP="008858D6">
      <w:pPr>
        <w:ind w:left="187"/>
        <w:rPr>
          <w:b/>
          <w:bCs/>
          <w:sz w:val="24"/>
          <w:szCs w:val="24"/>
        </w:rPr>
      </w:pPr>
      <w:r w:rsidRPr="00BE05B0">
        <w:rPr>
          <w:b/>
          <w:bCs/>
          <w:sz w:val="24"/>
          <w:szCs w:val="24"/>
        </w:rPr>
        <w:t xml:space="preserve">References: </w:t>
      </w:r>
    </w:p>
    <w:p w14:paraId="2052A4D5" w14:textId="72041755" w:rsidR="008858D6" w:rsidRPr="00B03BBD" w:rsidRDefault="00000000" w:rsidP="005A1AC8">
      <w:pPr>
        <w:numPr>
          <w:ilvl w:val="0"/>
          <w:numId w:val="1"/>
        </w:numPr>
        <w:tabs>
          <w:tab w:val="left" w:pos="720"/>
        </w:tabs>
        <w:ind w:left="540"/>
        <w:rPr>
          <w:sz w:val="24"/>
          <w:szCs w:val="24"/>
          <w:lang w:bidi="ar-SA"/>
        </w:rPr>
      </w:pPr>
      <w:hyperlink r:id="rId11" w:history="1">
        <w:r w:rsidR="00B03BBD" w:rsidRPr="00B03BBD">
          <w:rPr>
            <w:rStyle w:val="Hyperlink"/>
            <w:sz w:val="24"/>
            <w:szCs w:val="24"/>
            <w:lang w:bidi="ar-SA"/>
          </w:rPr>
          <w:t xml:space="preserve">M21-5 8.B.2.a.  </w:t>
        </w:r>
      </w:hyperlink>
      <w:hyperlink r:id="rId12" w:history="1">
        <w:r w:rsidR="00B03BBD" w:rsidRPr="00B03BBD">
          <w:rPr>
            <w:rStyle w:val="Hyperlink"/>
            <w:i/>
            <w:iCs/>
            <w:sz w:val="24"/>
            <w:szCs w:val="24"/>
            <w:lang w:bidi="ar-SA"/>
          </w:rPr>
          <w:t>When to Request Finance Transactions or Use Award Actions for Possible Direct Payment of Fees</w:t>
        </w:r>
      </w:hyperlink>
      <w:r w:rsidR="00B03BBD" w:rsidRPr="00B03BBD">
        <w:rPr>
          <w:i/>
          <w:iCs/>
          <w:sz w:val="24"/>
          <w:szCs w:val="24"/>
          <w:lang w:bidi="ar-SA"/>
        </w:rPr>
        <w:t> </w:t>
      </w:r>
    </w:p>
    <w:p w14:paraId="1D8A479D" w14:textId="77777777" w:rsidR="008858D6" w:rsidRDefault="008858D6" w:rsidP="008858D6">
      <w:pPr>
        <w:tabs>
          <w:tab w:val="left" w:pos="720"/>
        </w:tabs>
        <w:ind w:left="180"/>
        <w:rPr>
          <w:sz w:val="24"/>
          <w:szCs w:val="24"/>
          <w:lang w:bidi="ar-SA"/>
        </w:rPr>
      </w:pPr>
    </w:p>
    <w:p w14:paraId="5CEA0968" w14:textId="749A4813" w:rsidR="008858D6" w:rsidRPr="005E2C67" w:rsidRDefault="00B03BBD" w:rsidP="008858D6">
      <w:pPr>
        <w:tabs>
          <w:tab w:val="left" w:pos="720"/>
        </w:tabs>
        <w:ind w:left="180"/>
        <w:rPr>
          <w:b/>
          <w:bCs/>
          <w:sz w:val="24"/>
          <w:szCs w:val="24"/>
        </w:rPr>
      </w:pPr>
      <w:r w:rsidRPr="005E2C67">
        <w:rPr>
          <w:b/>
          <w:bCs/>
          <w:sz w:val="24"/>
          <w:szCs w:val="24"/>
        </w:rPr>
        <w:t xml:space="preserve">VBMS-A Deduction Limit </w:t>
      </w:r>
      <w:r w:rsidR="005E2C67" w:rsidRPr="005E2C67">
        <w:rPr>
          <w:b/>
          <w:bCs/>
          <w:sz w:val="24"/>
          <w:szCs w:val="24"/>
        </w:rPr>
        <w:t>Removal</w:t>
      </w:r>
    </w:p>
    <w:p w14:paraId="7973BBE3" w14:textId="77777777" w:rsidR="005E2C67" w:rsidRDefault="005E2C67" w:rsidP="008858D6">
      <w:pPr>
        <w:tabs>
          <w:tab w:val="left" w:pos="720"/>
        </w:tabs>
        <w:ind w:left="180"/>
        <w:rPr>
          <w:sz w:val="24"/>
          <w:szCs w:val="24"/>
        </w:rPr>
      </w:pPr>
    </w:p>
    <w:p w14:paraId="4FF55EBE" w14:textId="77777777" w:rsidR="005E2C67" w:rsidRDefault="005E2C67" w:rsidP="005E2C67">
      <w:pPr>
        <w:tabs>
          <w:tab w:val="left" w:pos="720"/>
        </w:tabs>
        <w:ind w:left="180"/>
        <w:rPr>
          <w:sz w:val="24"/>
          <w:szCs w:val="24"/>
        </w:rPr>
      </w:pPr>
      <w:r w:rsidRPr="005E2C67">
        <w:rPr>
          <w:sz w:val="24"/>
          <w:szCs w:val="24"/>
        </w:rPr>
        <w:t xml:space="preserve">VBMS-A deduction field </w:t>
      </w:r>
      <w:r w:rsidRPr="005E2C67">
        <w:rPr>
          <w:b/>
          <w:bCs/>
          <w:sz w:val="24"/>
          <w:szCs w:val="24"/>
        </w:rPr>
        <w:t xml:space="preserve">will </w:t>
      </w:r>
      <w:r w:rsidRPr="005E2C67">
        <w:rPr>
          <w:sz w:val="24"/>
          <w:szCs w:val="24"/>
        </w:rPr>
        <w:t xml:space="preserve">allow entries greater than $99,999. AAFCs may utilize the Agent/Attorney Fee tab in VBMS-A to establish fee deductions larger than $99,999. Previously, AAFCs could not enter a six-figure fee deduction in the “Other Adjustment” tab. That limitation no longer exists. </w:t>
      </w:r>
    </w:p>
    <w:p w14:paraId="489D0ED6" w14:textId="77777777" w:rsidR="005E2C67" w:rsidRPr="005E2C67" w:rsidRDefault="005E2C67" w:rsidP="005E2C67">
      <w:pPr>
        <w:tabs>
          <w:tab w:val="left" w:pos="720"/>
        </w:tabs>
        <w:ind w:left="180"/>
        <w:rPr>
          <w:sz w:val="24"/>
          <w:szCs w:val="24"/>
        </w:rPr>
      </w:pPr>
    </w:p>
    <w:p w14:paraId="134074E5" w14:textId="77777777" w:rsidR="005E2C67" w:rsidRDefault="005E2C67" w:rsidP="005E2C67">
      <w:pPr>
        <w:tabs>
          <w:tab w:val="left" w:pos="720"/>
        </w:tabs>
        <w:ind w:left="180"/>
        <w:rPr>
          <w:sz w:val="24"/>
          <w:szCs w:val="24"/>
        </w:rPr>
      </w:pPr>
      <w:r w:rsidRPr="005E2C67">
        <w:rPr>
          <w:sz w:val="24"/>
          <w:szCs w:val="24"/>
        </w:rPr>
        <w:t>The OFM Agent/Attorney Fee FAQ was removed.</w:t>
      </w:r>
    </w:p>
    <w:p w14:paraId="6EBFA780" w14:textId="77777777" w:rsidR="0083669C" w:rsidRDefault="0083669C" w:rsidP="005E2C67">
      <w:pPr>
        <w:tabs>
          <w:tab w:val="left" w:pos="720"/>
        </w:tabs>
        <w:ind w:left="180"/>
        <w:rPr>
          <w:b/>
          <w:bCs/>
          <w:sz w:val="24"/>
          <w:szCs w:val="24"/>
        </w:rPr>
      </w:pPr>
    </w:p>
    <w:p w14:paraId="0180653E" w14:textId="4989C120" w:rsidR="0083669C" w:rsidRDefault="0083669C" w:rsidP="005E2C67">
      <w:pPr>
        <w:tabs>
          <w:tab w:val="left" w:pos="720"/>
        </w:tabs>
        <w:ind w:left="180"/>
        <w:rPr>
          <w:b/>
          <w:bCs/>
          <w:sz w:val="24"/>
          <w:szCs w:val="24"/>
        </w:rPr>
      </w:pPr>
      <w:r w:rsidRPr="0083669C">
        <w:rPr>
          <w:b/>
          <w:bCs/>
          <w:sz w:val="24"/>
          <w:szCs w:val="24"/>
        </w:rPr>
        <w:t>Fee Deduction Processing System</w:t>
      </w:r>
    </w:p>
    <w:p w14:paraId="1DD0AE93" w14:textId="77777777" w:rsidR="0083669C" w:rsidRDefault="0083669C" w:rsidP="005E2C67">
      <w:pPr>
        <w:tabs>
          <w:tab w:val="left" w:pos="720"/>
        </w:tabs>
        <w:ind w:left="180"/>
        <w:rPr>
          <w:b/>
          <w:bCs/>
          <w:sz w:val="24"/>
          <w:szCs w:val="24"/>
        </w:rPr>
      </w:pPr>
    </w:p>
    <w:p w14:paraId="4EA21A76" w14:textId="77777777" w:rsidR="00FF4619" w:rsidRDefault="00850FC8" w:rsidP="00FF4619">
      <w:pPr>
        <w:tabs>
          <w:tab w:val="left" w:pos="720"/>
        </w:tabs>
        <w:ind w:left="180"/>
        <w:rPr>
          <w:sz w:val="24"/>
          <w:szCs w:val="24"/>
        </w:rPr>
      </w:pPr>
      <w:r>
        <w:rPr>
          <w:sz w:val="24"/>
          <w:szCs w:val="24"/>
        </w:rPr>
        <w:t>Utilize VBMS-A to establish the fee deduction for the following types of awards:</w:t>
      </w:r>
    </w:p>
    <w:p w14:paraId="7C49BBF1" w14:textId="77777777" w:rsidR="00FF4619" w:rsidRDefault="00EA0BA5" w:rsidP="005A1AC8">
      <w:pPr>
        <w:pStyle w:val="ListParagraph"/>
        <w:numPr>
          <w:ilvl w:val="0"/>
          <w:numId w:val="1"/>
        </w:numPr>
        <w:tabs>
          <w:tab w:val="left" w:pos="720"/>
        </w:tabs>
        <w:rPr>
          <w:sz w:val="24"/>
          <w:szCs w:val="24"/>
        </w:rPr>
      </w:pPr>
      <w:r w:rsidRPr="00FF4619">
        <w:rPr>
          <w:sz w:val="24"/>
          <w:szCs w:val="24"/>
        </w:rPr>
        <w:t>Compensation Pension Live (Excluding Apportionments)</w:t>
      </w:r>
    </w:p>
    <w:p w14:paraId="52A55F7A" w14:textId="77777777" w:rsidR="00FF4619" w:rsidRDefault="00EA0BA5" w:rsidP="005A1AC8">
      <w:pPr>
        <w:pStyle w:val="ListParagraph"/>
        <w:numPr>
          <w:ilvl w:val="0"/>
          <w:numId w:val="1"/>
        </w:numPr>
        <w:tabs>
          <w:tab w:val="left" w:pos="720"/>
        </w:tabs>
        <w:rPr>
          <w:sz w:val="24"/>
          <w:szCs w:val="24"/>
        </w:rPr>
      </w:pPr>
      <w:r w:rsidRPr="00FF4619">
        <w:rPr>
          <w:sz w:val="24"/>
          <w:szCs w:val="24"/>
        </w:rPr>
        <w:t xml:space="preserve">Initial Accrued Awards and, </w:t>
      </w:r>
    </w:p>
    <w:p w14:paraId="18A886B4" w14:textId="141A5E6E" w:rsidR="00850FC8" w:rsidRPr="00FF4619" w:rsidRDefault="00EA0BA5" w:rsidP="005A1AC8">
      <w:pPr>
        <w:pStyle w:val="ListParagraph"/>
        <w:numPr>
          <w:ilvl w:val="0"/>
          <w:numId w:val="1"/>
        </w:numPr>
        <w:tabs>
          <w:tab w:val="left" w:pos="720"/>
        </w:tabs>
        <w:rPr>
          <w:sz w:val="24"/>
          <w:szCs w:val="24"/>
        </w:rPr>
      </w:pPr>
      <w:r w:rsidRPr="00FF4619">
        <w:rPr>
          <w:sz w:val="24"/>
          <w:szCs w:val="24"/>
        </w:rPr>
        <w:t>Dependency and Indemnity Compensation (DIC).</w:t>
      </w:r>
    </w:p>
    <w:p w14:paraId="72F7C125" w14:textId="77777777" w:rsidR="005E2C67" w:rsidRDefault="005E2C67" w:rsidP="008858D6">
      <w:pPr>
        <w:tabs>
          <w:tab w:val="left" w:pos="720"/>
        </w:tabs>
        <w:ind w:left="180"/>
        <w:rPr>
          <w:sz w:val="24"/>
          <w:szCs w:val="24"/>
        </w:rPr>
      </w:pPr>
    </w:p>
    <w:p w14:paraId="5839CB3C" w14:textId="78AED6A6" w:rsidR="00F4656A" w:rsidRDefault="00F4656A" w:rsidP="00F4656A">
      <w:pPr>
        <w:tabs>
          <w:tab w:val="left" w:pos="720"/>
        </w:tabs>
        <w:ind w:left="180"/>
        <w:rPr>
          <w:sz w:val="24"/>
          <w:szCs w:val="24"/>
        </w:rPr>
      </w:pPr>
      <w:r>
        <w:rPr>
          <w:sz w:val="24"/>
          <w:szCs w:val="24"/>
        </w:rPr>
        <w:lastRenderedPageBreak/>
        <w:t>Do not utilize VBMS-A to establish the fee deduction for the following types of awards:</w:t>
      </w:r>
    </w:p>
    <w:p w14:paraId="3C36A9E5" w14:textId="478E56B9" w:rsidR="00F4656A" w:rsidRDefault="00F4656A" w:rsidP="005A1AC8">
      <w:pPr>
        <w:pStyle w:val="ListParagraph"/>
        <w:numPr>
          <w:ilvl w:val="0"/>
          <w:numId w:val="1"/>
        </w:numPr>
        <w:tabs>
          <w:tab w:val="left" w:pos="720"/>
        </w:tabs>
        <w:rPr>
          <w:sz w:val="24"/>
          <w:szCs w:val="24"/>
        </w:rPr>
      </w:pPr>
      <w:r w:rsidRPr="00FF4619">
        <w:rPr>
          <w:sz w:val="24"/>
          <w:szCs w:val="24"/>
        </w:rPr>
        <w:t xml:space="preserve">Compensation Pension Live </w:t>
      </w:r>
      <w:r w:rsidR="00424DA7">
        <w:rPr>
          <w:sz w:val="24"/>
          <w:szCs w:val="24"/>
        </w:rPr>
        <w:t>with a current OR terminated apportionment,</w:t>
      </w:r>
    </w:p>
    <w:p w14:paraId="18207BA7" w14:textId="44FBC8FC" w:rsidR="00F4656A" w:rsidRDefault="00C33764" w:rsidP="005A1AC8">
      <w:pPr>
        <w:pStyle w:val="ListParagraph"/>
        <w:numPr>
          <w:ilvl w:val="0"/>
          <w:numId w:val="1"/>
        </w:numPr>
        <w:tabs>
          <w:tab w:val="left" w:pos="720"/>
        </w:tabs>
        <w:rPr>
          <w:sz w:val="24"/>
          <w:szCs w:val="24"/>
        </w:rPr>
      </w:pPr>
      <w:r>
        <w:rPr>
          <w:sz w:val="24"/>
          <w:szCs w:val="24"/>
        </w:rPr>
        <w:t>Subsequent</w:t>
      </w:r>
      <w:r w:rsidR="00F4656A" w:rsidRPr="00FF4619">
        <w:rPr>
          <w:sz w:val="24"/>
          <w:szCs w:val="24"/>
        </w:rPr>
        <w:t xml:space="preserve"> Accrued Awards, </w:t>
      </w:r>
    </w:p>
    <w:p w14:paraId="0CE01B18" w14:textId="77777777" w:rsidR="00C33764" w:rsidRDefault="00C33764" w:rsidP="005A1AC8">
      <w:pPr>
        <w:pStyle w:val="ListParagraph"/>
        <w:numPr>
          <w:ilvl w:val="0"/>
          <w:numId w:val="1"/>
        </w:numPr>
        <w:tabs>
          <w:tab w:val="left" w:pos="720"/>
        </w:tabs>
        <w:rPr>
          <w:sz w:val="24"/>
          <w:szCs w:val="24"/>
        </w:rPr>
      </w:pPr>
      <w:r>
        <w:rPr>
          <w:sz w:val="24"/>
          <w:szCs w:val="24"/>
        </w:rPr>
        <w:t xml:space="preserve">Month of Death and, </w:t>
      </w:r>
    </w:p>
    <w:p w14:paraId="6166107D" w14:textId="2A998987" w:rsidR="00DB5AB8" w:rsidRDefault="00C33764" w:rsidP="005A1AC8">
      <w:pPr>
        <w:pStyle w:val="ListParagraph"/>
        <w:numPr>
          <w:ilvl w:val="0"/>
          <w:numId w:val="1"/>
        </w:numPr>
        <w:tabs>
          <w:tab w:val="left" w:pos="720"/>
        </w:tabs>
        <w:rPr>
          <w:sz w:val="24"/>
          <w:szCs w:val="24"/>
        </w:rPr>
      </w:pPr>
      <w:r>
        <w:rPr>
          <w:sz w:val="24"/>
          <w:szCs w:val="24"/>
        </w:rPr>
        <w:t>Burial</w:t>
      </w:r>
      <w:r w:rsidR="00F4656A" w:rsidRPr="00FF4619">
        <w:rPr>
          <w:sz w:val="24"/>
          <w:szCs w:val="24"/>
        </w:rPr>
        <w:t>.</w:t>
      </w:r>
    </w:p>
    <w:p w14:paraId="632FE105" w14:textId="77777777" w:rsidR="00DB5AB8" w:rsidRDefault="00DB5AB8" w:rsidP="00DB5AB8">
      <w:pPr>
        <w:tabs>
          <w:tab w:val="left" w:pos="720"/>
        </w:tabs>
        <w:rPr>
          <w:sz w:val="24"/>
          <w:szCs w:val="24"/>
        </w:rPr>
      </w:pPr>
    </w:p>
    <w:p w14:paraId="57FCCFF6" w14:textId="5F81A981" w:rsidR="00DB5AB8" w:rsidRPr="00FB7B01" w:rsidRDefault="00DB5AB8" w:rsidP="00DB5AB8">
      <w:pPr>
        <w:tabs>
          <w:tab w:val="left" w:pos="720"/>
        </w:tabs>
        <w:ind w:left="180"/>
        <w:rPr>
          <w:b/>
          <w:bCs/>
          <w:sz w:val="24"/>
          <w:szCs w:val="24"/>
        </w:rPr>
      </w:pPr>
      <w:r w:rsidRPr="00FB7B01">
        <w:rPr>
          <w:b/>
          <w:bCs/>
          <w:sz w:val="24"/>
          <w:szCs w:val="24"/>
        </w:rPr>
        <w:t>Lingering 18/312J – VBMS-A Fee Deduction Failure</w:t>
      </w:r>
    </w:p>
    <w:p w14:paraId="0D52CEA1" w14:textId="77777777" w:rsidR="00B01764" w:rsidRDefault="00B01764" w:rsidP="00DB5AB8">
      <w:pPr>
        <w:tabs>
          <w:tab w:val="left" w:pos="720"/>
        </w:tabs>
        <w:ind w:left="180"/>
        <w:rPr>
          <w:sz w:val="24"/>
          <w:szCs w:val="24"/>
        </w:rPr>
      </w:pPr>
    </w:p>
    <w:p w14:paraId="7DF233E3" w14:textId="77777777" w:rsidR="00B01764" w:rsidRPr="00B01764" w:rsidRDefault="00B01764" w:rsidP="00B01764">
      <w:pPr>
        <w:tabs>
          <w:tab w:val="left" w:pos="720"/>
        </w:tabs>
        <w:ind w:left="180"/>
        <w:rPr>
          <w:sz w:val="24"/>
          <w:szCs w:val="24"/>
        </w:rPr>
      </w:pPr>
      <w:r w:rsidRPr="00B01764">
        <w:rPr>
          <w:sz w:val="24"/>
          <w:szCs w:val="24"/>
        </w:rPr>
        <w:t>Please review the award information screen every time an award is processed for a lingering 18/31J.</w:t>
      </w:r>
    </w:p>
    <w:p w14:paraId="131EC1D8" w14:textId="77777777" w:rsidR="00B01764" w:rsidRDefault="00B01764" w:rsidP="00B01764">
      <w:pPr>
        <w:tabs>
          <w:tab w:val="left" w:pos="720"/>
        </w:tabs>
        <w:ind w:left="180"/>
        <w:rPr>
          <w:sz w:val="24"/>
          <w:szCs w:val="24"/>
        </w:rPr>
      </w:pPr>
    </w:p>
    <w:p w14:paraId="33C3E664" w14:textId="75F9676F" w:rsidR="00B01764" w:rsidRDefault="00B01764" w:rsidP="003D0D1A">
      <w:pPr>
        <w:tabs>
          <w:tab w:val="left" w:pos="720"/>
        </w:tabs>
        <w:ind w:left="180"/>
        <w:rPr>
          <w:sz w:val="24"/>
          <w:szCs w:val="24"/>
        </w:rPr>
      </w:pPr>
      <w:r w:rsidRPr="00B01764">
        <w:rPr>
          <w:sz w:val="24"/>
          <w:szCs w:val="24"/>
        </w:rPr>
        <w:t>If there is an18/31J in the system and the AAFC attempts to process a fee deduction using VBMS-A, the VBMS-A deduction will fail.</w:t>
      </w:r>
      <w:r w:rsidR="003D0D1A">
        <w:rPr>
          <w:sz w:val="24"/>
          <w:szCs w:val="24"/>
        </w:rPr>
        <w:t xml:space="preserve"> </w:t>
      </w:r>
      <w:r w:rsidRPr="00B01764">
        <w:rPr>
          <w:sz w:val="24"/>
          <w:szCs w:val="24"/>
        </w:rPr>
        <w:t xml:space="preserve">If VBMS-A is being used to establish the fee deduction, then the user must confirm an old/lingering 18/31J is not in the system. </w:t>
      </w:r>
    </w:p>
    <w:p w14:paraId="4DBE9681" w14:textId="77777777" w:rsidR="00FC1288" w:rsidRDefault="00FC1288" w:rsidP="003D0D1A">
      <w:pPr>
        <w:tabs>
          <w:tab w:val="left" w:pos="720"/>
        </w:tabs>
        <w:ind w:left="180"/>
        <w:rPr>
          <w:sz w:val="24"/>
          <w:szCs w:val="24"/>
        </w:rPr>
      </w:pPr>
    </w:p>
    <w:p w14:paraId="68AEF443" w14:textId="7CB0E9F8" w:rsidR="00FC1288" w:rsidRPr="00B01764" w:rsidRDefault="00AF1F3C" w:rsidP="00AF1F3C">
      <w:pPr>
        <w:tabs>
          <w:tab w:val="left" w:pos="720"/>
        </w:tabs>
        <w:ind w:left="180"/>
        <w:jc w:val="center"/>
        <w:rPr>
          <w:sz w:val="24"/>
          <w:szCs w:val="24"/>
        </w:rPr>
      </w:pPr>
      <w:r w:rsidRPr="00FB7B01">
        <w:rPr>
          <w:noProof/>
          <w:sz w:val="24"/>
          <w:szCs w:val="24"/>
        </w:rPr>
        <w:drawing>
          <wp:inline distT="0" distB="0" distL="0" distR="0" wp14:anchorId="2A0CB7C5" wp14:editId="44F2D0F7">
            <wp:extent cx="3090929" cy="832370"/>
            <wp:effectExtent l="0" t="0" r="0" b="6350"/>
            <wp:docPr id="7" name="Picture 7" descr="Award information screen showing the 18/31J.">
              <a:extLst xmlns:a="http://schemas.openxmlformats.org/drawingml/2006/main">
                <a:ext uri="{FF2B5EF4-FFF2-40B4-BE49-F238E27FC236}">
                  <a16:creationId xmlns:a16="http://schemas.microsoft.com/office/drawing/2014/main" id="{006F098C-9B52-0C99-0A6F-B4F8F6DDE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ward information screen showing the 18/31J.">
                      <a:extLst>
                        <a:ext uri="{FF2B5EF4-FFF2-40B4-BE49-F238E27FC236}">
                          <a16:creationId xmlns:a16="http://schemas.microsoft.com/office/drawing/2014/main" id="{006F098C-9B52-0C99-0A6F-B4F8F6DDE202}"/>
                        </a:ext>
                      </a:extLst>
                    </pic:cNvPr>
                    <pic:cNvPicPr>
                      <a:picLocks noChangeAspect="1"/>
                    </pic:cNvPicPr>
                  </pic:nvPicPr>
                  <pic:blipFill>
                    <a:blip r:embed="rId13"/>
                    <a:stretch>
                      <a:fillRect/>
                    </a:stretch>
                  </pic:blipFill>
                  <pic:spPr>
                    <a:xfrm>
                      <a:off x="0" y="0"/>
                      <a:ext cx="3124129" cy="841311"/>
                    </a:xfrm>
                    <a:prstGeom prst="rect">
                      <a:avLst/>
                    </a:prstGeom>
                  </pic:spPr>
                </pic:pic>
              </a:graphicData>
            </a:graphic>
          </wp:inline>
        </w:drawing>
      </w:r>
    </w:p>
    <w:p w14:paraId="71B774DD" w14:textId="77777777" w:rsidR="003D0D1A" w:rsidRDefault="003D0D1A" w:rsidP="00B01764">
      <w:pPr>
        <w:tabs>
          <w:tab w:val="left" w:pos="720"/>
        </w:tabs>
        <w:ind w:left="180"/>
        <w:rPr>
          <w:sz w:val="24"/>
          <w:szCs w:val="24"/>
        </w:rPr>
      </w:pPr>
    </w:p>
    <w:p w14:paraId="7D6A6164" w14:textId="2DD9A27C" w:rsidR="00B01764" w:rsidRDefault="00B01764" w:rsidP="00B01764">
      <w:pPr>
        <w:tabs>
          <w:tab w:val="left" w:pos="720"/>
        </w:tabs>
        <w:ind w:left="180"/>
        <w:rPr>
          <w:sz w:val="24"/>
          <w:szCs w:val="24"/>
        </w:rPr>
      </w:pPr>
      <w:r w:rsidRPr="00B01764">
        <w:rPr>
          <w:sz w:val="24"/>
          <w:szCs w:val="24"/>
        </w:rPr>
        <w:t>Please note that we are not discussing scenarios that warrant an 18/31J to establish the fee deduction. For example, if there is an active or terminated apportionment on the award, then the AAFC will request finance to establish the 18/31J. The AAFC will NOT enter the fee in VBMS-A</w:t>
      </w:r>
      <w:r w:rsidR="003D0D1A">
        <w:rPr>
          <w:sz w:val="24"/>
          <w:szCs w:val="24"/>
        </w:rPr>
        <w:t xml:space="preserve"> for that award</w:t>
      </w:r>
      <w:r w:rsidRPr="00B01764">
        <w:rPr>
          <w:sz w:val="24"/>
          <w:szCs w:val="24"/>
        </w:rPr>
        <w:t xml:space="preserve">.  </w:t>
      </w:r>
    </w:p>
    <w:p w14:paraId="341F22D9" w14:textId="77777777" w:rsidR="00FB7B01" w:rsidRDefault="00FB7B01" w:rsidP="00B01764">
      <w:pPr>
        <w:tabs>
          <w:tab w:val="left" w:pos="720"/>
        </w:tabs>
        <w:ind w:left="180"/>
        <w:rPr>
          <w:sz w:val="24"/>
          <w:szCs w:val="24"/>
        </w:rPr>
      </w:pPr>
    </w:p>
    <w:p w14:paraId="59615EC5" w14:textId="00E0BF3C" w:rsidR="009B7E0A" w:rsidRPr="001E1D39" w:rsidRDefault="009B7E0A" w:rsidP="00DB5AB8">
      <w:pPr>
        <w:tabs>
          <w:tab w:val="left" w:pos="720"/>
        </w:tabs>
        <w:ind w:left="180"/>
        <w:rPr>
          <w:b/>
          <w:bCs/>
          <w:sz w:val="24"/>
          <w:szCs w:val="24"/>
        </w:rPr>
      </w:pPr>
      <w:r w:rsidRPr="001E1D39">
        <w:rPr>
          <w:b/>
          <w:bCs/>
          <w:sz w:val="24"/>
          <w:szCs w:val="24"/>
        </w:rPr>
        <w:t>One-Cent Difference</w:t>
      </w:r>
    </w:p>
    <w:p w14:paraId="237FBB32" w14:textId="77777777" w:rsidR="00FB7B01" w:rsidRDefault="00FB7B01" w:rsidP="00DB5AB8">
      <w:pPr>
        <w:tabs>
          <w:tab w:val="left" w:pos="720"/>
        </w:tabs>
        <w:ind w:left="180"/>
        <w:rPr>
          <w:sz w:val="24"/>
          <w:szCs w:val="24"/>
        </w:rPr>
      </w:pPr>
    </w:p>
    <w:p w14:paraId="59986052" w14:textId="77777777" w:rsidR="001E1D39" w:rsidRPr="001E1D39" w:rsidRDefault="001E1D39" w:rsidP="001E1D39">
      <w:pPr>
        <w:tabs>
          <w:tab w:val="left" w:pos="720"/>
        </w:tabs>
        <w:ind w:left="180"/>
        <w:rPr>
          <w:sz w:val="24"/>
          <w:szCs w:val="24"/>
        </w:rPr>
      </w:pPr>
      <w:r w:rsidRPr="001E1D39">
        <w:rPr>
          <w:sz w:val="24"/>
          <w:szCs w:val="24"/>
        </w:rPr>
        <w:t xml:space="preserve">Do not use the override functionality to update the VBMS-A calculator for a one-cent difference with the manual Agent/Attorney Fee Calculator. Please keep the VBMS-A calculations. </w:t>
      </w:r>
    </w:p>
    <w:p w14:paraId="46956BAD" w14:textId="77777777" w:rsidR="009B7E0A" w:rsidRDefault="009B7E0A" w:rsidP="00DB5AB8">
      <w:pPr>
        <w:tabs>
          <w:tab w:val="left" w:pos="720"/>
        </w:tabs>
        <w:ind w:left="180"/>
        <w:rPr>
          <w:sz w:val="24"/>
          <w:szCs w:val="24"/>
        </w:rPr>
      </w:pPr>
    </w:p>
    <w:p w14:paraId="483396A8" w14:textId="2F3FCB44" w:rsidR="009B7E0A" w:rsidRDefault="009B7E0A" w:rsidP="00DB5AB8">
      <w:pPr>
        <w:tabs>
          <w:tab w:val="left" w:pos="720"/>
        </w:tabs>
        <w:ind w:left="180"/>
        <w:rPr>
          <w:b/>
          <w:bCs/>
          <w:sz w:val="24"/>
          <w:szCs w:val="24"/>
        </w:rPr>
      </w:pPr>
      <w:r w:rsidRPr="001E1D39">
        <w:rPr>
          <w:b/>
          <w:bCs/>
          <w:sz w:val="24"/>
          <w:szCs w:val="24"/>
        </w:rPr>
        <w:t>Fee Audits</w:t>
      </w:r>
    </w:p>
    <w:p w14:paraId="305702F8" w14:textId="77777777" w:rsidR="001E1D39" w:rsidRPr="001E1D39" w:rsidRDefault="001E1D39" w:rsidP="00DB5AB8">
      <w:pPr>
        <w:tabs>
          <w:tab w:val="left" w:pos="720"/>
        </w:tabs>
        <w:ind w:left="180"/>
        <w:rPr>
          <w:b/>
          <w:bCs/>
          <w:sz w:val="24"/>
          <w:szCs w:val="24"/>
        </w:rPr>
      </w:pPr>
    </w:p>
    <w:p w14:paraId="622448AF" w14:textId="77777777" w:rsidR="001E1D39" w:rsidRPr="001E1D39" w:rsidRDefault="001E1D39" w:rsidP="001E1D39">
      <w:pPr>
        <w:tabs>
          <w:tab w:val="left" w:pos="720"/>
        </w:tabs>
        <w:ind w:left="180"/>
        <w:rPr>
          <w:sz w:val="24"/>
          <w:szCs w:val="24"/>
        </w:rPr>
      </w:pPr>
      <w:r w:rsidRPr="001E1D39">
        <w:rPr>
          <w:sz w:val="24"/>
          <w:szCs w:val="24"/>
        </w:rPr>
        <w:t>AAFCs are reminded to review their audits for the following:</w:t>
      </w:r>
    </w:p>
    <w:p w14:paraId="25055BC9" w14:textId="469D6B2E" w:rsidR="001E1D39" w:rsidRPr="001E1D39" w:rsidRDefault="001E1D39" w:rsidP="005A1AC8">
      <w:pPr>
        <w:pStyle w:val="ListParagraph"/>
        <w:numPr>
          <w:ilvl w:val="0"/>
          <w:numId w:val="2"/>
        </w:numPr>
        <w:tabs>
          <w:tab w:val="left" w:pos="720"/>
        </w:tabs>
        <w:rPr>
          <w:sz w:val="24"/>
          <w:szCs w:val="24"/>
        </w:rPr>
      </w:pPr>
      <w:r w:rsidRPr="001E1D39">
        <w:rPr>
          <w:sz w:val="24"/>
          <w:szCs w:val="24"/>
        </w:rPr>
        <w:t xml:space="preserve">Do not utilize the historical award chart on the award prints to obtain the “Old </w:t>
      </w:r>
      <w:r w:rsidR="00676FFE" w:rsidRPr="001E1D39">
        <w:rPr>
          <w:sz w:val="24"/>
          <w:szCs w:val="24"/>
        </w:rPr>
        <w:t>Rates.”</w:t>
      </w:r>
    </w:p>
    <w:p w14:paraId="599EEB4F" w14:textId="37BA0CCC" w:rsidR="001E1D39" w:rsidRPr="001E1D39" w:rsidRDefault="001E1D39" w:rsidP="005A1AC8">
      <w:pPr>
        <w:pStyle w:val="ListParagraph"/>
        <w:numPr>
          <w:ilvl w:val="0"/>
          <w:numId w:val="2"/>
        </w:numPr>
        <w:tabs>
          <w:tab w:val="left" w:pos="720"/>
        </w:tabs>
        <w:rPr>
          <w:sz w:val="24"/>
          <w:szCs w:val="24"/>
        </w:rPr>
      </w:pPr>
      <w:r w:rsidRPr="001E1D39">
        <w:rPr>
          <w:sz w:val="24"/>
          <w:szCs w:val="24"/>
        </w:rPr>
        <w:t xml:space="preserve">AAFCs must utilize the award information screen to obtain the “Old </w:t>
      </w:r>
      <w:r w:rsidR="00676FFE" w:rsidRPr="001E1D39">
        <w:rPr>
          <w:sz w:val="24"/>
          <w:szCs w:val="24"/>
        </w:rPr>
        <w:t>Rates.</w:t>
      </w:r>
      <w:r w:rsidRPr="001E1D39">
        <w:rPr>
          <w:sz w:val="24"/>
          <w:szCs w:val="24"/>
        </w:rPr>
        <w:t>”</w:t>
      </w:r>
    </w:p>
    <w:p w14:paraId="40B625DE" w14:textId="7789C9F8" w:rsidR="001E1D39" w:rsidRPr="001E1D39" w:rsidRDefault="001E1D39" w:rsidP="005A1AC8">
      <w:pPr>
        <w:pStyle w:val="ListParagraph"/>
        <w:numPr>
          <w:ilvl w:val="0"/>
          <w:numId w:val="2"/>
        </w:numPr>
        <w:tabs>
          <w:tab w:val="left" w:pos="720"/>
        </w:tabs>
        <w:rPr>
          <w:sz w:val="24"/>
          <w:szCs w:val="24"/>
        </w:rPr>
      </w:pPr>
      <w:r w:rsidRPr="001E1D39">
        <w:rPr>
          <w:sz w:val="24"/>
          <w:szCs w:val="24"/>
        </w:rPr>
        <w:t>AAFCs must enter every line within the entitlement period from the award draft and the award information screen</w:t>
      </w:r>
      <w:r w:rsidR="00676FFE">
        <w:rPr>
          <w:sz w:val="24"/>
          <w:szCs w:val="24"/>
        </w:rPr>
        <w:t>.</w:t>
      </w:r>
    </w:p>
    <w:p w14:paraId="26D78C44" w14:textId="7C162374" w:rsidR="001E1D39" w:rsidRPr="001E1D39" w:rsidRDefault="001E1D39" w:rsidP="005A1AC8">
      <w:pPr>
        <w:pStyle w:val="ListParagraph"/>
        <w:numPr>
          <w:ilvl w:val="0"/>
          <w:numId w:val="2"/>
        </w:numPr>
        <w:tabs>
          <w:tab w:val="left" w:pos="720"/>
        </w:tabs>
        <w:rPr>
          <w:sz w:val="24"/>
          <w:szCs w:val="24"/>
        </w:rPr>
      </w:pPr>
      <w:r w:rsidRPr="001E1D39">
        <w:rPr>
          <w:sz w:val="24"/>
          <w:szCs w:val="24"/>
        </w:rPr>
        <w:t>The last line in the “Effective Date” column on the Excel Agent/Attorney Fee Calculator is the day after the decision</w:t>
      </w:r>
      <w:r w:rsidR="00676FFE">
        <w:rPr>
          <w:sz w:val="24"/>
          <w:szCs w:val="24"/>
        </w:rPr>
        <w:t>.</w:t>
      </w:r>
    </w:p>
    <w:p w14:paraId="362CE5A5" w14:textId="785B1CC9" w:rsidR="001E1D39" w:rsidRPr="001E1D39" w:rsidRDefault="001E1D39" w:rsidP="005A1AC8">
      <w:pPr>
        <w:pStyle w:val="ListParagraph"/>
        <w:numPr>
          <w:ilvl w:val="0"/>
          <w:numId w:val="2"/>
        </w:numPr>
        <w:tabs>
          <w:tab w:val="left" w:pos="720"/>
        </w:tabs>
        <w:rPr>
          <w:sz w:val="24"/>
          <w:szCs w:val="24"/>
        </w:rPr>
      </w:pPr>
      <w:r w:rsidRPr="001E1D39">
        <w:rPr>
          <w:sz w:val="24"/>
          <w:szCs w:val="24"/>
        </w:rPr>
        <w:t xml:space="preserve">The “Calculate Through Date” field in the VBMS-A Automated Fee Calculator is the </w:t>
      </w:r>
      <w:r w:rsidRPr="001E1D39">
        <w:rPr>
          <w:sz w:val="24"/>
          <w:szCs w:val="24"/>
        </w:rPr>
        <w:lastRenderedPageBreak/>
        <w:t>day of the decision</w:t>
      </w:r>
      <w:r w:rsidR="00676FFE">
        <w:rPr>
          <w:sz w:val="24"/>
          <w:szCs w:val="24"/>
        </w:rPr>
        <w:t>.</w:t>
      </w:r>
    </w:p>
    <w:p w14:paraId="7372B5B8" w14:textId="77777777" w:rsidR="001E1D39" w:rsidRPr="001E1D39" w:rsidRDefault="001E1D39" w:rsidP="005A1AC8">
      <w:pPr>
        <w:pStyle w:val="ListParagraph"/>
        <w:numPr>
          <w:ilvl w:val="0"/>
          <w:numId w:val="2"/>
        </w:numPr>
        <w:tabs>
          <w:tab w:val="left" w:pos="720"/>
        </w:tabs>
        <w:rPr>
          <w:sz w:val="24"/>
          <w:szCs w:val="24"/>
        </w:rPr>
      </w:pPr>
      <w:r w:rsidRPr="001E1D39">
        <w:rPr>
          <w:sz w:val="24"/>
          <w:szCs w:val="24"/>
        </w:rPr>
        <w:t>The “Total Fee Including Assessment” field in the VBMS-A Automated Fee Calculator must include the assessment fee. </w:t>
      </w:r>
    </w:p>
    <w:p w14:paraId="18AB7F99" w14:textId="77777777" w:rsidR="001E1D39" w:rsidRDefault="001E1D39" w:rsidP="001E1D39">
      <w:pPr>
        <w:tabs>
          <w:tab w:val="left" w:pos="720"/>
        </w:tabs>
        <w:ind w:left="180"/>
        <w:rPr>
          <w:sz w:val="24"/>
          <w:szCs w:val="24"/>
        </w:rPr>
      </w:pPr>
    </w:p>
    <w:p w14:paraId="02A98F03" w14:textId="6378BF0E" w:rsidR="00DB5AB8" w:rsidRDefault="001E1D39" w:rsidP="00EC430D">
      <w:pPr>
        <w:tabs>
          <w:tab w:val="left" w:pos="720"/>
        </w:tabs>
        <w:ind w:left="180"/>
        <w:rPr>
          <w:sz w:val="24"/>
          <w:szCs w:val="24"/>
        </w:rPr>
      </w:pPr>
      <w:r w:rsidRPr="001E1D39">
        <w:rPr>
          <w:sz w:val="24"/>
          <w:szCs w:val="24"/>
        </w:rPr>
        <w:t xml:space="preserve">Missing award lines and </w:t>
      </w:r>
      <w:r w:rsidR="00D7178B">
        <w:rPr>
          <w:sz w:val="24"/>
          <w:szCs w:val="24"/>
        </w:rPr>
        <w:t xml:space="preserve">inputting the incorrect </w:t>
      </w:r>
      <w:r w:rsidRPr="001E1D39">
        <w:rPr>
          <w:sz w:val="24"/>
          <w:szCs w:val="24"/>
        </w:rPr>
        <w:t>end date are common errors with the manual audits. AAFCs are strongly encouraged to reach out to a senior AAFC or quality prior to overriding the VBMS-A fee calculator. AAFCs are also encouraged to continue to contact OAR</w:t>
      </w:r>
      <w:r w:rsidR="00EC430D">
        <w:rPr>
          <w:sz w:val="24"/>
          <w:szCs w:val="24"/>
        </w:rPr>
        <w:t xml:space="preserve"> and input IT tickets</w:t>
      </w:r>
      <w:r w:rsidRPr="001E1D39">
        <w:rPr>
          <w:sz w:val="24"/>
          <w:szCs w:val="24"/>
        </w:rPr>
        <w:t xml:space="preserve"> to review discrepancies </w:t>
      </w:r>
      <w:r w:rsidR="001561B3">
        <w:rPr>
          <w:sz w:val="24"/>
          <w:szCs w:val="24"/>
        </w:rPr>
        <w:t xml:space="preserve">after </w:t>
      </w:r>
      <w:r w:rsidR="00EC430D">
        <w:rPr>
          <w:sz w:val="24"/>
          <w:szCs w:val="24"/>
        </w:rPr>
        <w:t xml:space="preserve">the discrepancy is confirmed by another reviewer. </w:t>
      </w:r>
    </w:p>
    <w:p w14:paraId="154083B1" w14:textId="77777777" w:rsidR="002B6A38" w:rsidRDefault="002B6A38" w:rsidP="00AA7D1D">
      <w:pPr>
        <w:pStyle w:val="Heading1"/>
        <w:pBdr>
          <w:bottom w:val="thinThickLargeGap" w:sz="8" w:space="1" w:color="auto"/>
        </w:pBdr>
        <w:spacing w:before="173"/>
        <w:ind w:left="187" w:right="0"/>
        <w:rPr>
          <w:color w:val="001F5F"/>
          <w:sz w:val="24"/>
          <w:szCs w:val="24"/>
        </w:rPr>
      </w:pPr>
    </w:p>
    <w:p w14:paraId="5B78D257" w14:textId="700F47C0" w:rsidR="00E03D44" w:rsidRPr="00BE05B0" w:rsidRDefault="00AA7D1D" w:rsidP="00AA7D1D">
      <w:pPr>
        <w:pStyle w:val="Heading1"/>
        <w:pBdr>
          <w:bottom w:val="thinThickLargeGap" w:sz="8" w:space="1" w:color="auto"/>
        </w:pBdr>
        <w:spacing w:before="173"/>
        <w:ind w:left="187" w:right="0"/>
        <w:rPr>
          <w:color w:val="001F5F"/>
          <w:sz w:val="24"/>
          <w:szCs w:val="24"/>
        </w:rPr>
      </w:pPr>
      <w:bookmarkStart w:id="1" w:name="_Toc172643474"/>
      <w:r>
        <w:rPr>
          <w:color w:val="001F5F"/>
          <w:sz w:val="24"/>
          <w:szCs w:val="24"/>
        </w:rPr>
        <w:t>Util</w:t>
      </w:r>
      <w:r w:rsidR="00EC430D">
        <w:rPr>
          <w:color w:val="001F5F"/>
          <w:sz w:val="24"/>
          <w:szCs w:val="24"/>
        </w:rPr>
        <w:t>i</w:t>
      </w:r>
      <w:r>
        <w:rPr>
          <w:color w:val="001F5F"/>
          <w:sz w:val="24"/>
          <w:szCs w:val="24"/>
        </w:rPr>
        <w:t>ze Award Information Screen for Audits</w:t>
      </w:r>
      <w:r w:rsidR="00321A1B">
        <w:rPr>
          <w:color w:val="001F5F"/>
          <w:sz w:val="24"/>
          <w:szCs w:val="24"/>
        </w:rPr>
        <w:t xml:space="preserve"> </w:t>
      </w:r>
      <w:r>
        <w:rPr>
          <w:color w:val="001F5F"/>
          <w:sz w:val="24"/>
          <w:szCs w:val="24"/>
        </w:rPr>
        <w:t>(Historical Charts on Award Prints are Inaccurate)</w:t>
      </w:r>
      <w:bookmarkEnd w:id="1"/>
    </w:p>
    <w:p w14:paraId="1A9070EF" w14:textId="42B9308C"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sidR="003309EB">
        <w:rPr>
          <w:rStyle w:val="normaltextrun"/>
          <w:color w:val="000000"/>
          <w:bdr w:val="none" w:sz="0" w:space="0" w:color="auto" w:frame="1"/>
        </w:rPr>
        <w:t>AAFCs, AAFC Management, Authorization Quality Review Specialists (AQRS), Quality Review Team Management, Support Service Division Personnel and Management.</w:t>
      </w:r>
    </w:p>
    <w:p w14:paraId="5CF96C8F" w14:textId="257B504C" w:rsidR="008858D6" w:rsidRDefault="008858D6" w:rsidP="008858D6">
      <w:pPr>
        <w:pStyle w:val="BodyText"/>
        <w:spacing w:after="240"/>
        <w:ind w:left="187"/>
      </w:pPr>
      <w:r w:rsidRPr="00BE05B0">
        <w:rPr>
          <w:b/>
        </w:rPr>
        <w:t xml:space="preserve">Presenter: </w:t>
      </w:r>
      <w:r w:rsidR="00022CCF" w:rsidRPr="00022CCF">
        <w:t>Donald West, Management and Program Analyst, OAR</w:t>
      </w:r>
      <w:r>
        <w:t xml:space="preserve"> </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7CDE4EA0" w14:textId="77777777" w:rsidR="00696CE3" w:rsidRPr="00696CE3" w:rsidRDefault="00000000" w:rsidP="005A1AC8">
      <w:pPr>
        <w:numPr>
          <w:ilvl w:val="0"/>
          <w:numId w:val="1"/>
        </w:numPr>
        <w:tabs>
          <w:tab w:val="left" w:pos="720"/>
        </w:tabs>
        <w:ind w:left="540"/>
        <w:rPr>
          <w:sz w:val="24"/>
          <w:szCs w:val="24"/>
          <w:lang w:bidi="ar-SA"/>
        </w:rPr>
      </w:pPr>
      <w:hyperlink r:id="rId14" w:history="1">
        <w:r w:rsidR="00696CE3" w:rsidRPr="00696CE3">
          <w:rPr>
            <w:rStyle w:val="Hyperlink"/>
            <w:sz w:val="24"/>
            <w:szCs w:val="24"/>
            <w:lang w:bidi="ar-SA"/>
          </w:rPr>
          <w:t>M21-5 8.B.1.a., </w:t>
        </w:r>
      </w:hyperlink>
      <w:hyperlink r:id="rId15" w:history="1">
        <w:r w:rsidR="00696CE3" w:rsidRPr="00696CE3">
          <w:rPr>
            <w:rStyle w:val="Hyperlink"/>
            <w:i/>
            <w:iCs/>
            <w:sz w:val="24"/>
            <w:szCs w:val="24"/>
            <w:lang w:bidi="ar-SA"/>
          </w:rPr>
          <w:t>Process for Possible Direct Payment of Fees, Stage 3</w:t>
        </w:r>
      </w:hyperlink>
    </w:p>
    <w:p w14:paraId="777B52CC" w14:textId="77777777" w:rsidR="00696CE3" w:rsidRPr="00696CE3" w:rsidRDefault="00696CE3" w:rsidP="005A1AC8">
      <w:pPr>
        <w:numPr>
          <w:ilvl w:val="0"/>
          <w:numId w:val="1"/>
        </w:numPr>
        <w:tabs>
          <w:tab w:val="left" w:pos="720"/>
        </w:tabs>
        <w:ind w:left="540"/>
        <w:rPr>
          <w:sz w:val="24"/>
          <w:szCs w:val="24"/>
          <w:lang w:bidi="ar-SA"/>
        </w:rPr>
      </w:pPr>
      <w:r w:rsidRPr="00696CE3">
        <w:rPr>
          <w:sz w:val="24"/>
          <w:szCs w:val="24"/>
          <w:lang w:bidi="ar-SA"/>
        </w:rPr>
        <w:t>TMS course VA-4635201 Calculating and Deducting Agent and Attorney Fees</w:t>
      </w:r>
    </w:p>
    <w:p w14:paraId="512453EB" w14:textId="77777777" w:rsidR="00696CE3" w:rsidRPr="00696CE3" w:rsidRDefault="00000000" w:rsidP="005A1AC8">
      <w:pPr>
        <w:numPr>
          <w:ilvl w:val="0"/>
          <w:numId w:val="1"/>
        </w:numPr>
        <w:tabs>
          <w:tab w:val="left" w:pos="720"/>
        </w:tabs>
        <w:ind w:left="540"/>
        <w:rPr>
          <w:sz w:val="24"/>
          <w:szCs w:val="24"/>
          <w:lang w:bidi="ar-SA"/>
        </w:rPr>
      </w:pPr>
      <w:hyperlink r:id="rId16" w:history="1">
        <w:r w:rsidR="00696CE3" w:rsidRPr="00696CE3">
          <w:rPr>
            <w:rStyle w:val="Hyperlink"/>
            <w:sz w:val="24"/>
            <w:szCs w:val="24"/>
            <w:lang w:bidi="ar-SA"/>
          </w:rPr>
          <w:t xml:space="preserve">February 2024 </w:t>
        </w:r>
      </w:hyperlink>
      <w:hyperlink r:id="rId17" w:history="1">
        <w:r w:rsidR="00696CE3" w:rsidRPr="00696CE3">
          <w:rPr>
            <w:rStyle w:val="Hyperlink"/>
            <w:sz w:val="24"/>
            <w:szCs w:val="24"/>
            <w:lang w:bidi="ar-SA"/>
          </w:rPr>
          <w:t xml:space="preserve">National Agent </w:t>
        </w:r>
      </w:hyperlink>
      <w:hyperlink r:id="rId18" w:history="1">
        <w:r w:rsidR="00696CE3" w:rsidRPr="00696CE3">
          <w:rPr>
            <w:rStyle w:val="Hyperlink"/>
            <w:sz w:val="24"/>
            <w:szCs w:val="24"/>
            <w:lang w:bidi="ar-SA"/>
          </w:rPr>
          <w:t>and Attorney Fee Coordinator (AAFC) Call  Bulletin </w:t>
        </w:r>
      </w:hyperlink>
    </w:p>
    <w:p w14:paraId="52868B19" w14:textId="77777777" w:rsidR="00696CE3" w:rsidRDefault="00696CE3" w:rsidP="00C50655">
      <w:pPr>
        <w:ind w:left="540"/>
        <w:rPr>
          <w:sz w:val="24"/>
          <w:szCs w:val="24"/>
          <w:lang w:bidi="ar-SA"/>
        </w:rPr>
      </w:pPr>
    </w:p>
    <w:p w14:paraId="4E7EA990" w14:textId="77777777" w:rsidR="008858D6" w:rsidRDefault="008858D6" w:rsidP="008858D6">
      <w:pPr>
        <w:tabs>
          <w:tab w:val="left" w:pos="720"/>
        </w:tabs>
        <w:ind w:left="180"/>
        <w:rPr>
          <w:sz w:val="24"/>
          <w:szCs w:val="24"/>
          <w:lang w:bidi="ar-SA"/>
        </w:rPr>
      </w:pPr>
    </w:p>
    <w:p w14:paraId="2204A708" w14:textId="33444C3B" w:rsidR="00D82B48" w:rsidRPr="00D82B48" w:rsidRDefault="00D82B48" w:rsidP="00D82B48">
      <w:pPr>
        <w:tabs>
          <w:tab w:val="left" w:pos="720"/>
        </w:tabs>
        <w:ind w:left="180"/>
        <w:rPr>
          <w:sz w:val="24"/>
          <w:szCs w:val="24"/>
        </w:rPr>
      </w:pPr>
      <w:r w:rsidRPr="00D82B48">
        <w:rPr>
          <w:sz w:val="24"/>
          <w:szCs w:val="24"/>
        </w:rPr>
        <w:t>The award</w:t>
      </w:r>
      <w:r w:rsidR="00144469">
        <w:rPr>
          <w:sz w:val="24"/>
          <w:szCs w:val="24"/>
        </w:rPr>
        <w:t>s</w:t>
      </w:r>
      <w:r w:rsidRPr="00D82B48">
        <w:rPr>
          <w:sz w:val="24"/>
          <w:szCs w:val="24"/>
        </w:rPr>
        <w:t xml:space="preserve"> information screen can be accessed either through SHARE using Corporate Inquiries or by using VBMS – Core by selecting Awards Information from the Veteran menu.</w:t>
      </w:r>
    </w:p>
    <w:p w14:paraId="079BEEE7" w14:textId="77777777" w:rsidR="00144469" w:rsidRDefault="00144469" w:rsidP="00D82B48">
      <w:pPr>
        <w:tabs>
          <w:tab w:val="left" w:pos="720"/>
        </w:tabs>
        <w:ind w:left="180"/>
        <w:rPr>
          <w:sz w:val="24"/>
          <w:szCs w:val="24"/>
        </w:rPr>
      </w:pPr>
    </w:p>
    <w:p w14:paraId="7A486B09" w14:textId="11BD4A76" w:rsidR="009B0BC0" w:rsidRDefault="00FD0433" w:rsidP="00D82B48">
      <w:pPr>
        <w:tabs>
          <w:tab w:val="left" w:pos="720"/>
        </w:tabs>
        <w:ind w:left="180"/>
        <w:rPr>
          <w:sz w:val="24"/>
          <w:szCs w:val="24"/>
        </w:rPr>
      </w:pPr>
      <w:r>
        <w:rPr>
          <w:sz w:val="24"/>
          <w:szCs w:val="24"/>
        </w:rPr>
        <w:t xml:space="preserve">Prior to authorization, the </w:t>
      </w:r>
      <w:r w:rsidR="00851FC8">
        <w:rPr>
          <w:sz w:val="24"/>
          <w:szCs w:val="24"/>
        </w:rPr>
        <w:t xml:space="preserve">AAFCs must utilize </w:t>
      </w:r>
      <w:r w:rsidR="00F7065C">
        <w:rPr>
          <w:sz w:val="24"/>
          <w:szCs w:val="24"/>
        </w:rPr>
        <w:t>the awards information screen</w:t>
      </w:r>
      <w:r w:rsidR="00851FC8">
        <w:rPr>
          <w:sz w:val="24"/>
          <w:szCs w:val="24"/>
        </w:rPr>
        <w:t xml:space="preserve"> </w:t>
      </w:r>
      <w:r w:rsidR="000E02F2">
        <w:rPr>
          <w:sz w:val="24"/>
          <w:szCs w:val="24"/>
        </w:rPr>
        <w:t xml:space="preserve">to </w:t>
      </w:r>
      <w:r>
        <w:rPr>
          <w:sz w:val="24"/>
          <w:szCs w:val="24"/>
        </w:rPr>
        <w:t xml:space="preserve">complete the “Old </w:t>
      </w:r>
      <w:r w:rsidR="009B0BC0">
        <w:rPr>
          <w:sz w:val="24"/>
          <w:szCs w:val="24"/>
        </w:rPr>
        <w:t>Rate”</w:t>
      </w:r>
      <w:r w:rsidR="009B0BC0" w:rsidRPr="00D82B48">
        <w:rPr>
          <w:sz w:val="24"/>
          <w:szCs w:val="24"/>
        </w:rPr>
        <w:t xml:space="preserve"> column</w:t>
      </w:r>
      <w:r w:rsidR="009B0BC0">
        <w:rPr>
          <w:sz w:val="24"/>
          <w:szCs w:val="24"/>
        </w:rPr>
        <w:t xml:space="preserve"> on the manual Agent/Attorney Fee Calculator.</w:t>
      </w:r>
      <w:r w:rsidR="00462FCB">
        <w:rPr>
          <w:sz w:val="24"/>
          <w:szCs w:val="24"/>
        </w:rPr>
        <w:t xml:space="preserve"> </w:t>
      </w:r>
    </w:p>
    <w:p w14:paraId="2788A46A" w14:textId="62BFFC8C" w:rsidR="00D82B48" w:rsidRPr="00D82B48" w:rsidRDefault="009B0BC0" w:rsidP="00D82B48">
      <w:pPr>
        <w:tabs>
          <w:tab w:val="left" w:pos="720"/>
        </w:tabs>
        <w:ind w:left="180"/>
        <w:rPr>
          <w:sz w:val="24"/>
          <w:szCs w:val="24"/>
        </w:rPr>
      </w:pPr>
      <w:r>
        <w:rPr>
          <w:sz w:val="24"/>
          <w:szCs w:val="24"/>
        </w:rPr>
        <w:t xml:space="preserve"> </w:t>
      </w:r>
    </w:p>
    <w:p w14:paraId="40184D6D" w14:textId="2E9E0BBD" w:rsidR="00D82B48" w:rsidRPr="00D82B48" w:rsidRDefault="00D82B48" w:rsidP="00D82B48">
      <w:pPr>
        <w:tabs>
          <w:tab w:val="left" w:pos="720"/>
        </w:tabs>
        <w:ind w:left="180"/>
        <w:rPr>
          <w:sz w:val="24"/>
          <w:szCs w:val="24"/>
        </w:rPr>
      </w:pPr>
      <w:r w:rsidRPr="00D82B48">
        <w:rPr>
          <w:sz w:val="24"/>
          <w:szCs w:val="24"/>
        </w:rPr>
        <w:t>The screenshots that are uploaded at stage 3 of M21-5 8.B.1.a</w:t>
      </w:r>
      <w:r w:rsidR="00462FCB" w:rsidRPr="00462FCB">
        <w:rPr>
          <w:sz w:val="24"/>
          <w:szCs w:val="24"/>
        </w:rPr>
        <w:t>.</w:t>
      </w:r>
      <w:r w:rsidRPr="00D82B48">
        <w:rPr>
          <w:sz w:val="24"/>
          <w:szCs w:val="24"/>
        </w:rPr>
        <w:t xml:space="preserve"> Process for Possible Direct Payment of Fees</w:t>
      </w:r>
      <w:r w:rsidRPr="00D82B48">
        <w:rPr>
          <w:b/>
          <w:bCs/>
          <w:sz w:val="24"/>
          <w:szCs w:val="24"/>
        </w:rPr>
        <w:t xml:space="preserve"> </w:t>
      </w:r>
      <w:r w:rsidRPr="00D82B48">
        <w:rPr>
          <w:sz w:val="24"/>
          <w:szCs w:val="24"/>
        </w:rPr>
        <w:t>are required and will be used to verify the amounts used in the calculator.</w:t>
      </w:r>
    </w:p>
    <w:p w14:paraId="1EC7E1EF" w14:textId="77777777" w:rsidR="00D82B48" w:rsidRDefault="00D82B48" w:rsidP="008858D6">
      <w:pPr>
        <w:tabs>
          <w:tab w:val="left" w:pos="720"/>
        </w:tabs>
        <w:ind w:left="180"/>
        <w:rPr>
          <w:sz w:val="24"/>
          <w:szCs w:val="24"/>
        </w:rPr>
      </w:pPr>
    </w:p>
    <w:p w14:paraId="3D33D6DE" w14:textId="073EF808" w:rsidR="004B5A66" w:rsidRDefault="004B5A66" w:rsidP="004B5A66">
      <w:pPr>
        <w:tabs>
          <w:tab w:val="left" w:pos="720"/>
        </w:tabs>
        <w:ind w:left="180"/>
        <w:rPr>
          <w:sz w:val="24"/>
          <w:szCs w:val="24"/>
        </w:rPr>
      </w:pPr>
      <w:r>
        <w:rPr>
          <w:sz w:val="24"/>
          <w:szCs w:val="24"/>
        </w:rPr>
        <w:t>AAFCs should not utilize the historical charts on the award prin</w:t>
      </w:r>
      <w:r w:rsidR="002F07C8">
        <w:rPr>
          <w:sz w:val="24"/>
          <w:szCs w:val="24"/>
        </w:rPr>
        <w:t>t</w:t>
      </w:r>
      <w:r w:rsidR="00F32F4B">
        <w:rPr>
          <w:sz w:val="24"/>
          <w:szCs w:val="24"/>
        </w:rPr>
        <w:t>. Users have previously identified that the historical charts on the award print</w:t>
      </w:r>
      <w:r w:rsidR="00240A4A">
        <w:rPr>
          <w:sz w:val="24"/>
          <w:szCs w:val="24"/>
        </w:rPr>
        <w:t xml:space="preserve"> are inaccurate. </w:t>
      </w:r>
    </w:p>
    <w:p w14:paraId="452C185B" w14:textId="77777777" w:rsidR="00595BFE" w:rsidRDefault="00595BFE" w:rsidP="004B5A66">
      <w:pPr>
        <w:tabs>
          <w:tab w:val="left" w:pos="720"/>
        </w:tabs>
        <w:ind w:left="180"/>
        <w:rPr>
          <w:sz w:val="24"/>
          <w:szCs w:val="24"/>
        </w:rPr>
      </w:pPr>
    </w:p>
    <w:p w14:paraId="269BB817" w14:textId="1AFA2481" w:rsidR="00595BFE" w:rsidRDefault="00595BFE" w:rsidP="004B5A66">
      <w:pPr>
        <w:tabs>
          <w:tab w:val="left" w:pos="720"/>
        </w:tabs>
        <w:ind w:left="180"/>
        <w:rPr>
          <w:sz w:val="24"/>
          <w:szCs w:val="24"/>
        </w:rPr>
      </w:pPr>
      <w:r>
        <w:rPr>
          <w:sz w:val="24"/>
          <w:szCs w:val="24"/>
        </w:rPr>
        <w:t xml:space="preserve">For example, the historical award </w:t>
      </w:r>
      <w:r w:rsidR="00003CC9">
        <w:rPr>
          <w:sz w:val="24"/>
          <w:szCs w:val="24"/>
        </w:rPr>
        <w:t xml:space="preserve">chart on the award </w:t>
      </w:r>
      <w:r w:rsidR="00F27393">
        <w:rPr>
          <w:sz w:val="24"/>
          <w:szCs w:val="24"/>
        </w:rPr>
        <w:t xml:space="preserve">below </w:t>
      </w:r>
      <w:r w:rsidR="00003CC9">
        <w:rPr>
          <w:sz w:val="24"/>
          <w:szCs w:val="24"/>
        </w:rPr>
        <w:t xml:space="preserve">does not contain the 01/01/2023 line. The audit will not be accurate utilizing the historical award chart. The AAFC must utilize </w:t>
      </w:r>
      <w:r w:rsidR="008A3E89">
        <w:rPr>
          <w:sz w:val="24"/>
          <w:szCs w:val="24"/>
        </w:rPr>
        <w:t xml:space="preserve">the award information screen. </w:t>
      </w:r>
      <w:r w:rsidR="00603460">
        <w:rPr>
          <w:sz w:val="24"/>
          <w:szCs w:val="24"/>
        </w:rPr>
        <w:t xml:space="preserve">The award audit must include all dates from the award information screen and the draft award print. </w:t>
      </w:r>
    </w:p>
    <w:p w14:paraId="4EFE9BB4" w14:textId="77777777" w:rsidR="008A3E89" w:rsidRDefault="008A3E89" w:rsidP="004B5A66">
      <w:pPr>
        <w:tabs>
          <w:tab w:val="left" w:pos="720"/>
        </w:tabs>
        <w:ind w:left="180"/>
        <w:rPr>
          <w:sz w:val="24"/>
          <w:szCs w:val="24"/>
        </w:rPr>
      </w:pPr>
    </w:p>
    <w:p w14:paraId="4F86F881" w14:textId="01C4AF41" w:rsidR="008A3E89" w:rsidRPr="00F51498" w:rsidRDefault="008A3E89" w:rsidP="004B5A66">
      <w:pPr>
        <w:tabs>
          <w:tab w:val="left" w:pos="720"/>
        </w:tabs>
        <w:ind w:left="180"/>
        <w:rPr>
          <w:b/>
          <w:bCs/>
          <w:sz w:val="24"/>
          <w:szCs w:val="24"/>
        </w:rPr>
      </w:pPr>
      <w:r w:rsidRPr="00F51498">
        <w:rPr>
          <w:b/>
          <w:bCs/>
          <w:sz w:val="24"/>
          <w:szCs w:val="24"/>
        </w:rPr>
        <w:t>Award Information Screen</w:t>
      </w:r>
    </w:p>
    <w:p w14:paraId="77BB1677" w14:textId="77777777" w:rsidR="008A3E89" w:rsidRDefault="008A3E89" w:rsidP="004B5A66">
      <w:pPr>
        <w:tabs>
          <w:tab w:val="left" w:pos="720"/>
        </w:tabs>
        <w:ind w:left="180"/>
        <w:rPr>
          <w:sz w:val="24"/>
          <w:szCs w:val="24"/>
        </w:rPr>
      </w:pPr>
    </w:p>
    <w:p w14:paraId="12452FC4" w14:textId="32C76F67" w:rsidR="008A3E89" w:rsidRDefault="008A3E89" w:rsidP="004B5A66">
      <w:pPr>
        <w:tabs>
          <w:tab w:val="left" w:pos="720"/>
        </w:tabs>
        <w:ind w:left="180"/>
        <w:rPr>
          <w:sz w:val="24"/>
          <w:szCs w:val="24"/>
        </w:rPr>
      </w:pPr>
      <w:r w:rsidRPr="008A3E89">
        <w:rPr>
          <w:noProof/>
          <w:sz w:val="24"/>
          <w:szCs w:val="24"/>
        </w:rPr>
        <w:drawing>
          <wp:inline distT="0" distB="0" distL="0" distR="0" wp14:anchorId="2809A0C1" wp14:editId="45E642BE">
            <wp:extent cx="4922549" cy="1228725"/>
            <wp:effectExtent l="0" t="0" r="0" b="0"/>
            <wp:docPr id="22" name="Content Placeholder 21" descr="Award information screen showing the 1/1/23 line. ">
              <a:extLst xmlns:a="http://schemas.openxmlformats.org/drawingml/2006/main">
                <a:ext uri="{FF2B5EF4-FFF2-40B4-BE49-F238E27FC236}">
                  <a16:creationId xmlns:a16="http://schemas.microsoft.com/office/drawing/2014/main" id="{A5A30554-6966-3A73-6CA4-699E9F2228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2" name="Content Placeholder 21" descr="Award information screen showing the 1/1/23 line. ">
                      <a:extLst>
                        <a:ext uri="{FF2B5EF4-FFF2-40B4-BE49-F238E27FC236}">
                          <a16:creationId xmlns:a16="http://schemas.microsoft.com/office/drawing/2014/main" id="{A5A30554-6966-3A73-6CA4-699E9F222894}"/>
                        </a:ext>
                      </a:extLst>
                    </pic:cNvPr>
                    <pic:cNvPicPr>
                      <a:picLocks noGrp="1" noChangeAspect="1"/>
                    </pic:cNvPicPr>
                  </pic:nvPicPr>
                  <pic:blipFill>
                    <a:blip r:embed="rId19"/>
                    <a:stretch>
                      <a:fillRect/>
                    </a:stretch>
                  </pic:blipFill>
                  <pic:spPr>
                    <a:xfrm>
                      <a:off x="0" y="0"/>
                      <a:ext cx="4935402" cy="1231933"/>
                    </a:xfrm>
                    <a:prstGeom prst="rect">
                      <a:avLst/>
                    </a:prstGeom>
                  </pic:spPr>
                </pic:pic>
              </a:graphicData>
            </a:graphic>
          </wp:inline>
        </w:drawing>
      </w:r>
    </w:p>
    <w:p w14:paraId="24A3C46B" w14:textId="77777777" w:rsidR="00F32760" w:rsidRDefault="00F32760" w:rsidP="004B5A66">
      <w:pPr>
        <w:tabs>
          <w:tab w:val="left" w:pos="720"/>
        </w:tabs>
        <w:ind w:left="180"/>
        <w:rPr>
          <w:sz w:val="24"/>
          <w:szCs w:val="24"/>
        </w:rPr>
      </w:pPr>
    </w:p>
    <w:p w14:paraId="399E6EEF" w14:textId="77273333" w:rsidR="00BC5152" w:rsidRDefault="00BC5152" w:rsidP="004B5A66">
      <w:pPr>
        <w:tabs>
          <w:tab w:val="left" w:pos="720"/>
        </w:tabs>
        <w:ind w:left="180"/>
        <w:rPr>
          <w:sz w:val="24"/>
          <w:szCs w:val="24"/>
        </w:rPr>
      </w:pPr>
      <w:r>
        <w:rPr>
          <w:sz w:val="24"/>
          <w:szCs w:val="24"/>
        </w:rPr>
        <w:t xml:space="preserve">This audit reflects the correct fee amount of $637.34 because the </w:t>
      </w:r>
      <w:r w:rsidR="00533AB4">
        <w:rPr>
          <w:sz w:val="24"/>
          <w:szCs w:val="24"/>
        </w:rPr>
        <w:t xml:space="preserve">01/01/2023 line was included in the audit. </w:t>
      </w:r>
    </w:p>
    <w:p w14:paraId="58EC38BA" w14:textId="2D9B4B24" w:rsidR="00F51498" w:rsidRDefault="00F51498" w:rsidP="004B5A66">
      <w:pPr>
        <w:tabs>
          <w:tab w:val="left" w:pos="720"/>
        </w:tabs>
        <w:ind w:left="180"/>
        <w:rPr>
          <w:sz w:val="24"/>
          <w:szCs w:val="24"/>
        </w:rPr>
      </w:pPr>
      <w:r w:rsidRPr="00F51498">
        <w:rPr>
          <w:noProof/>
          <w:sz w:val="24"/>
          <w:szCs w:val="24"/>
        </w:rPr>
        <w:drawing>
          <wp:inline distT="0" distB="0" distL="0" distR="0" wp14:anchorId="671B28FB" wp14:editId="564EA7CB">
            <wp:extent cx="2943225" cy="1824499"/>
            <wp:effectExtent l="0" t="0" r="0" b="4445"/>
            <wp:docPr id="17" name="Content Placeholder 16" descr="Fee calculator showing the 1/1/23 line. ">
              <a:extLst xmlns:a="http://schemas.openxmlformats.org/drawingml/2006/main">
                <a:ext uri="{FF2B5EF4-FFF2-40B4-BE49-F238E27FC236}">
                  <a16:creationId xmlns:a16="http://schemas.microsoft.com/office/drawing/2014/main" id="{465A7101-B0E3-D79D-667F-E1BC85C15B7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Content Placeholder 16" descr="Fee calculator showing the 1/1/23 line. ">
                      <a:extLst>
                        <a:ext uri="{FF2B5EF4-FFF2-40B4-BE49-F238E27FC236}">
                          <a16:creationId xmlns:a16="http://schemas.microsoft.com/office/drawing/2014/main" id="{465A7101-B0E3-D79D-667F-E1BC85C15B75}"/>
                        </a:ext>
                      </a:extLst>
                    </pic:cNvPr>
                    <pic:cNvPicPr>
                      <a:picLocks noGrp="1" noChangeAspect="1"/>
                    </pic:cNvPicPr>
                  </pic:nvPicPr>
                  <pic:blipFill>
                    <a:blip r:embed="rId20"/>
                    <a:stretch>
                      <a:fillRect/>
                    </a:stretch>
                  </pic:blipFill>
                  <pic:spPr>
                    <a:xfrm>
                      <a:off x="0" y="0"/>
                      <a:ext cx="2944282" cy="1825154"/>
                    </a:xfrm>
                    <a:prstGeom prst="rect">
                      <a:avLst/>
                    </a:prstGeom>
                  </pic:spPr>
                </pic:pic>
              </a:graphicData>
            </a:graphic>
          </wp:inline>
        </w:drawing>
      </w:r>
    </w:p>
    <w:p w14:paraId="120DC837" w14:textId="77777777" w:rsidR="00F51498" w:rsidRDefault="00F51498" w:rsidP="004B5A66">
      <w:pPr>
        <w:tabs>
          <w:tab w:val="left" w:pos="720"/>
        </w:tabs>
        <w:ind w:left="180"/>
        <w:rPr>
          <w:sz w:val="24"/>
          <w:szCs w:val="24"/>
        </w:rPr>
      </w:pPr>
    </w:p>
    <w:p w14:paraId="57CE9201" w14:textId="77777777" w:rsidR="00F51498" w:rsidRDefault="00F51498" w:rsidP="004B5A66">
      <w:pPr>
        <w:tabs>
          <w:tab w:val="left" w:pos="720"/>
        </w:tabs>
        <w:ind w:left="180"/>
        <w:rPr>
          <w:b/>
          <w:bCs/>
          <w:sz w:val="24"/>
          <w:szCs w:val="24"/>
        </w:rPr>
      </w:pPr>
    </w:p>
    <w:p w14:paraId="2267A4BD" w14:textId="22880904" w:rsidR="00F32760" w:rsidRPr="00F51498" w:rsidRDefault="00F32760" w:rsidP="004B5A66">
      <w:pPr>
        <w:tabs>
          <w:tab w:val="left" w:pos="720"/>
        </w:tabs>
        <w:ind w:left="180"/>
        <w:rPr>
          <w:b/>
          <w:bCs/>
          <w:sz w:val="24"/>
          <w:szCs w:val="24"/>
        </w:rPr>
      </w:pPr>
      <w:r w:rsidRPr="00F51498">
        <w:rPr>
          <w:b/>
          <w:bCs/>
          <w:sz w:val="24"/>
          <w:szCs w:val="24"/>
        </w:rPr>
        <w:t>Historical Award Chart</w:t>
      </w:r>
    </w:p>
    <w:p w14:paraId="563D07AC" w14:textId="77777777" w:rsidR="00F32760" w:rsidRDefault="00F32760" w:rsidP="004B5A66">
      <w:pPr>
        <w:tabs>
          <w:tab w:val="left" w:pos="720"/>
        </w:tabs>
        <w:ind w:left="180"/>
        <w:rPr>
          <w:sz w:val="24"/>
          <w:szCs w:val="24"/>
        </w:rPr>
      </w:pPr>
    </w:p>
    <w:p w14:paraId="32B46CC8" w14:textId="02BEEE72" w:rsidR="00F32760" w:rsidRDefault="00F32760" w:rsidP="004B5A66">
      <w:pPr>
        <w:tabs>
          <w:tab w:val="left" w:pos="720"/>
        </w:tabs>
        <w:ind w:left="180"/>
        <w:rPr>
          <w:sz w:val="24"/>
          <w:szCs w:val="24"/>
        </w:rPr>
      </w:pPr>
      <w:r w:rsidRPr="00F32760">
        <w:rPr>
          <w:noProof/>
          <w:sz w:val="24"/>
          <w:szCs w:val="24"/>
        </w:rPr>
        <w:drawing>
          <wp:inline distT="0" distB="0" distL="0" distR="0" wp14:anchorId="71CE3ED0" wp14:editId="7075AE9B">
            <wp:extent cx="5813438" cy="1724025"/>
            <wp:effectExtent l="0" t="0" r="0" b="0"/>
            <wp:docPr id="12" name="Content Placeholder 11" descr="Historical award chart from the award print. ">
              <a:extLst xmlns:a="http://schemas.openxmlformats.org/drawingml/2006/main">
                <a:ext uri="{FF2B5EF4-FFF2-40B4-BE49-F238E27FC236}">
                  <a16:creationId xmlns:a16="http://schemas.microsoft.com/office/drawing/2014/main" id="{876AD7C6-2220-69A6-2EB3-6F5F00FA9D9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descr="Historical award chart from the award print. ">
                      <a:extLst>
                        <a:ext uri="{FF2B5EF4-FFF2-40B4-BE49-F238E27FC236}">
                          <a16:creationId xmlns:a16="http://schemas.microsoft.com/office/drawing/2014/main" id="{876AD7C6-2220-69A6-2EB3-6F5F00FA9D99}"/>
                        </a:ext>
                      </a:extLst>
                    </pic:cNvPr>
                    <pic:cNvPicPr>
                      <a:picLocks noGrp="1" noChangeAspect="1"/>
                    </pic:cNvPicPr>
                  </pic:nvPicPr>
                  <pic:blipFill>
                    <a:blip r:embed="rId21"/>
                    <a:stretch>
                      <a:fillRect/>
                    </a:stretch>
                  </pic:blipFill>
                  <pic:spPr>
                    <a:xfrm>
                      <a:off x="0" y="0"/>
                      <a:ext cx="5815241" cy="1724560"/>
                    </a:xfrm>
                    <a:prstGeom prst="rect">
                      <a:avLst/>
                    </a:prstGeom>
                  </pic:spPr>
                </pic:pic>
              </a:graphicData>
            </a:graphic>
          </wp:inline>
        </w:drawing>
      </w:r>
    </w:p>
    <w:p w14:paraId="2AAB9901" w14:textId="29EAA381" w:rsidR="0039591E" w:rsidRDefault="0039591E" w:rsidP="004B5A66">
      <w:pPr>
        <w:tabs>
          <w:tab w:val="left" w:pos="720"/>
        </w:tabs>
        <w:ind w:left="180"/>
        <w:rPr>
          <w:sz w:val="24"/>
          <w:szCs w:val="24"/>
        </w:rPr>
      </w:pPr>
      <w:r>
        <w:rPr>
          <w:sz w:val="24"/>
          <w:szCs w:val="24"/>
        </w:rPr>
        <w:t xml:space="preserve">This audit is inaccurate because it </w:t>
      </w:r>
      <w:r w:rsidR="007E7D20">
        <w:rPr>
          <w:sz w:val="24"/>
          <w:szCs w:val="24"/>
        </w:rPr>
        <w:t xml:space="preserve">utilized the inaccurate historical award chart which did not indicate the Veteran’s rate increased on 01/01/2023. </w:t>
      </w:r>
    </w:p>
    <w:p w14:paraId="60E49BA4" w14:textId="40B44522" w:rsidR="004B5A66" w:rsidRDefault="00E5223F" w:rsidP="008858D6">
      <w:pPr>
        <w:tabs>
          <w:tab w:val="left" w:pos="720"/>
        </w:tabs>
        <w:ind w:left="180"/>
        <w:rPr>
          <w:sz w:val="24"/>
          <w:szCs w:val="24"/>
        </w:rPr>
      </w:pPr>
      <w:r w:rsidRPr="00E5223F">
        <w:rPr>
          <w:noProof/>
          <w:sz w:val="24"/>
          <w:szCs w:val="24"/>
        </w:rPr>
        <w:lastRenderedPageBreak/>
        <w:drawing>
          <wp:inline distT="0" distB="0" distL="0" distR="0" wp14:anchorId="5ECD01FD" wp14:editId="79D2428A">
            <wp:extent cx="3514725" cy="2333625"/>
            <wp:effectExtent l="0" t="0" r="9525" b="9525"/>
            <wp:docPr id="21" name="Content Placeholder 20" descr="Fee calculator without the 1/1/23 line.  ">
              <a:extLst xmlns:a="http://schemas.openxmlformats.org/drawingml/2006/main">
                <a:ext uri="{FF2B5EF4-FFF2-40B4-BE49-F238E27FC236}">
                  <a16:creationId xmlns:a16="http://schemas.microsoft.com/office/drawing/2014/main" id="{4BED6609-E052-C4F7-5B78-D172C710398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 name="Content Placeholder 20" descr="Fee calculator without the 1/1/23 line.  ">
                      <a:extLst>
                        <a:ext uri="{FF2B5EF4-FFF2-40B4-BE49-F238E27FC236}">
                          <a16:creationId xmlns:a16="http://schemas.microsoft.com/office/drawing/2014/main" id="{4BED6609-E052-C4F7-5B78-D172C710398C}"/>
                        </a:ext>
                      </a:extLst>
                    </pic:cNvPr>
                    <pic:cNvPicPr>
                      <a:picLocks noGrp="1" noChangeAspect="1"/>
                    </pic:cNvPicPr>
                  </pic:nvPicPr>
                  <pic:blipFill>
                    <a:blip r:embed="rId22"/>
                    <a:stretch>
                      <a:fillRect/>
                    </a:stretch>
                  </pic:blipFill>
                  <pic:spPr>
                    <a:xfrm>
                      <a:off x="0" y="0"/>
                      <a:ext cx="3514725" cy="2333625"/>
                    </a:xfrm>
                    <a:prstGeom prst="rect">
                      <a:avLst/>
                    </a:prstGeom>
                  </pic:spPr>
                </pic:pic>
              </a:graphicData>
            </a:graphic>
          </wp:inline>
        </w:drawing>
      </w:r>
    </w:p>
    <w:p w14:paraId="6B7DF001" w14:textId="136A28C2" w:rsidR="00B1610F" w:rsidRDefault="00B1610F" w:rsidP="008858D6">
      <w:pPr>
        <w:tabs>
          <w:tab w:val="left" w:pos="720"/>
        </w:tabs>
        <w:ind w:left="180"/>
        <w:rPr>
          <w:sz w:val="24"/>
          <w:szCs w:val="24"/>
        </w:rPr>
      </w:pPr>
    </w:p>
    <w:p w14:paraId="5C1EF9AA" w14:textId="77777777" w:rsidR="00DF2EDE" w:rsidRDefault="00DF2EDE" w:rsidP="008858D6">
      <w:pPr>
        <w:tabs>
          <w:tab w:val="left" w:pos="720"/>
        </w:tabs>
        <w:ind w:left="180"/>
        <w:rPr>
          <w:sz w:val="24"/>
          <w:szCs w:val="24"/>
        </w:rPr>
      </w:pPr>
    </w:p>
    <w:p w14:paraId="1B1C9C27" w14:textId="52F48609" w:rsidR="006D5495" w:rsidRPr="00BE05B0" w:rsidRDefault="002B6A38" w:rsidP="00B95D84">
      <w:pPr>
        <w:pStyle w:val="Heading1"/>
        <w:pBdr>
          <w:bottom w:val="thinThickLargeGap" w:sz="8" w:space="1" w:color="auto"/>
        </w:pBdr>
        <w:ind w:left="187" w:right="0"/>
        <w:rPr>
          <w:color w:val="001F5F"/>
          <w:sz w:val="24"/>
          <w:szCs w:val="24"/>
        </w:rPr>
      </w:pPr>
      <w:bookmarkStart w:id="2" w:name="_Toc172643475"/>
      <w:r>
        <w:rPr>
          <w:color w:val="001F5F"/>
          <w:sz w:val="24"/>
          <w:szCs w:val="24"/>
        </w:rPr>
        <w:t>P</w:t>
      </w:r>
      <w:r w:rsidR="00321A1B">
        <w:rPr>
          <w:color w:val="001F5F"/>
          <w:sz w:val="24"/>
          <w:szCs w:val="24"/>
        </w:rPr>
        <w:t xml:space="preserve">artial </w:t>
      </w:r>
      <w:r w:rsidR="00321A1B" w:rsidRPr="00321A1B">
        <w:rPr>
          <w:i/>
          <w:iCs/>
          <w:color w:val="001F5F"/>
          <w:sz w:val="24"/>
          <w:szCs w:val="24"/>
        </w:rPr>
        <w:t>Rosinski</w:t>
      </w:r>
      <w:r w:rsidR="00321A1B">
        <w:rPr>
          <w:color w:val="001F5F"/>
          <w:sz w:val="24"/>
          <w:szCs w:val="24"/>
        </w:rPr>
        <w:t xml:space="preserve"> (06J6) on Attorney Fee Release Memo</w:t>
      </w:r>
      <w:bookmarkEnd w:id="2"/>
    </w:p>
    <w:p w14:paraId="13D56EBA" w14:textId="6921F441"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sidR="003309EB">
        <w:rPr>
          <w:rStyle w:val="normaltextrun"/>
          <w:color w:val="000000"/>
          <w:bdr w:val="none" w:sz="0" w:space="0" w:color="auto" w:frame="1"/>
        </w:rPr>
        <w:t>AAFCs, AAFC Management, Authorization Quality Review Specialists (AQRS), Quality Review Team Management, Support Service Division Personnel and Management.</w:t>
      </w:r>
    </w:p>
    <w:p w14:paraId="6CD348F8" w14:textId="1489D449" w:rsidR="008858D6" w:rsidRDefault="008858D6" w:rsidP="008858D6">
      <w:pPr>
        <w:pStyle w:val="BodyText"/>
        <w:spacing w:after="240"/>
        <w:ind w:left="187"/>
      </w:pPr>
      <w:r w:rsidRPr="00BE05B0">
        <w:rPr>
          <w:b/>
        </w:rPr>
        <w:t xml:space="preserve">Presenter: </w:t>
      </w:r>
      <w:r w:rsidR="00494B74">
        <w:t>Adelle Degan, System and Procedure Analyst, OFM</w:t>
      </w:r>
    </w:p>
    <w:p w14:paraId="5A5516D3" w14:textId="77777777" w:rsidR="008C2660" w:rsidRDefault="008C2660" w:rsidP="008C2660">
      <w:pPr>
        <w:tabs>
          <w:tab w:val="left" w:pos="720"/>
        </w:tabs>
        <w:ind w:left="187"/>
        <w:rPr>
          <w:sz w:val="24"/>
          <w:szCs w:val="24"/>
        </w:rPr>
      </w:pPr>
      <w:r w:rsidRPr="008C2660">
        <w:rPr>
          <w:sz w:val="24"/>
          <w:szCs w:val="24"/>
        </w:rPr>
        <w:t>When the award for a retroactive payment only covers part of the attorney fees (partial Rosinski), the 06J6 automated transaction will occur in the background to create an accountable balance in eMPWR-VA for the shortfall of attorney fees that could not be offset by the retroactive award. </w:t>
      </w:r>
    </w:p>
    <w:p w14:paraId="203BF734" w14:textId="77777777" w:rsidR="008C2660" w:rsidRDefault="008C2660" w:rsidP="008C2660">
      <w:pPr>
        <w:tabs>
          <w:tab w:val="left" w:pos="720"/>
        </w:tabs>
        <w:ind w:left="187"/>
        <w:rPr>
          <w:sz w:val="24"/>
          <w:szCs w:val="24"/>
        </w:rPr>
      </w:pPr>
    </w:p>
    <w:p w14:paraId="64CC6A09" w14:textId="77777777" w:rsidR="008C2660" w:rsidRDefault="008C2660" w:rsidP="008C2660">
      <w:pPr>
        <w:tabs>
          <w:tab w:val="left" w:pos="720"/>
        </w:tabs>
        <w:ind w:left="187"/>
        <w:rPr>
          <w:sz w:val="24"/>
          <w:szCs w:val="24"/>
        </w:rPr>
      </w:pPr>
      <w:r w:rsidRPr="008C2660">
        <w:rPr>
          <w:sz w:val="24"/>
          <w:szCs w:val="24"/>
        </w:rPr>
        <w:t>These funds will appear as two separate line items on the Accountable Balance in eMPWR-VA with the same date:</w:t>
      </w:r>
    </w:p>
    <w:p w14:paraId="59A4A6C8" w14:textId="77777777" w:rsidR="000B1585" w:rsidRDefault="000B1585" w:rsidP="008C2660">
      <w:pPr>
        <w:tabs>
          <w:tab w:val="left" w:pos="720"/>
        </w:tabs>
        <w:ind w:left="187"/>
        <w:rPr>
          <w:sz w:val="24"/>
          <w:szCs w:val="24"/>
        </w:rPr>
      </w:pPr>
    </w:p>
    <w:p w14:paraId="2E8B8112" w14:textId="0E2A8838" w:rsidR="000B1585" w:rsidRDefault="000B1585" w:rsidP="008C2660">
      <w:pPr>
        <w:tabs>
          <w:tab w:val="left" w:pos="720"/>
        </w:tabs>
        <w:ind w:left="187"/>
        <w:rPr>
          <w:sz w:val="24"/>
          <w:szCs w:val="24"/>
        </w:rPr>
      </w:pPr>
      <w:r w:rsidRPr="000B1585">
        <w:rPr>
          <w:noProof/>
          <w:sz w:val="24"/>
          <w:szCs w:val="24"/>
        </w:rPr>
        <w:drawing>
          <wp:inline distT="0" distB="0" distL="0" distR="0" wp14:anchorId="10B88E82" wp14:editId="44F55C0B">
            <wp:extent cx="5654615" cy="841740"/>
            <wp:effectExtent l="133350" t="114300" r="137160" b="168275"/>
            <wp:docPr id="13" name="Picture 13" descr="eMPWR-VA offset screenshot">
              <a:extLst xmlns:a="http://schemas.openxmlformats.org/drawingml/2006/main">
                <a:ext uri="{FF2B5EF4-FFF2-40B4-BE49-F238E27FC236}">
                  <a16:creationId xmlns:a16="http://schemas.microsoft.com/office/drawing/2014/main" id="{DB51B2F1-A16F-98AC-3490-A2DD995F37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eMPWR-VA offset screenshot">
                      <a:extLst>
                        <a:ext uri="{FF2B5EF4-FFF2-40B4-BE49-F238E27FC236}">
                          <a16:creationId xmlns:a16="http://schemas.microsoft.com/office/drawing/2014/main" id="{DB51B2F1-A16F-98AC-3490-A2DD995F3792}"/>
                        </a:ext>
                      </a:extLst>
                    </pic:cNvPr>
                    <pic:cNvPicPr>
                      <a:picLocks noChangeAspect="1"/>
                    </pic:cNvPicPr>
                  </pic:nvPicPr>
                  <pic:blipFill>
                    <a:blip r:embed="rId23"/>
                    <a:stretch>
                      <a:fillRect/>
                    </a:stretch>
                  </pic:blipFill>
                  <pic:spPr>
                    <a:xfrm>
                      <a:off x="0" y="0"/>
                      <a:ext cx="5698246" cy="8482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12FB91D" w14:textId="77777777" w:rsidR="008C2660" w:rsidRDefault="008C2660" w:rsidP="008C2660">
      <w:pPr>
        <w:tabs>
          <w:tab w:val="left" w:pos="720"/>
        </w:tabs>
        <w:ind w:left="187"/>
        <w:rPr>
          <w:sz w:val="24"/>
          <w:szCs w:val="24"/>
        </w:rPr>
      </w:pPr>
    </w:p>
    <w:p w14:paraId="36383868" w14:textId="0E35B822" w:rsidR="00B90D9B" w:rsidRDefault="00B90D9B" w:rsidP="00B90D9B">
      <w:pPr>
        <w:tabs>
          <w:tab w:val="left" w:pos="720"/>
        </w:tabs>
        <w:ind w:left="187"/>
        <w:rPr>
          <w:sz w:val="24"/>
          <w:szCs w:val="24"/>
        </w:rPr>
      </w:pPr>
      <w:r w:rsidRPr="00B90D9B">
        <w:rPr>
          <w:sz w:val="24"/>
          <w:szCs w:val="24"/>
        </w:rPr>
        <w:t>The sum of these offsets will equal the amount that appears on the Attorney Fee Release Memo. Because the 06J1 Release of Award Offset Balance – One Time Payment transaction only allows a user to select one Award Offset</w:t>
      </w:r>
      <w:r>
        <w:rPr>
          <w:sz w:val="24"/>
          <w:szCs w:val="24"/>
        </w:rPr>
        <w:t xml:space="preserve"> </w:t>
      </w:r>
      <w:r w:rsidRPr="00B90D9B">
        <w:rPr>
          <w:sz w:val="24"/>
          <w:szCs w:val="24"/>
        </w:rPr>
        <w:t xml:space="preserve">Accountable Balance for each transaction, two 06J1 transactions must be processed in this scenario, one of which will include the VA assessment. Finance should not request two separate Attorney Fee Release memos when the 06J6 creates a partial Accountable </w:t>
      </w:r>
      <w:r w:rsidRPr="00B90D9B">
        <w:rPr>
          <w:sz w:val="24"/>
          <w:szCs w:val="24"/>
        </w:rPr>
        <w:lastRenderedPageBreak/>
        <w:t>Balance. </w:t>
      </w:r>
    </w:p>
    <w:p w14:paraId="2CCA7002" w14:textId="77777777" w:rsidR="00B90D9B" w:rsidRPr="00B90D9B" w:rsidRDefault="00B90D9B" w:rsidP="00B90D9B">
      <w:pPr>
        <w:tabs>
          <w:tab w:val="left" w:pos="720"/>
        </w:tabs>
        <w:ind w:left="187"/>
        <w:rPr>
          <w:sz w:val="24"/>
          <w:szCs w:val="24"/>
        </w:rPr>
      </w:pPr>
    </w:p>
    <w:p w14:paraId="25D8AD2C" w14:textId="77777777" w:rsidR="00B90D9B" w:rsidRPr="00B90D9B" w:rsidRDefault="00B90D9B" w:rsidP="00B90D9B">
      <w:pPr>
        <w:tabs>
          <w:tab w:val="left" w:pos="720"/>
        </w:tabs>
        <w:ind w:left="187"/>
        <w:rPr>
          <w:sz w:val="24"/>
          <w:szCs w:val="24"/>
        </w:rPr>
      </w:pPr>
      <w:r w:rsidRPr="00B90D9B">
        <w:rPr>
          <w:sz w:val="24"/>
          <w:szCs w:val="24"/>
        </w:rPr>
        <w:t>In this example from the Award Offset screen above, the two separate attorney fee offsets equal the total amount shown on the Attorney Fee Release Memo ($471.81+$576.12=$1,047.93):</w:t>
      </w:r>
    </w:p>
    <w:p w14:paraId="48FCE2CC" w14:textId="77777777" w:rsidR="008C2660" w:rsidRDefault="008C2660" w:rsidP="008C2660">
      <w:pPr>
        <w:tabs>
          <w:tab w:val="left" w:pos="720"/>
        </w:tabs>
        <w:ind w:left="187"/>
        <w:rPr>
          <w:sz w:val="24"/>
          <w:szCs w:val="24"/>
        </w:rPr>
      </w:pPr>
    </w:p>
    <w:p w14:paraId="531A2FBE" w14:textId="374C139E" w:rsidR="008C2660" w:rsidRPr="008C2660" w:rsidRDefault="002970E0" w:rsidP="008C2660">
      <w:pPr>
        <w:tabs>
          <w:tab w:val="left" w:pos="720"/>
        </w:tabs>
        <w:ind w:left="187"/>
        <w:rPr>
          <w:sz w:val="24"/>
          <w:szCs w:val="24"/>
        </w:rPr>
      </w:pPr>
      <w:r w:rsidRPr="002970E0">
        <w:rPr>
          <w:noProof/>
          <w:sz w:val="24"/>
          <w:szCs w:val="24"/>
        </w:rPr>
        <w:drawing>
          <wp:inline distT="0" distB="0" distL="0" distR="0" wp14:anchorId="7C995C1A" wp14:editId="19E55834">
            <wp:extent cx="6121400" cy="1410335"/>
            <wp:effectExtent l="0" t="0" r="0" b="0"/>
            <wp:docPr id="11" name="Picture 10" descr="screenshot of release memo ">
              <a:extLst xmlns:a="http://schemas.openxmlformats.org/drawingml/2006/main">
                <a:ext uri="{FF2B5EF4-FFF2-40B4-BE49-F238E27FC236}">
                  <a16:creationId xmlns:a16="http://schemas.microsoft.com/office/drawing/2014/main" id="{D94E28A9-AC22-059B-F61D-F823A4613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screenshot of release memo ">
                      <a:extLst>
                        <a:ext uri="{FF2B5EF4-FFF2-40B4-BE49-F238E27FC236}">
                          <a16:creationId xmlns:a16="http://schemas.microsoft.com/office/drawing/2014/main" id="{D94E28A9-AC22-059B-F61D-F823A4613AA0}"/>
                        </a:ext>
                      </a:extLst>
                    </pic:cNvPr>
                    <pic:cNvPicPr>
                      <a:picLocks noChangeAspect="1"/>
                    </pic:cNvPicPr>
                  </pic:nvPicPr>
                  <pic:blipFill>
                    <a:blip r:embed="rId24"/>
                    <a:stretch>
                      <a:fillRect/>
                    </a:stretch>
                  </pic:blipFill>
                  <pic:spPr>
                    <a:xfrm>
                      <a:off x="0" y="0"/>
                      <a:ext cx="6121400" cy="1410335"/>
                    </a:xfrm>
                    <a:prstGeom prst="rect">
                      <a:avLst/>
                    </a:prstGeom>
                  </pic:spPr>
                </pic:pic>
              </a:graphicData>
            </a:graphic>
          </wp:inline>
        </w:drawing>
      </w:r>
    </w:p>
    <w:p w14:paraId="5A3D767B" w14:textId="77777777" w:rsidR="008C2660" w:rsidRPr="008C2660" w:rsidRDefault="008C2660" w:rsidP="008C2660">
      <w:pPr>
        <w:tabs>
          <w:tab w:val="left" w:pos="720"/>
        </w:tabs>
        <w:ind w:left="187"/>
        <w:rPr>
          <w:sz w:val="24"/>
          <w:szCs w:val="24"/>
        </w:rPr>
      </w:pPr>
    </w:p>
    <w:p w14:paraId="56EE85F3" w14:textId="35CE0346" w:rsidR="00A47173" w:rsidRPr="00BE05B0" w:rsidRDefault="0020106E" w:rsidP="00B50F9D">
      <w:pPr>
        <w:pStyle w:val="Heading1"/>
        <w:pBdr>
          <w:bottom w:val="thinThickLargeGap" w:sz="8" w:space="1" w:color="auto"/>
        </w:pBdr>
        <w:spacing w:before="173"/>
        <w:ind w:left="187" w:right="0"/>
        <w:rPr>
          <w:color w:val="001F5F"/>
          <w:sz w:val="24"/>
          <w:szCs w:val="24"/>
        </w:rPr>
      </w:pPr>
      <w:bookmarkStart w:id="3" w:name="_Toc172643476"/>
      <w:r>
        <w:rPr>
          <w:color w:val="001F5F"/>
          <w:sz w:val="24"/>
          <w:szCs w:val="24"/>
        </w:rPr>
        <w:t>0</w:t>
      </w:r>
      <w:r w:rsidR="003A4005">
        <w:rPr>
          <w:color w:val="001F5F"/>
          <w:sz w:val="24"/>
          <w:szCs w:val="24"/>
        </w:rPr>
        <w:t>4E Requirement Clarification</w:t>
      </w:r>
      <w:bookmarkEnd w:id="3"/>
    </w:p>
    <w:p w14:paraId="7E058931" w14:textId="78CB3D4E"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sidR="003309EB">
        <w:rPr>
          <w:rStyle w:val="normaltextrun"/>
          <w:color w:val="000000"/>
          <w:bdr w:val="none" w:sz="0" w:space="0" w:color="auto" w:frame="1"/>
        </w:rPr>
        <w:t>AAFCs, AAFC Management, Authorization Quality Review Specialists (AQRS), Quality Review Team Management, Support Service Division Personnel and Management.</w:t>
      </w:r>
    </w:p>
    <w:p w14:paraId="0CE40533" w14:textId="47DB0B77" w:rsidR="008858D6" w:rsidRDefault="008858D6" w:rsidP="008858D6">
      <w:pPr>
        <w:pStyle w:val="BodyText"/>
        <w:spacing w:after="240"/>
        <w:ind w:left="187"/>
      </w:pPr>
      <w:r w:rsidRPr="00BE05B0">
        <w:rPr>
          <w:b/>
        </w:rPr>
        <w:t xml:space="preserve">Presenter: </w:t>
      </w:r>
      <w:r w:rsidR="00333AA7">
        <w:t>Adelle Degan, System and Procedure Analyst, OFM</w:t>
      </w:r>
    </w:p>
    <w:p w14:paraId="3005729D" w14:textId="77777777" w:rsidR="00002D7E" w:rsidRPr="00002D7E" w:rsidRDefault="00002D7E" w:rsidP="00002D7E">
      <w:pPr>
        <w:tabs>
          <w:tab w:val="left" w:pos="720"/>
        </w:tabs>
        <w:ind w:left="180"/>
        <w:rPr>
          <w:sz w:val="24"/>
          <w:szCs w:val="24"/>
          <w:lang w:bidi="ar-SA"/>
        </w:rPr>
      </w:pPr>
      <w:r w:rsidRPr="00002D7E">
        <w:rPr>
          <w:sz w:val="24"/>
          <w:szCs w:val="24"/>
          <w:lang w:bidi="ar-SA"/>
        </w:rPr>
        <w:t xml:space="preserve">When an Audit Error Worksheet (AEW) is received after an 06A transaction has been paid or an 06J6 (Rosinski) Accountable Balance has been released via 06J1 transaction to an attorney, the SSD Finance that processed the 06A or 06J1 to release 06J6 attorney fee will need to establish a debt (04E) to collect the funds from the Veteran. </w:t>
      </w:r>
    </w:p>
    <w:p w14:paraId="5C0AC088" w14:textId="77777777" w:rsidR="00002D7E" w:rsidRPr="00002D7E" w:rsidRDefault="00002D7E" w:rsidP="00002D7E">
      <w:pPr>
        <w:tabs>
          <w:tab w:val="left" w:pos="720"/>
        </w:tabs>
        <w:ind w:left="180"/>
        <w:rPr>
          <w:sz w:val="24"/>
          <w:szCs w:val="24"/>
          <w:lang w:bidi="ar-SA"/>
        </w:rPr>
      </w:pPr>
    </w:p>
    <w:p w14:paraId="238916E5" w14:textId="77777777" w:rsidR="00002D7E" w:rsidRPr="00002D7E" w:rsidRDefault="00002D7E" w:rsidP="00002D7E">
      <w:pPr>
        <w:tabs>
          <w:tab w:val="left" w:pos="720"/>
        </w:tabs>
        <w:ind w:left="180"/>
        <w:rPr>
          <w:sz w:val="24"/>
          <w:szCs w:val="24"/>
          <w:lang w:bidi="ar-SA"/>
        </w:rPr>
      </w:pPr>
      <w:r w:rsidRPr="00002D7E">
        <w:rPr>
          <w:sz w:val="24"/>
          <w:szCs w:val="24"/>
          <w:lang w:bidi="ar-SA"/>
        </w:rPr>
        <w:t>The Claims processor will send a memo titled “AEW Letter to Finance” instructing the SSD Finance to establish a collectible 04E transaction for the appropriate amount to be collected. The purpose of the 04E is to recoup from the Veteran the 06A/06J6 VA paid out of the appropriation.  </w:t>
      </w:r>
    </w:p>
    <w:p w14:paraId="5D4021D6" w14:textId="77777777" w:rsidR="00002D7E" w:rsidRPr="00002D7E" w:rsidRDefault="00002D7E" w:rsidP="00002D7E">
      <w:pPr>
        <w:tabs>
          <w:tab w:val="left" w:pos="720"/>
        </w:tabs>
        <w:ind w:left="180"/>
        <w:rPr>
          <w:sz w:val="24"/>
          <w:szCs w:val="24"/>
          <w:lang w:bidi="ar-SA"/>
        </w:rPr>
      </w:pPr>
    </w:p>
    <w:p w14:paraId="53993B85" w14:textId="005EF5FF" w:rsidR="00002D7E" w:rsidRDefault="00002D7E" w:rsidP="00002D7E">
      <w:pPr>
        <w:tabs>
          <w:tab w:val="left" w:pos="720"/>
        </w:tabs>
        <w:ind w:left="180"/>
        <w:rPr>
          <w:sz w:val="24"/>
          <w:szCs w:val="24"/>
          <w:lang w:bidi="ar-SA"/>
        </w:rPr>
      </w:pPr>
      <w:r w:rsidRPr="00002D7E">
        <w:rPr>
          <w:sz w:val="24"/>
          <w:szCs w:val="24"/>
          <w:lang w:bidi="ar-SA"/>
        </w:rPr>
        <w:t>An AEW may come back before an attorney fee is paid (by 06A or 06J1 when a 06J6 has established an Accountable Balance). The procedures above will still be applicable and the claims processor working on the AEW will send the memo to the SSD.</w:t>
      </w:r>
    </w:p>
    <w:p w14:paraId="35343F1F" w14:textId="77777777" w:rsidR="0018499D" w:rsidRDefault="0018499D" w:rsidP="0018499D">
      <w:pPr>
        <w:tabs>
          <w:tab w:val="left" w:pos="720"/>
        </w:tabs>
        <w:ind w:left="180"/>
        <w:rPr>
          <w:sz w:val="24"/>
          <w:szCs w:val="24"/>
          <w:lang w:bidi="ar-SA"/>
        </w:rPr>
      </w:pPr>
    </w:p>
    <w:p w14:paraId="5DB7E271" w14:textId="0698F679" w:rsidR="0018499D" w:rsidRPr="0018499D" w:rsidRDefault="0018499D" w:rsidP="0018499D">
      <w:pPr>
        <w:tabs>
          <w:tab w:val="left" w:pos="720"/>
        </w:tabs>
        <w:ind w:left="180"/>
        <w:rPr>
          <w:sz w:val="24"/>
          <w:szCs w:val="24"/>
          <w:lang w:bidi="ar-SA"/>
        </w:rPr>
      </w:pPr>
      <w:r w:rsidRPr="0018499D">
        <w:rPr>
          <w:sz w:val="24"/>
          <w:szCs w:val="24"/>
          <w:lang w:bidi="ar-SA"/>
        </w:rPr>
        <w:t>The AAFC will send a memorandum to finance prior to promulgation of the award with the following verbiage: </w:t>
      </w:r>
    </w:p>
    <w:p w14:paraId="7276E6C9" w14:textId="77777777" w:rsidR="0018499D" w:rsidRPr="0018499D" w:rsidRDefault="0018499D" w:rsidP="0018499D">
      <w:pPr>
        <w:tabs>
          <w:tab w:val="left" w:pos="720"/>
        </w:tabs>
        <w:ind w:left="180"/>
        <w:rPr>
          <w:sz w:val="24"/>
          <w:szCs w:val="24"/>
          <w:lang w:bidi="ar-SA"/>
        </w:rPr>
      </w:pPr>
    </w:p>
    <w:p w14:paraId="43CAD671" w14:textId="56808FC6" w:rsidR="0018499D" w:rsidRPr="008858D6" w:rsidRDefault="0018499D" w:rsidP="0018499D">
      <w:pPr>
        <w:tabs>
          <w:tab w:val="left" w:pos="720"/>
        </w:tabs>
        <w:ind w:left="180"/>
        <w:rPr>
          <w:sz w:val="24"/>
          <w:szCs w:val="24"/>
          <w:lang w:bidi="ar-SA"/>
        </w:rPr>
      </w:pPr>
      <w:r w:rsidRPr="0018499D">
        <w:rPr>
          <w:sz w:val="24"/>
          <w:szCs w:val="24"/>
          <w:lang w:bidi="ar-SA"/>
        </w:rPr>
        <w:t>“Please process an 04E transaction for [amount of fee] to recoup from the claimant the agent/attorney fees paid/to be paid via VA funds related to award action dated [enter date of associated award   with insufficient funds]. When complete, please notify the AAFC [name of employee who submitted the request].”</w:t>
      </w:r>
    </w:p>
    <w:p w14:paraId="334EB81A" w14:textId="77777777" w:rsidR="00B1610F" w:rsidRDefault="00B1610F" w:rsidP="008858D6">
      <w:pPr>
        <w:pStyle w:val="BodyText"/>
        <w:spacing w:after="240"/>
        <w:ind w:left="187"/>
        <w:rPr>
          <w:lang w:bidi="ar-SA"/>
        </w:rPr>
      </w:pPr>
    </w:p>
    <w:p w14:paraId="1018ABF6" w14:textId="2FC3C226" w:rsidR="003A4005" w:rsidRPr="00BE05B0" w:rsidRDefault="003A4005" w:rsidP="003A4005">
      <w:pPr>
        <w:pStyle w:val="Heading1"/>
        <w:pBdr>
          <w:bottom w:val="thinThickLargeGap" w:sz="8" w:space="1" w:color="auto"/>
        </w:pBdr>
        <w:spacing w:before="173"/>
        <w:ind w:left="187" w:right="0"/>
        <w:rPr>
          <w:color w:val="001F5F"/>
          <w:sz w:val="24"/>
          <w:szCs w:val="24"/>
        </w:rPr>
      </w:pPr>
      <w:bookmarkStart w:id="4" w:name="_Toc172643477"/>
      <w:r>
        <w:rPr>
          <w:color w:val="001F5F"/>
          <w:sz w:val="24"/>
          <w:szCs w:val="24"/>
        </w:rPr>
        <w:t>040 Higer-level Review Returns Fee Release</w:t>
      </w:r>
      <w:bookmarkEnd w:id="4"/>
    </w:p>
    <w:p w14:paraId="1D89B4F1" w14:textId="02E3DFBF" w:rsidR="003A4005" w:rsidRPr="00BE05B0" w:rsidRDefault="003A4005" w:rsidP="003A4005">
      <w:pPr>
        <w:pStyle w:val="BodyText"/>
        <w:spacing w:after="240"/>
        <w:ind w:left="187"/>
      </w:pPr>
      <w:r w:rsidRPr="00BE05B0">
        <w:rPr>
          <w:b/>
        </w:rPr>
        <w:t>Target Audience</w:t>
      </w:r>
      <w:r w:rsidRPr="00BE05B0">
        <w:rPr>
          <w:b/>
          <w:bCs/>
        </w:rPr>
        <w:t>:</w:t>
      </w:r>
      <w:r w:rsidRPr="00BE05B0">
        <w:t xml:space="preserve"> </w:t>
      </w:r>
      <w:r w:rsidR="003309EB">
        <w:rPr>
          <w:rStyle w:val="normaltextrun"/>
          <w:color w:val="000000"/>
          <w:bdr w:val="none" w:sz="0" w:space="0" w:color="auto" w:frame="1"/>
        </w:rPr>
        <w:t>AAFCs, AAFC Management, Authorization Quality Review Specialists (AQRS), Quality Review Team Management, Support Service Division Personnel and Management.</w:t>
      </w:r>
    </w:p>
    <w:p w14:paraId="46EF3A59" w14:textId="2A4CD555" w:rsidR="003A4005" w:rsidRDefault="003A4005" w:rsidP="003A4005">
      <w:pPr>
        <w:pStyle w:val="BodyText"/>
        <w:spacing w:after="240"/>
        <w:ind w:left="187"/>
      </w:pPr>
      <w:r w:rsidRPr="00BE05B0">
        <w:rPr>
          <w:b/>
        </w:rPr>
        <w:t xml:space="preserve">Presenter: </w:t>
      </w:r>
      <w:r w:rsidR="00D4561F">
        <w:t xml:space="preserve">Adelle Degan, System and Procedure Analyst, OFM </w:t>
      </w:r>
      <w:r w:rsidR="00802FBF">
        <w:t xml:space="preserve">and Ambria Davis, Senior </w:t>
      </w:r>
      <w:r w:rsidR="00E65041">
        <w:t>Management and Program Analyst, OAR</w:t>
      </w:r>
    </w:p>
    <w:p w14:paraId="629E3608" w14:textId="77777777" w:rsidR="003A4005" w:rsidRPr="00BE05B0" w:rsidRDefault="003A4005" w:rsidP="003A4005">
      <w:pPr>
        <w:ind w:left="187"/>
        <w:rPr>
          <w:b/>
          <w:bCs/>
          <w:sz w:val="24"/>
          <w:szCs w:val="24"/>
        </w:rPr>
      </w:pPr>
      <w:r w:rsidRPr="00BE05B0">
        <w:rPr>
          <w:b/>
          <w:bCs/>
          <w:sz w:val="24"/>
          <w:szCs w:val="24"/>
        </w:rPr>
        <w:t xml:space="preserve">References: </w:t>
      </w:r>
    </w:p>
    <w:p w14:paraId="291840A8" w14:textId="77777777" w:rsidR="00696CE3" w:rsidRPr="00696CE3" w:rsidRDefault="00000000" w:rsidP="005A1AC8">
      <w:pPr>
        <w:numPr>
          <w:ilvl w:val="0"/>
          <w:numId w:val="1"/>
        </w:numPr>
        <w:tabs>
          <w:tab w:val="left" w:pos="720"/>
        </w:tabs>
        <w:ind w:left="540"/>
        <w:rPr>
          <w:sz w:val="24"/>
          <w:szCs w:val="24"/>
          <w:lang w:bidi="ar-SA"/>
        </w:rPr>
      </w:pPr>
      <w:hyperlink r:id="rId25" w:history="1">
        <w:r w:rsidR="00696CE3" w:rsidRPr="00696CE3">
          <w:rPr>
            <w:rStyle w:val="Hyperlink"/>
            <w:sz w:val="24"/>
            <w:szCs w:val="24"/>
            <w:lang w:bidi="ar-SA"/>
          </w:rPr>
          <w:t>M21-5 8.B.1.a., </w:t>
        </w:r>
      </w:hyperlink>
      <w:hyperlink r:id="rId26" w:history="1">
        <w:r w:rsidR="00696CE3" w:rsidRPr="00696CE3">
          <w:rPr>
            <w:rStyle w:val="Hyperlink"/>
            <w:i/>
            <w:iCs/>
            <w:sz w:val="24"/>
            <w:szCs w:val="24"/>
            <w:lang w:bidi="ar-SA"/>
          </w:rPr>
          <w:t>Process for Possible Direct Payment of Fees, Stage 3</w:t>
        </w:r>
      </w:hyperlink>
    </w:p>
    <w:p w14:paraId="1CF2121C" w14:textId="77777777" w:rsidR="0027198F" w:rsidRDefault="0027198F" w:rsidP="003478D0">
      <w:pPr>
        <w:pStyle w:val="BodyText"/>
        <w:spacing w:after="240"/>
        <w:ind w:left="187"/>
        <w:rPr>
          <w:lang w:bidi="ar-SA"/>
        </w:rPr>
      </w:pPr>
    </w:p>
    <w:p w14:paraId="0A3D8EDE" w14:textId="4AA7A858" w:rsidR="003478D0" w:rsidRPr="003478D0" w:rsidRDefault="003478D0" w:rsidP="003478D0">
      <w:pPr>
        <w:pStyle w:val="BodyText"/>
        <w:spacing w:after="240"/>
        <w:ind w:left="187"/>
        <w:rPr>
          <w:lang w:bidi="ar-SA"/>
        </w:rPr>
      </w:pPr>
      <w:r w:rsidRPr="003478D0">
        <w:rPr>
          <w:lang w:bidi="ar-SA"/>
        </w:rPr>
        <w:t>The Office of Administrative Review (OAR) and the Office of Field Operations (OFO) collaborated to create a workload transition plan for the Higher-Level Review (HLR) Return inventory, which includes all HLR Duty to Assist (DTA) Error claims and HLR Difference of Opinion (</w:t>
      </w:r>
      <w:proofErr w:type="spellStart"/>
      <w:r w:rsidRPr="003478D0">
        <w:rPr>
          <w:lang w:bidi="ar-SA"/>
        </w:rPr>
        <w:t>DoO</w:t>
      </w:r>
      <w:proofErr w:type="spellEnd"/>
      <w:r w:rsidRPr="003478D0">
        <w:rPr>
          <w:lang w:bidi="ar-SA"/>
        </w:rPr>
        <w:t>) claims. OAR and OFO leadership determined that to optimize the processing of HLR Return Inventory, jurisdiction of the HLR Return inventory would transition from OAR to OFO.</w:t>
      </w:r>
    </w:p>
    <w:p w14:paraId="69FA7FFF" w14:textId="3A6362F2" w:rsidR="003478D0" w:rsidRDefault="003478D0" w:rsidP="003478D0">
      <w:pPr>
        <w:pStyle w:val="BodyText"/>
        <w:spacing w:after="240"/>
        <w:ind w:left="187"/>
        <w:rPr>
          <w:lang w:bidi="ar-SA"/>
        </w:rPr>
      </w:pPr>
      <w:r w:rsidRPr="003478D0">
        <w:rPr>
          <w:lang w:bidi="ar-SA"/>
        </w:rPr>
        <w:t>Although this inventory will now be under the jurisdiction of OFO, OAR, specifically Washington, DC DROC (DROC DC), will continue to assist with the release of Attorney Fees   that result from the processing of a HLR Return. </w:t>
      </w:r>
    </w:p>
    <w:p w14:paraId="07AB538F" w14:textId="03EF87CC" w:rsidR="00B02DD4" w:rsidRPr="00B02DD4" w:rsidRDefault="00B02DD4" w:rsidP="00B02DD4">
      <w:pPr>
        <w:pStyle w:val="BodyText"/>
        <w:spacing w:after="240"/>
        <w:ind w:left="187"/>
        <w:rPr>
          <w:lang w:bidi="ar-SA"/>
        </w:rPr>
      </w:pPr>
      <w:r w:rsidRPr="00B02DD4">
        <w:rPr>
          <w:b/>
          <w:bCs/>
          <w:lang w:bidi="ar-SA"/>
        </w:rPr>
        <w:t xml:space="preserve">Attorney Fee Impacts </w:t>
      </w:r>
    </w:p>
    <w:p w14:paraId="52B15C5B" w14:textId="7DC22E3A" w:rsidR="00B02DD4" w:rsidRPr="00B02DD4" w:rsidRDefault="00B02DD4" w:rsidP="00B02DD4">
      <w:pPr>
        <w:pStyle w:val="BodyText"/>
        <w:spacing w:after="240"/>
        <w:ind w:left="187"/>
        <w:rPr>
          <w:lang w:bidi="ar-SA"/>
        </w:rPr>
      </w:pPr>
      <w:r w:rsidRPr="00B02DD4">
        <w:rPr>
          <w:lang w:bidi="ar-SA"/>
        </w:rPr>
        <w:t xml:space="preserve">The attorney fee processing procedures in M21-5, Chapter 8, Section B, will be applicable for each local Agent and Attorney Fee Coordinator (AAFC) when working the EP 040 DTA and </w:t>
      </w:r>
      <w:proofErr w:type="spellStart"/>
      <w:r w:rsidRPr="00B02DD4">
        <w:rPr>
          <w:lang w:bidi="ar-SA"/>
        </w:rPr>
        <w:t>DoO</w:t>
      </w:r>
      <w:proofErr w:type="spellEnd"/>
      <w:r w:rsidRPr="00B02DD4">
        <w:rPr>
          <w:lang w:bidi="ar-SA"/>
        </w:rPr>
        <w:t xml:space="preserve"> claim. DC DROC will perform fee release actions. To ensure automated assignment to DC DROC there will be one adjustment to the steps in stage 3 of the table referenced in M21-</w:t>
      </w:r>
      <w:r w:rsidR="00DE338C" w:rsidRPr="00B02DD4">
        <w:rPr>
          <w:lang w:bidi="ar-SA"/>
        </w:rPr>
        <w:t>5 8.B.1.a.</w:t>
      </w:r>
      <w:r w:rsidRPr="00B02DD4">
        <w:rPr>
          <w:lang w:bidi="ar-SA"/>
        </w:rPr>
        <w:t xml:space="preserve"> Following the completion of all the processing actions in stage 3, the AAFC (authorizer) will affix the </w:t>
      </w:r>
      <w:r w:rsidRPr="00B02DD4">
        <w:rPr>
          <w:b/>
          <w:bCs/>
          <w:i/>
          <w:iCs/>
          <w:lang w:bidi="ar-SA"/>
        </w:rPr>
        <w:t xml:space="preserve">Appeal Issue Intertwined </w:t>
      </w:r>
      <w:r w:rsidRPr="00B02DD4">
        <w:rPr>
          <w:lang w:bidi="ar-SA"/>
        </w:rPr>
        <w:t xml:space="preserve">special issue to the EP 400 controlling the attorney fee memo. Only EP 400s resulting from EP 040 DTA or </w:t>
      </w:r>
      <w:proofErr w:type="spellStart"/>
      <w:r w:rsidRPr="00B02DD4">
        <w:rPr>
          <w:lang w:bidi="ar-SA"/>
        </w:rPr>
        <w:t>DoO</w:t>
      </w:r>
      <w:proofErr w:type="spellEnd"/>
      <w:r w:rsidRPr="00B02DD4">
        <w:rPr>
          <w:lang w:bidi="ar-SA"/>
        </w:rPr>
        <w:t xml:space="preserve"> claims are eligible to affix the </w:t>
      </w:r>
      <w:r w:rsidRPr="00B02DD4">
        <w:rPr>
          <w:b/>
          <w:bCs/>
          <w:i/>
          <w:iCs/>
          <w:lang w:bidi="ar-SA"/>
        </w:rPr>
        <w:t>Appeal Issue Intertwined</w:t>
      </w:r>
      <w:r w:rsidRPr="00B02DD4">
        <w:rPr>
          <w:i/>
          <w:iCs/>
          <w:lang w:bidi="ar-SA"/>
        </w:rPr>
        <w:t xml:space="preserve"> </w:t>
      </w:r>
      <w:r w:rsidRPr="00B02DD4">
        <w:rPr>
          <w:lang w:bidi="ar-SA"/>
        </w:rPr>
        <w:t xml:space="preserve">special issue. No other attorney fee EP 400s resulting from working any other rating, non-rating, or pension related workload should utilize the </w:t>
      </w:r>
      <w:r w:rsidRPr="00B02DD4">
        <w:rPr>
          <w:b/>
          <w:bCs/>
          <w:i/>
          <w:iCs/>
          <w:lang w:bidi="ar-SA"/>
        </w:rPr>
        <w:t>Appeal Issue Intertwined</w:t>
      </w:r>
      <w:r w:rsidRPr="00B02DD4">
        <w:rPr>
          <w:i/>
          <w:iCs/>
          <w:lang w:bidi="ar-SA"/>
        </w:rPr>
        <w:t xml:space="preserve"> </w:t>
      </w:r>
      <w:r w:rsidRPr="00B02DD4">
        <w:rPr>
          <w:lang w:bidi="ar-SA"/>
        </w:rPr>
        <w:t xml:space="preserve">special issue. The attorney fee EP 400 with the </w:t>
      </w:r>
      <w:r w:rsidRPr="00B02DD4">
        <w:rPr>
          <w:b/>
          <w:bCs/>
          <w:i/>
          <w:iCs/>
          <w:lang w:bidi="ar-SA"/>
        </w:rPr>
        <w:t>Appeal Issue Intertwined</w:t>
      </w:r>
      <w:r w:rsidRPr="00B02DD4">
        <w:rPr>
          <w:i/>
          <w:iCs/>
          <w:lang w:bidi="ar-SA"/>
        </w:rPr>
        <w:t xml:space="preserve"> </w:t>
      </w:r>
      <w:r w:rsidRPr="00B02DD4">
        <w:rPr>
          <w:lang w:bidi="ar-SA"/>
        </w:rPr>
        <w:t>special issue will be eligible for recall and redistribution to the DC DROC for fee release processing when the EP is actionable and ready to assign. It will be imperative all necessary processing actions (M21-5 8.B.1.a. stages 1 through 3) and uploads are completed in VBMS at the time the EP 400 is established prior to the claim being subject for recall during the next NWQ national production run.</w:t>
      </w:r>
    </w:p>
    <w:p w14:paraId="25118B76" w14:textId="77777777" w:rsidR="00622161" w:rsidRPr="00622161" w:rsidRDefault="00622161" w:rsidP="00622161">
      <w:pPr>
        <w:pStyle w:val="BodyText"/>
        <w:spacing w:after="240"/>
        <w:ind w:left="187"/>
        <w:rPr>
          <w:lang w:bidi="ar-SA"/>
        </w:rPr>
      </w:pPr>
      <w:r w:rsidRPr="00622161">
        <w:rPr>
          <w:lang w:bidi="ar-SA"/>
        </w:rPr>
        <w:lastRenderedPageBreak/>
        <w:t xml:space="preserve">OFO employees will process stages 1-3 and DC DROC employees (AAFCs and SSD) will complete stages 4-7. DC DROC AAFCs will also review for reasonableness review decisions submitted. However, the existence of multiple attorneys and the referral to OGC falls under stage 3 and will be completed by OFO employees. </w:t>
      </w:r>
    </w:p>
    <w:p w14:paraId="35D29C30" w14:textId="79D078B0" w:rsidR="00992261" w:rsidRPr="00AB4776" w:rsidRDefault="00622161" w:rsidP="003478D0">
      <w:pPr>
        <w:pStyle w:val="BodyText"/>
        <w:spacing w:after="240"/>
        <w:ind w:left="187"/>
        <w:rPr>
          <w:b/>
          <w:bCs/>
          <w:lang w:bidi="ar-SA"/>
        </w:rPr>
      </w:pPr>
      <w:r w:rsidRPr="00AB4776">
        <w:rPr>
          <w:b/>
          <w:bCs/>
          <w:lang w:bidi="ar-SA"/>
        </w:rPr>
        <w:t>DC DROC SSD</w:t>
      </w:r>
    </w:p>
    <w:p w14:paraId="2E00ACC7" w14:textId="46835848" w:rsidR="00AB4776" w:rsidRPr="00AB4776" w:rsidRDefault="00AB4776" w:rsidP="00AB4776">
      <w:pPr>
        <w:pStyle w:val="BodyText"/>
        <w:spacing w:after="240"/>
        <w:ind w:left="187"/>
        <w:rPr>
          <w:lang w:bidi="ar-SA"/>
        </w:rPr>
      </w:pPr>
      <w:r w:rsidRPr="00AB4776">
        <w:rPr>
          <w:lang w:bidi="ar-SA"/>
        </w:rPr>
        <w:t xml:space="preserve">Beginning </w:t>
      </w:r>
      <w:r>
        <w:rPr>
          <w:lang w:bidi="ar-SA"/>
        </w:rPr>
        <w:t>July 15, 2024</w:t>
      </w:r>
      <w:r w:rsidR="00BF4ADA">
        <w:rPr>
          <w:lang w:bidi="ar-SA"/>
        </w:rPr>
        <w:t>,</w:t>
      </w:r>
      <w:r w:rsidRPr="00AB4776">
        <w:rPr>
          <w:lang w:bidi="ar-SA"/>
        </w:rPr>
        <w:t xml:space="preserve"> all attorney fee releases for Higher-Level Review (HLR) cases will be sent to Washington, DC DROC 397. At the end of the due process period, DC DROC will send these cases to DC SSD 397 for attorney fee payment release processing. </w:t>
      </w:r>
    </w:p>
    <w:p w14:paraId="37A930F9" w14:textId="4A2F0B35" w:rsidR="003A4005" w:rsidRPr="00BE05B0" w:rsidRDefault="003A4005" w:rsidP="003A4005">
      <w:pPr>
        <w:pStyle w:val="Heading1"/>
        <w:pBdr>
          <w:bottom w:val="thinThickLargeGap" w:sz="8" w:space="1" w:color="auto"/>
        </w:pBdr>
        <w:spacing w:before="173"/>
        <w:ind w:left="187" w:right="0"/>
        <w:rPr>
          <w:color w:val="001F5F"/>
          <w:sz w:val="24"/>
          <w:szCs w:val="24"/>
        </w:rPr>
      </w:pPr>
      <w:bookmarkStart w:id="5" w:name="_Toc172643478"/>
      <w:r>
        <w:rPr>
          <w:color w:val="001F5F"/>
          <w:sz w:val="24"/>
          <w:szCs w:val="24"/>
        </w:rPr>
        <w:t>Question and Answer – 040 Higher-level Review Returns Fee Release</w:t>
      </w:r>
      <w:bookmarkEnd w:id="5"/>
    </w:p>
    <w:p w14:paraId="70C88563" w14:textId="2D051F30" w:rsidR="003A4005" w:rsidRDefault="003A4005" w:rsidP="003A4005">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1. Question</w:t>
      </w:r>
      <w:r w:rsidR="00080E4A">
        <w:rPr>
          <w:rStyle w:val="normaltextrun"/>
          <w:rFonts w:ascii="Arial" w:hAnsi="Arial" w:cs="Arial"/>
          <w:b/>
          <w:bCs/>
        </w:rPr>
        <w:t xml:space="preserve"> -</w:t>
      </w:r>
      <w:r w:rsidR="00080E4A" w:rsidRPr="00080E4A">
        <w:t xml:space="preserve"> </w:t>
      </w:r>
      <w:r w:rsidR="00080E4A" w:rsidRPr="00080E4A">
        <w:rPr>
          <w:rStyle w:val="normaltextrun"/>
          <w:rFonts w:ascii="Arial" w:hAnsi="Arial" w:cs="Arial"/>
          <w:b/>
          <w:bCs/>
        </w:rPr>
        <w:t>Please explain why the ROs are not allowed to release their own fees on 040 HLR. There doesn't seem to be any logical reason why the ROs would only do the first difficult part of the fee process then send all the relatively easy fee releases to DROC-Dc and lose half the production transactions. What is different about these claim types compared to all the other claims the ROs complete fee processing on that would make it necessary for only DROC-DC to do it? Mandating that DROC-DC does the easiest part of the fee process for the ROs, is giving the impression that they are being given all the ROs transaction credits. Every RO is more than capable of releasing their own fees and are already completing that function daily.</w:t>
      </w:r>
      <w:r>
        <w:rPr>
          <w:rStyle w:val="eop"/>
          <w:rFonts w:ascii="Arial" w:hAnsi="Arial" w:cs="Arial"/>
        </w:rPr>
        <w:t> </w:t>
      </w:r>
    </w:p>
    <w:p w14:paraId="57B22B5D" w14:textId="6A58736A" w:rsidR="003A4005" w:rsidRDefault="003A4005" w:rsidP="003A4005">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Answer </w:t>
      </w:r>
      <w:r w:rsidR="00080E4A">
        <w:rPr>
          <w:rStyle w:val="normaltextrun"/>
          <w:rFonts w:ascii="Arial" w:hAnsi="Arial" w:cs="Arial"/>
        </w:rPr>
        <w:t xml:space="preserve">- </w:t>
      </w:r>
      <w:r w:rsidR="0073665A" w:rsidRPr="0073665A">
        <w:rPr>
          <w:rStyle w:val="eop"/>
          <w:rFonts w:ascii="Arial" w:hAnsi="Arial" w:cs="Arial"/>
        </w:rPr>
        <w:t xml:space="preserve">We appreciate the question. Please direct workload management questions and concerns to </w:t>
      </w:r>
      <w:r w:rsidR="003006BC">
        <w:rPr>
          <w:rStyle w:val="eop"/>
          <w:rFonts w:ascii="Arial" w:hAnsi="Arial" w:cs="Arial"/>
        </w:rPr>
        <w:t>your</w:t>
      </w:r>
      <w:r w:rsidR="0073665A" w:rsidRPr="0073665A">
        <w:rPr>
          <w:rStyle w:val="eop"/>
          <w:rFonts w:ascii="Arial" w:hAnsi="Arial" w:cs="Arial"/>
        </w:rPr>
        <w:t xml:space="preserve"> management.</w:t>
      </w:r>
    </w:p>
    <w:p w14:paraId="69366720" w14:textId="77777777" w:rsidR="003A4005" w:rsidRDefault="003A4005" w:rsidP="003A4005">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671F1662" w14:textId="2AD462D6" w:rsidR="003A4005" w:rsidRDefault="003A4005" w:rsidP="003A4005">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2. Question</w:t>
      </w:r>
      <w:r w:rsidR="0073665A">
        <w:rPr>
          <w:rStyle w:val="normaltextrun"/>
          <w:rFonts w:ascii="Arial" w:hAnsi="Arial" w:cs="Arial"/>
          <w:b/>
          <w:bCs/>
        </w:rPr>
        <w:t xml:space="preserve"> - </w:t>
      </w:r>
      <w:r w:rsidR="0073665A" w:rsidRPr="0073665A">
        <w:rPr>
          <w:rStyle w:val="normaltextrun"/>
          <w:rFonts w:ascii="Arial" w:hAnsi="Arial" w:cs="Arial"/>
          <w:b/>
          <w:bCs/>
        </w:rPr>
        <w:t xml:space="preserve">How will the higher-level return fee release work when there </w:t>
      </w:r>
      <w:r w:rsidR="0093368A" w:rsidRPr="0073665A">
        <w:rPr>
          <w:rStyle w:val="normaltextrun"/>
          <w:rFonts w:ascii="Arial" w:hAnsi="Arial" w:cs="Arial"/>
          <w:b/>
          <w:bCs/>
        </w:rPr>
        <w:t>is</w:t>
      </w:r>
      <w:r w:rsidR="0073665A" w:rsidRPr="0073665A">
        <w:rPr>
          <w:rStyle w:val="normaltextrun"/>
          <w:rFonts w:ascii="Arial" w:hAnsi="Arial" w:cs="Arial"/>
          <w:b/>
          <w:bCs/>
        </w:rPr>
        <w:t xml:space="preserve"> failure to make funds available scenarios, the incorrect or no Summary of the Case Fee decision notice, or Office of General Counsel (OGC) Review is required?</w:t>
      </w:r>
    </w:p>
    <w:p w14:paraId="2EAA8CB0" w14:textId="71F5CF37" w:rsidR="003A4005" w:rsidRDefault="003A4005" w:rsidP="003A4005">
      <w:pPr>
        <w:pStyle w:val="paragraph"/>
        <w:spacing w:before="0" w:beforeAutospacing="0" w:after="0" w:afterAutospacing="0"/>
        <w:ind w:left="180"/>
        <w:textAlignment w:val="baseline"/>
        <w:rPr>
          <w:rStyle w:val="eop"/>
          <w:rFonts w:ascii="Arial" w:hAnsi="Arial" w:cs="Arial"/>
        </w:rPr>
      </w:pPr>
      <w:r w:rsidRPr="00B1610F">
        <w:rPr>
          <w:rStyle w:val="normaltextrun"/>
          <w:rFonts w:ascii="Arial" w:hAnsi="Arial" w:cs="Arial"/>
        </w:rPr>
        <w:t>Answer</w:t>
      </w:r>
      <w:r w:rsidRPr="00B1610F">
        <w:rPr>
          <w:rStyle w:val="eop"/>
          <w:rFonts w:ascii="Arial" w:hAnsi="Arial" w:cs="Arial"/>
        </w:rPr>
        <w:t> </w:t>
      </w:r>
      <w:r w:rsidR="0073665A">
        <w:rPr>
          <w:rStyle w:val="eop"/>
          <w:rFonts w:ascii="Arial" w:hAnsi="Arial" w:cs="Arial"/>
        </w:rPr>
        <w:t xml:space="preserve">- </w:t>
      </w:r>
      <w:r w:rsidR="00CF5821" w:rsidRPr="00CF5821">
        <w:rPr>
          <w:rStyle w:val="eop"/>
          <w:rFonts w:ascii="Arial" w:hAnsi="Arial" w:cs="Arial"/>
        </w:rPr>
        <w:t>The offices under Office of Field Operation jurisdiction will be responsible for corrective actions. If multiple attorneys are identified, then OFO employees will need to follow the correct procedures to issue the Summary of the Case Fee decision notice to all parties and refer the case to OGC.  Issuing the decision notice is listed under stage 3. If there is a reasonableness review or appeal submitted after the fee decision notice is issued, then AAFC at DC DROC will be responsible for processing.</w:t>
      </w:r>
    </w:p>
    <w:p w14:paraId="5FE402AB" w14:textId="77777777" w:rsidR="003A4005" w:rsidRDefault="003A4005" w:rsidP="003A4005">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494745F1" w14:textId="468186D2" w:rsidR="003A4005" w:rsidRDefault="003A4005" w:rsidP="003A4005">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3. Question</w:t>
      </w:r>
      <w:r w:rsidR="0033610B">
        <w:rPr>
          <w:rStyle w:val="normaltextrun"/>
          <w:rFonts w:ascii="Arial" w:hAnsi="Arial" w:cs="Arial"/>
          <w:b/>
          <w:bCs/>
        </w:rPr>
        <w:t xml:space="preserve"> - </w:t>
      </w:r>
      <w:r w:rsidR="0033610B" w:rsidRPr="0033610B">
        <w:rPr>
          <w:rStyle w:val="normaltextrun"/>
          <w:rFonts w:ascii="Arial" w:hAnsi="Arial" w:cs="Arial"/>
          <w:b/>
          <w:bCs/>
        </w:rPr>
        <w:t>For multiple attorneys, are these pulled immediately to the DROC or sit in the AFC queue establishing the 400? I was told there is backlog of OGC cases is over 400 days unless it is at a DROC, which is less.</w:t>
      </w:r>
    </w:p>
    <w:p w14:paraId="4E531700" w14:textId="6D6493A8" w:rsidR="003A4005" w:rsidRPr="00B1610F" w:rsidRDefault="003A4005" w:rsidP="003A4005">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sidR="005A62D3">
        <w:rPr>
          <w:rStyle w:val="eop"/>
          <w:rFonts w:ascii="Arial" w:hAnsi="Arial" w:cs="Arial"/>
        </w:rPr>
        <w:t xml:space="preserve"> - </w:t>
      </w:r>
      <w:r w:rsidR="005A62D3" w:rsidRPr="005A62D3">
        <w:rPr>
          <w:rStyle w:val="eop"/>
          <w:rFonts w:ascii="Arial" w:hAnsi="Arial" w:cs="Arial"/>
        </w:rPr>
        <w:t xml:space="preserve">The average days for OGC to complete a reasonableness review decision regardless of station is approximately 500 days. The DROC cases do not have any priority. If there are multiple attorneys, the VSC/BEST/PMC AAFC should complete the appropriate fee decision notice and refer the case to OGC. The EP 400s with the </w:t>
      </w:r>
      <w:r w:rsidR="005A62D3" w:rsidRPr="006E49AF">
        <w:rPr>
          <w:rStyle w:val="eop"/>
          <w:rFonts w:ascii="Arial" w:hAnsi="Arial" w:cs="Arial"/>
        </w:rPr>
        <w:t>Appeal Issue Intertwined</w:t>
      </w:r>
      <w:r w:rsidR="005A62D3" w:rsidRPr="005A62D3">
        <w:rPr>
          <w:rStyle w:val="eop"/>
          <w:rFonts w:ascii="Arial" w:hAnsi="Arial" w:cs="Arial"/>
        </w:rPr>
        <w:t xml:space="preserve"> special issue will be recalled.</w:t>
      </w:r>
    </w:p>
    <w:p w14:paraId="64A63CC8" w14:textId="77777777" w:rsidR="003A4005" w:rsidRDefault="003A4005" w:rsidP="003A4005">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lastRenderedPageBreak/>
        <w:t> </w:t>
      </w:r>
    </w:p>
    <w:p w14:paraId="5876A011" w14:textId="2282748F" w:rsidR="003A4005" w:rsidRDefault="003A4005" w:rsidP="003A4005">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4. Question</w:t>
      </w:r>
      <w:r w:rsidR="006E49AF">
        <w:rPr>
          <w:rStyle w:val="normaltextrun"/>
          <w:rFonts w:ascii="Arial" w:hAnsi="Arial" w:cs="Arial"/>
          <w:b/>
          <w:bCs/>
        </w:rPr>
        <w:t xml:space="preserve"> - </w:t>
      </w:r>
      <w:r w:rsidR="006E49AF" w:rsidRPr="006E49AF">
        <w:rPr>
          <w:rStyle w:val="normaltextrun"/>
          <w:rFonts w:ascii="Arial" w:hAnsi="Arial" w:cs="Arial"/>
          <w:b/>
          <w:bCs/>
        </w:rPr>
        <w:t>How is the EP 400 getting to the DROC to be cleared (NWQ or brokering)?</w:t>
      </w:r>
    </w:p>
    <w:p w14:paraId="59E79D17" w14:textId="65245906" w:rsidR="003A4005" w:rsidRPr="00B1610F" w:rsidRDefault="003A4005" w:rsidP="003A4005">
      <w:pPr>
        <w:pStyle w:val="paragraph"/>
        <w:spacing w:before="0" w:beforeAutospacing="0" w:after="0" w:afterAutospacing="0"/>
        <w:ind w:left="180"/>
        <w:textAlignment w:val="baseline"/>
        <w:rPr>
          <w:rFonts w:ascii="Segoe UI" w:hAnsi="Segoe UI" w:cs="Segoe UI"/>
          <w:sz w:val="18"/>
          <w:szCs w:val="18"/>
        </w:rPr>
      </w:pPr>
      <w:r w:rsidRPr="00B1610F">
        <w:rPr>
          <w:rStyle w:val="normaltextrun"/>
          <w:rFonts w:ascii="Arial" w:hAnsi="Arial" w:cs="Arial"/>
        </w:rPr>
        <w:t>Answer</w:t>
      </w:r>
      <w:r w:rsidR="006E49AF">
        <w:rPr>
          <w:rStyle w:val="eop"/>
          <w:rFonts w:ascii="Arial" w:hAnsi="Arial" w:cs="Arial"/>
        </w:rPr>
        <w:t xml:space="preserve"> - </w:t>
      </w:r>
      <w:r w:rsidR="006E49AF" w:rsidRPr="006E49AF">
        <w:rPr>
          <w:rStyle w:val="eop"/>
          <w:rFonts w:ascii="Arial" w:hAnsi="Arial" w:cs="Arial"/>
        </w:rPr>
        <w:t>The National Work Queue (NWQ) will route the EP 400 with</w:t>
      </w:r>
      <w:r w:rsidR="006E49AF">
        <w:rPr>
          <w:rStyle w:val="eop"/>
          <w:rFonts w:ascii="Arial" w:hAnsi="Arial" w:cs="Arial"/>
        </w:rPr>
        <w:t xml:space="preserve"> </w:t>
      </w:r>
      <w:r w:rsidR="006E49AF" w:rsidRPr="006E49AF">
        <w:rPr>
          <w:rStyle w:val="eop"/>
          <w:rFonts w:ascii="Arial" w:hAnsi="Arial" w:cs="Arial"/>
        </w:rPr>
        <w:t xml:space="preserve">the Appeal Issue Intertwined special issue to DC DROC. Only EP 400s resulting from EP 040 DTA or </w:t>
      </w:r>
      <w:proofErr w:type="spellStart"/>
      <w:r w:rsidR="006E49AF" w:rsidRPr="006E49AF">
        <w:rPr>
          <w:rStyle w:val="eop"/>
          <w:rFonts w:ascii="Arial" w:hAnsi="Arial" w:cs="Arial"/>
        </w:rPr>
        <w:t>DoO</w:t>
      </w:r>
      <w:proofErr w:type="spellEnd"/>
      <w:r w:rsidR="006E49AF" w:rsidRPr="006E49AF">
        <w:rPr>
          <w:rStyle w:val="eop"/>
          <w:rFonts w:ascii="Arial" w:hAnsi="Arial" w:cs="Arial"/>
        </w:rPr>
        <w:t xml:space="preserve"> claims are eligible to affix the Appeal Issue Intertwined special issue. No other attorney fee EP 400s resulting from working any other rating, non-rating, or pension related workload should utilize the Appeal Issue Intertwined special issue.</w:t>
      </w:r>
    </w:p>
    <w:p w14:paraId="63C5CB47" w14:textId="77777777" w:rsidR="00B863DD" w:rsidRDefault="00B863DD" w:rsidP="0093231A">
      <w:pPr>
        <w:pStyle w:val="paragraph"/>
        <w:spacing w:before="0" w:beforeAutospacing="0" w:after="0" w:afterAutospacing="0"/>
        <w:ind w:left="180"/>
        <w:textAlignment w:val="baseline"/>
        <w:rPr>
          <w:rStyle w:val="normaltextrun"/>
          <w:rFonts w:ascii="Arial" w:hAnsi="Arial" w:cs="Arial"/>
          <w:b/>
          <w:bCs/>
        </w:rPr>
      </w:pPr>
    </w:p>
    <w:p w14:paraId="348772EF" w14:textId="7925D111" w:rsidR="0093231A" w:rsidRDefault="00B863DD" w:rsidP="0093231A">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5</w:t>
      </w:r>
      <w:r w:rsidR="0093231A">
        <w:rPr>
          <w:rStyle w:val="normaltextrun"/>
          <w:rFonts w:ascii="Arial" w:hAnsi="Arial" w:cs="Arial"/>
          <w:b/>
          <w:bCs/>
        </w:rPr>
        <w:t xml:space="preserve">. Question - </w:t>
      </w:r>
      <w:r w:rsidRPr="00B863DD">
        <w:rPr>
          <w:rStyle w:val="normaltextrun"/>
          <w:rFonts w:ascii="Arial" w:hAnsi="Arial" w:cs="Arial"/>
          <w:b/>
          <w:bCs/>
        </w:rPr>
        <w:t>The Attorney Fee Processing Guide that was sent out mentions DROC would be creating deferrals on corrections for the station that created the withholding. Would this affect everyone?</w:t>
      </w:r>
    </w:p>
    <w:p w14:paraId="7C8279CC" w14:textId="5371E9B7" w:rsidR="0093231A" w:rsidRDefault="0093231A" w:rsidP="00B863DD">
      <w:pPr>
        <w:pStyle w:val="paragraph"/>
        <w:spacing w:before="0" w:beforeAutospacing="0" w:after="0" w:afterAutospacing="0"/>
        <w:ind w:left="180"/>
        <w:textAlignment w:val="baseline"/>
      </w:pPr>
      <w:r w:rsidRPr="00B1610F">
        <w:rPr>
          <w:rStyle w:val="normaltextrun"/>
          <w:rFonts w:ascii="Arial" w:hAnsi="Arial" w:cs="Arial"/>
        </w:rPr>
        <w:t>Answer</w:t>
      </w:r>
      <w:r>
        <w:rPr>
          <w:rStyle w:val="eop"/>
          <w:rFonts w:ascii="Arial" w:hAnsi="Arial" w:cs="Arial"/>
        </w:rPr>
        <w:t xml:space="preserve"> - </w:t>
      </w:r>
      <w:r w:rsidR="00B863DD" w:rsidRPr="00B863DD">
        <w:rPr>
          <w:rStyle w:val="eop"/>
          <w:rFonts w:ascii="Arial" w:hAnsi="Arial" w:cs="Arial"/>
        </w:rPr>
        <w:t>Yes, DC DROC AAFCs will follow established procedures to notify AAFCs at the VSC/PMC/BEST stations of corrective actions for the EP 400 established from higher-level review returns.</w:t>
      </w:r>
    </w:p>
    <w:p w14:paraId="47DC13EB" w14:textId="56B4331F" w:rsidR="003A4005" w:rsidRPr="00BE05B0" w:rsidRDefault="000565D4" w:rsidP="003A4005">
      <w:pPr>
        <w:pStyle w:val="Heading1"/>
        <w:pBdr>
          <w:bottom w:val="thinThickLargeGap" w:sz="8" w:space="1" w:color="auto"/>
        </w:pBdr>
        <w:spacing w:before="173"/>
        <w:ind w:left="187" w:right="0"/>
        <w:rPr>
          <w:color w:val="001F5F"/>
          <w:sz w:val="24"/>
          <w:szCs w:val="24"/>
        </w:rPr>
      </w:pPr>
      <w:bookmarkStart w:id="6" w:name="_Toc172643479"/>
      <w:r>
        <w:rPr>
          <w:color w:val="001F5F"/>
          <w:sz w:val="24"/>
          <w:szCs w:val="24"/>
        </w:rPr>
        <w:t>Summary of the Case Fee Decision Notice Tickets</w:t>
      </w:r>
      <w:bookmarkEnd w:id="6"/>
    </w:p>
    <w:p w14:paraId="7A07D80A" w14:textId="563D2A92" w:rsidR="003A4005" w:rsidRPr="00BE05B0" w:rsidRDefault="003A4005" w:rsidP="003A4005">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AAFCs, AAFC Management, Authorization Quality Review Specialists (AQRS), and Quality Review Team Management</w:t>
      </w:r>
      <w:r w:rsidR="003309EB">
        <w:rPr>
          <w:rStyle w:val="normaltextrun"/>
          <w:color w:val="000000"/>
          <w:bdr w:val="none" w:sz="0" w:space="0" w:color="auto" w:frame="1"/>
        </w:rPr>
        <w:t>.</w:t>
      </w:r>
    </w:p>
    <w:p w14:paraId="19F7E5C8" w14:textId="06DF0463" w:rsidR="003A4005" w:rsidRDefault="003A4005" w:rsidP="003A4005">
      <w:pPr>
        <w:pStyle w:val="BodyText"/>
        <w:spacing w:after="240"/>
        <w:ind w:left="187"/>
      </w:pPr>
      <w:r w:rsidRPr="00BE05B0">
        <w:rPr>
          <w:b/>
        </w:rPr>
        <w:t xml:space="preserve">Presenter: </w:t>
      </w:r>
      <w:r w:rsidR="00EF1900">
        <w:t>Lisa Troen, Management and Program Analyst, OAR</w:t>
      </w:r>
      <w:r>
        <w:t xml:space="preserve"> </w:t>
      </w:r>
    </w:p>
    <w:p w14:paraId="576A9EE3" w14:textId="25FCC927" w:rsidR="003A4005" w:rsidRPr="00EF1900" w:rsidRDefault="007D0B12" w:rsidP="003A4005">
      <w:pPr>
        <w:tabs>
          <w:tab w:val="left" w:pos="720"/>
        </w:tabs>
        <w:ind w:left="180"/>
        <w:rPr>
          <w:b/>
          <w:bCs/>
          <w:sz w:val="24"/>
          <w:szCs w:val="24"/>
        </w:rPr>
      </w:pPr>
      <w:r w:rsidRPr="00EF1900">
        <w:rPr>
          <w:b/>
          <w:bCs/>
          <w:sz w:val="24"/>
          <w:szCs w:val="24"/>
        </w:rPr>
        <w:t xml:space="preserve">Decision Date Incorrect </w:t>
      </w:r>
    </w:p>
    <w:p w14:paraId="55275A9B" w14:textId="77777777" w:rsidR="00EF1900" w:rsidRDefault="00EF1900" w:rsidP="00521F9C">
      <w:pPr>
        <w:tabs>
          <w:tab w:val="left" w:pos="720"/>
        </w:tabs>
        <w:ind w:left="180"/>
        <w:rPr>
          <w:sz w:val="24"/>
          <w:szCs w:val="24"/>
          <w:lang w:bidi="ar-SA"/>
        </w:rPr>
      </w:pPr>
    </w:p>
    <w:p w14:paraId="14441B59" w14:textId="1800910E" w:rsidR="00521F9C" w:rsidRPr="00521F9C" w:rsidRDefault="00521F9C" w:rsidP="00521F9C">
      <w:pPr>
        <w:tabs>
          <w:tab w:val="left" w:pos="720"/>
        </w:tabs>
        <w:ind w:left="180"/>
        <w:rPr>
          <w:sz w:val="24"/>
          <w:szCs w:val="24"/>
          <w:lang w:bidi="ar-SA"/>
        </w:rPr>
      </w:pPr>
      <w:r w:rsidRPr="00521F9C">
        <w:rPr>
          <w:sz w:val="24"/>
          <w:szCs w:val="24"/>
          <w:lang w:bidi="ar-SA"/>
        </w:rPr>
        <w:t xml:space="preserve">The Office of Information Technology (OIT) identified a root cause related to the defect of this defect; however, the fix </w:t>
      </w:r>
      <w:r w:rsidR="00CE57E2" w:rsidRPr="00521F9C">
        <w:rPr>
          <w:sz w:val="24"/>
          <w:szCs w:val="24"/>
          <w:lang w:bidi="ar-SA"/>
        </w:rPr>
        <w:t>cannot</w:t>
      </w:r>
      <w:r w:rsidRPr="00521F9C">
        <w:rPr>
          <w:sz w:val="24"/>
          <w:szCs w:val="24"/>
          <w:lang w:bidi="ar-SA"/>
        </w:rPr>
        <w:t xml:space="preserve"> be immediately scoped and will need to go through IT prioritization (appr. Q1 of FY25).</w:t>
      </w:r>
    </w:p>
    <w:p w14:paraId="640CD829" w14:textId="77777777" w:rsidR="009F716B" w:rsidRDefault="009F716B" w:rsidP="00521F9C">
      <w:pPr>
        <w:tabs>
          <w:tab w:val="left" w:pos="720"/>
        </w:tabs>
        <w:ind w:left="180"/>
        <w:rPr>
          <w:sz w:val="24"/>
          <w:szCs w:val="24"/>
          <w:lang w:bidi="ar-SA"/>
        </w:rPr>
      </w:pPr>
    </w:p>
    <w:p w14:paraId="13D9DE21" w14:textId="669E5AC3" w:rsidR="00521F9C" w:rsidRPr="00521F9C" w:rsidRDefault="00521F9C" w:rsidP="00521F9C">
      <w:pPr>
        <w:tabs>
          <w:tab w:val="left" w:pos="720"/>
        </w:tabs>
        <w:ind w:left="180"/>
        <w:rPr>
          <w:sz w:val="24"/>
          <w:szCs w:val="24"/>
          <w:lang w:bidi="ar-SA"/>
        </w:rPr>
      </w:pPr>
      <w:r w:rsidRPr="00521F9C">
        <w:rPr>
          <w:sz w:val="24"/>
          <w:szCs w:val="24"/>
          <w:lang w:bidi="ar-SA"/>
        </w:rPr>
        <w:t>Example:</w:t>
      </w:r>
    </w:p>
    <w:p w14:paraId="282B65B1" w14:textId="7023F017" w:rsidR="00521F9C" w:rsidRPr="00521F9C" w:rsidRDefault="00521F9C" w:rsidP="005A1AC8">
      <w:pPr>
        <w:numPr>
          <w:ilvl w:val="0"/>
          <w:numId w:val="3"/>
        </w:numPr>
        <w:tabs>
          <w:tab w:val="left" w:pos="720"/>
        </w:tabs>
        <w:rPr>
          <w:sz w:val="24"/>
          <w:szCs w:val="24"/>
          <w:lang w:bidi="ar-SA"/>
        </w:rPr>
      </w:pPr>
      <w:r w:rsidRPr="00521F9C">
        <w:rPr>
          <w:sz w:val="24"/>
          <w:szCs w:val="24"/>
          <w:lang w:bidi="ar-SA"/>
        </w:rPr>
        <w:t xml:space="preserve">Authorized in VBMS-A on </w:t>
      </w:r>
      <w:r w:rsidR="00656AF5" w:rsidRPr="00521F9C">
        <w:rPr>
          <w:sz w:val="24"/>
          <w:szCs w:val="24"/>
          <w:lang w:bidi="ar-SA"/>
        </w:rPr>
        <w:t>3/20/24.</w:t>
      </w:r>
      <w:r w:rsidRPr="00521F9C">
        <w:rPr>
          <w:sz w:val="24"/>
          <w:szCs w:val="24"/>
          <w:lang w:bidi="ar-SA"/>
        </w:rPr>
        <w:t xml:space="preserve"> </w:t>
      </w:r>
    </w:p>
    <w:p w14:paraId="23E8F8A4" w14:textId="77777777" w:rsidR="00521F9C" w:rsidRPr="00521F9C" w:rsidRDefault="00521F9C" w:rsidP="005A1AC8">
      <w:pPr>
        <w:numPr>
          <w:ilvl w:val="0"/>
          <w:numId w:val="3"/>
        </w:numPr>
        <w:tabs>
          <w:tab w:val="left" w:pos="720"/>
        </w:tabs>
        <w:rPr>
          <w:sz w:val="24"/>
          <w:szCs w:val="24"/>
          <w:lang w:bidi="ar-SA"/>
        </w:rPr>
      </w:pPr>
      <w:r w:rsidRPr="00521F9C">
        <w:rPr>
          <w:sz w:val="24"/>
          <w:szCs w:val="24"/>
          <w:lang w:bidi="ar-SA"/>
        </w:rPr>
        <w:t xml:space="preserve">Letter date of 3/17/24 (3 days prior to complete of the award). </w:t>
      </w:r>
    </w:p>
    <w:p w14:paraId="7464FB10" w14:textId="77777777" w:rsidR="009F716B" w:rsidRDefault="009F716B" w:rsidP="00521F9C">
      <w:pPr>
        <w:tabs>
          <w:tab w:val="left" w:pos="720"/>
        </w:tabs>
        <w:ind w:left="180"/>
        <w:rPr>
          <w:b/>
          <w:bCs/>
          <w:sz w:val="24"/>
          <w:szCs w:val="24"/>
          <w:lang w:bidi="ar-SA"/>
        </w:rPr>
      </w:pPr>
    </w:p>
    <w:p w14:paraId="3B976E0A" w14:textId="5BCD7742" w:rsidR="00521F9C" w:rsidRPr="00521F9C" w:rsidRDefault="00521F9C" w:rsidP="00521F9C">
      <w:pPr>
        <w:tabs>
          <w:tab w:val="left" w:pos="720"/>
        </w:tabs>
        <w:ind w:left="180"/>
        <w:rPr>
          <w:sz w:val="24"/>
          <w:szCs w:val="24"/>
          <w:lang w:bidi="ar-SA"/>
        </w:rPr>
      </w:pPr>
      <w:r w:rsidRPr="00521F9C">
        <w:rPr>
          <w:b/>
          <w:bCs/>
          <w:sz w:val="24"/>
          <w:szCs w:val="24"/>
          <w:lang w:bidi="ar-SA"/>
        </w:rPr>
        <w:t>Please be aware of the potential error when calculating tracked item suspense dates</w:t>
      </w:r>
      <w:r w:rsidRPr="00521F9C">
        <w:rPr>
          <w:sz w:val="24"/>
          <w:szCs w:val="24"/>
          <w:lang w:bidi="ar-SA"/>
        </w:rPr>
        <w:t xml:space="preserve"> for the 65-day appeal period (examine for actual </w:t>
      </w:r>
      <w:r w:rsidRPr="00521F9C">
        <w:rPr>
          <w:i/>
          <w:iCs/>
          <w:sz w:val="24"/>
          <w:szCs w:val="24"/>
          <w:lang w:bidi="ar-SA"/>
        </w:rPr>
        <w:t xml:space="preserve">date of mailing) </w:t>
      </w:r>
      <w:r w:rsidRPr="00521F9C">
        <w:rPr>
          <w:sz w:val="24"/>
          <w:szCs w:val="24"/>
          <w:lang w:bidi="ar-SA"/>
        </w:rPr>
        <w:t>as well as during quality reviews.</w:t>
      </w:r>
    </w:p>
    <w:p w14:paraId="69FD9EB0" w14:textId="77777777" w:rsidR="009F716B" w:rsidRDefault="009F716B" w:rsidP="00521F9C">
      <w:pPr>
        <w:tabs>
          <w:tab w:val="left" w:pos="720"/>
        </w:tabs>
        <w:ind w:left="180"/>
        <w:rPr>
          <w:sz w:val="24"/>
          <w:szCs w:val="24"/>
          <w:lang w:bidi="ar-SA"/>
        </w:rPr>
      </w:pPr>
    </w:p>
    <w:p w14:paraId="3B6553E5" w14:textId="610077B7" w:rsidR="00521F9C" w:rsidRDefault="00521F9C" w:rsidP="00521F9C">
      <w:pPr>
        <w:tabs>
          <w:tab w:val="left" w:pos="720"/>
        </w:tabs>
        <w:ind w:left="180"/>
        <w:rPr>
          <w:sz w:val="24"/>
          <w:szCs w:val="24"/>
          <w:lang w:bidi="ar-SA"/>
        </w:rPr>
      </w:pPr>
      <w:r w:rsidRPr="00521F9C">
        <w:rPr>
          <w:sz w:val="24"/>
          <w:szCs w:val="24"/>
          <w:lang w:bidi="ar-SA"/>
        </w:rPr>
        <w:t>IT tickets are not required at this time for this identified date error.</w:t>
      </w:r>
    </w:p>
    <w:p w14:paraId="0E0C2456" w14:textId="77777777" w:rsidR="00476C64" w:rsidRDefault="00476C64" w:rsidP="00521F9C">
      <w:pPr>
        <w:tabs>
          <w:tab w:val="left" w:pos="720"/>
        </w:tabs>
        <w:ind w:left="180"/>
        <w:rPr>
          <w:sz w:val="24"/>
          <w:szCs w:val="24"/>
          <w:lang w:bidi="ar-SA"/>
        </w:rPr>
      </w:pPr>
    </w:p>
    <w:p w14:paraId="19BA532F" w14:textId="5E4C9433" w:rsidR="00476C64" w:rsidRPr="00476C64" w:rsidRDefault="00476C64" w:rsidP="00521F9C">
      <w:pPr>
        <w:tabs>
          <w:tab w:val="left" w:pos="720"/>
        </w:tabs>
        <w:ind w:left="180"/>
        <w:rPr>
          <w:b/>
          <w:bCs/>
          <w:sz w:val="24"/>
          <w:szCs w:val="24"/>
          <w:lang w:bidi="ar-SA"/>
        </w:rPr>
      </w:pPr>
      <w:r w:rsidRPr="00476C64">
        <w:rPr>
          <w:b/>
          <w:bCs/>
          <w:sz w:val="24"/>
          <w:szCs w:val="24"/>
          <w:lang w:bidi="ar-SA"/>
        </w:rPr>
        <w:t>Defect Upon Concur</w:t>
      </w:r>
    </w:p>
    <w:p w14:paraId="73311AFF" w14:textId="77777777" w:rsidR="007D0B12" w:rsidRDefault="007D0B12" w:rsidP="00521F9C">
      <w:pPr>
        <w:tabs>
          <w:tab w:val="left" w:pos="720"/>
        </w:tabs>
        <w:ind w:left="180"/>
        <w:rPr>
          <w:sz w:val="24"/>
          <w:szCs w:val="24"/>
          <w:lang w:bidi="ar-SA"/>
        </w:rPr>
      </w:pPr>
    </w:p>
    <w:p w14:paraId="5FCCC513" w14:textId="77777777" w:rsidR="00CD6116" w:rsidRPr="00CD6116" w:rsidRDefault="00CD6116" w:rsidP="00CD6116">
      <w:pPr>
        <w:tabs>
          <w:tab w:val="left" w:pos="720"/>
        </w:tabs>
        <w:ind w:left="180"/>
        <w:rPr>
          <w:sz w:val="24"/>
          <w:szCs w:val="24"/>
          <w:lang w:bidi="ar-SA"/>
        </w:rPr>
      </w:pPr>
      <w:r w:rsidRPr="00CD6116">
        <w:rPr>
          <w:sz w:val="24"/>
          <w:szCs w:val="24"/>
          <w:lang w:bidi="ar-SA"/>
        </w:rPr>
        <w:t>The Office of Information Technology (OIT) identified a root cause related to the defect of the VBMS-A Summary of Case Fee Decision Notice failure at concur. The fix was deployed on June 30, 2024.</w:t>
      </w:r>
    </w:p>
    <w:p w14:paraId="2ACA04D2" w14:textId="77777777" w:rsidR="00487D0F" w:rsidRDefault="00487D0F" w:rsidP="00CD6116">
      <w:pPr>
        <w:tabs>
          <w:tab w:val="left" w:pos="720"/>
        </w:tabs>
        <w:ind w:left="180"/>
        <w:rPr>
          <w:sz w:val="24"/>
          <w:szCs w:val="24"/>
          <w:lang w:bidi="ar-SA"/>
        </w:rPr>
      </w:pPr>
    </w:p>
    <w:p w14:paraId="4DB15BDE" w14:textId="698B946D" w:rsidR="00CD6116" w:rsidRDefault="00CD6116" w:rsidP="00CD6116">
      <w:pPr>
        <w:tabs>
          <w:tab w:val="left" w:pos="720"/>
        </w:tabs>
        <w:ind w:left="180"/>
        <w:rPr>
          <w:sz w:val="24"/>
          <w:szCs w:val="24"/>
          <w:lang w:bidi="ar-SA"/>
        </w:rPr>
      </w:pPr>
      <w:r w:rsidRPr="00CD6116">
        <w:rPr>
          <w:sz w:val="24"/>
          <w:szCs w:val="24"/>
          <w:lang w:bidi="ar-SA"/>
        </w:rPr>
        <w:lastRenderedPageBreak/>
        <w:t xml:space="preserve">Please continue to notify OAR of any future issues experienced with the VBMS-A Summary of Case Fee Decision Notice functionality, to include errors at concur, while also creating a trouble ticket with IT. </w:t>
      </w:r>
    </w:p>
    <w:p w14:paraId="1D53D7DF" w14:textId="77777777" w:rsidR="00033D4F" w:rsidRPr="00CD6116" w:rsidRDefault="00033D4F" w:rsidP="00CD6116">
      <w:pPr>
        <w:tabs>
          <w:tab w:val="left" w:pos="720"/>
        </w:tabs>
        <w:ind w:left="180"/>
        <w:rPr>
          <w:sz w:val="24"/>
          <w:szCs w:val="24"/>
          <w:lang w:bidi="ar-SA"/>
        </w:rPr>
      </w:pPr>
    </w:p>
    <w:p w14:paraId="281E380E" w14:textId="77777777" w:rsidR="00CD6116" w:rsidRPr="00CD6116" w:rsidRDefault="00CD6116" w:rsidP="00CD6116">
      <w:pPr>
        <w:tabs>
          <w:tab w:val="left" w:pos="720"/>
        </w:tabs>
        <w:ind w:left="180"/>
        <w:rPr>
          <w:sz w:val="24"/>
          <w:szCs w:val="24"/>
          <w:lang w:bidi="ar-SA"/>
        </w:rPr>
      </w:pPr>
      <w:r w:rsidRPr="00CD6116">
        <w:rPr>
          <w:sz w:val="24"/>
          <w:szCs w:val="24"/>
          <w:lang w:bidi="ar-SA"/>
        </w:rPr>
        <w:t xml:space="preserve">Note: Since the fix was deployed, issues with CPD DIC awards over 40k have been reported and OAR has communicated these tickets with OIT.  </w:t>
      </w:r>
    </w:p>
    <w:p w14:paraId="2F9385F5" w14:textId="77777777" w:rsidR="007D0B12" w:rsidRDefault="007D0B12" w:rsidP="00521F9C">
      <w:pPr>
        <w:tabs>
          <w:tab w:val="left" w:pos="720"/>
        </w:tabs>
        <w:ind w:left="180"/>
        <w:rPr>
          <w:sz w:val="24"/>
          <w:szCs w:val="24"/>
          <w:lang w:bidi="ar-SA"/>
        </w:rPr>
      </w:pPr>
    </w:p>
    <w:p w14:paraId="0CA8D1E4" w14:textId="66B5BA04" w:rsidR="00033D4F" w:rsidRDefault="00033D4F" w:rsidP="00521F9C">
      <w:pPr>
        <w:tabs>
          <w:tab w:val="left" w:pos="720"/>
        </w:tabs>
        <w:ind w:left="180"/>
        <w:rPr>
          <w:b/>
          <w:bCs/>
          <w:sz w:val="24"/>
          <w:szCs w:val="24"/>
          <w:lang w:bidi="ar-SA"/>
        </w:rPr>
      </w:pPr>
      <w:r w:rsidRPr="00033D4F">
        <w:rPr>
          <w:b/>
          <w:bCs/>
          <w:sz w:val="24"/>
          <w:szCs w:val="24"/>
          <w:lang w:bidi="ar-SA"/>
        </w:rPr>
        <w:t>Issues/Contentions Defect</w:t>
      </w:r>
    </w:p>
    <w:p w14:paraId="0BF2D827" w14:textId="77777777" w:rsidR="00A20051" w:rsidRPr="00521F9C" w:rsidRDefault="00A20051" w:rsidP="00521F9C">
      <w:pPr>
        <w:tabs>
          <w:tab w:val="left" w:pos="720"/>
        </w:tabs>
        <w:ind w:left="180"/>
        <w:rPr>
          <w:b/>
          <w:bCs/>
          <w:sz w:val="24"/>
          <w:szCs w:val="24"/>
          <w:lang w:bidi="ar-SA"/>
        </w:rPr>
      </w:pPr>
    </w:p>
    <w:p w14:paraId="3115E746" w14:textId="77777777" w:rsidR="00033D4F" w:rsidRPr="00033D4F" w:rsidRDefault="00033D4F" w:rsidP="00033D4F">
      <w:pPr>
        <w:tabs>
          <w:tab w:val="left" w:pos="720"/>
        </w:tabs>
        <w:ind w:left="180"/>
        <w:rPr>
          <w:sz w:val="24"/>
          <w:szCs w:val="24"/>
          <w:lang w:bidi="ar-SA"/>
        </w:rPr>
      </w:pPr>
      <w:r w:rsidRPr="00033D4F">
        <w:rPr>
          <w:sz w:val="24"/>
          <w:szCs w:val="24"/>
          <w:lang w:bidi="ar-SA"/>
        </w:rPr>
        <w:t>The Office of Information Technology (OIT) has identified a root cause related to the defect of the VBMS-A Summary of Case Fee Decision Notice failure to populate issues.</w:t>
      </w:r>
    </w:p>
    <w:p w14:paraId="0798C0BC" w14:textId="77777777" w:rsidR="00A20051" w:rsidRDefault="00A20051" w:rsidP="00033D4F">
      <w:pPr>
        <w:tabs>
          <w:tab w:val="left" w:pos="720"/>
        </w:tabs>
        <w:ind w:left="180"/>
        <w:rPr>
          <w:sz w:val="24"/>
          <w:szCs w:val="24"/>
          <w:lang w:bidi="ar-SA"/>
        </w:rPr>
      </w:pPr>
    </w:p>
    <w:p w14:paraId="30563695" w14:textId="2DC91532" w:rsidR="00033D4F" w:rsidRPr="00033D4F" w:rsidRDefault="00033D4F" w:rsidP="00033D4F">
      <w:pPr>
        <w:tabs>
          <w:tab w:val="left" w:pos="720"/>
        </w:tabs>
        <w:ind w:left="180"/>
        <w:rPr>
          <w:sz w:val="24"/>
          <w:szCs w:val="24"/>
          <w:lang w:bidi="ar-SA"/>
        </w:rPr>
      </w:pPr>
      <w:r w:rsidRPr="00033D4F">
        <w:rPr>
          <w:sz w:val="24"/>
          <w:szCs w:val="24"/>
          <w:lang w:bidi="ar-SA"/>
        </w:rPr>
        <w:t xml:space="preserve">The identified root cause stems from decisions granting an </w:t>
      </w:r>
      <w:r w:rsidRPr="00033D4F">
        <w:rPr>
          <w:b/>
          <w:bCs/>
          <w:sz w:val="24"/>
          <w:szCs w:val="24"/>
          <w:lang w:bidi="ar-SA"/>
        </w:rPr>
        <w:t xml:space="preserve">earlier effective date </w:t>
      </w:r>
      <w:r w:rsidRPr="00033D4F">
        <w:rPr>
          <w:sz w:val="24"/>
          <w:szCs w:val="24"/>
          <w:lang w:bidi="ar-SA"/>
        </w:rPr>
        <w:t xml:space="preserve">on already </w:t>
      </w:r>
      <w:r w:rsidR="00A20051" w:rsidRPr="00033D4F">
        <w:rPr>
          <w:sz w:val="24"/>
          <w:szCs w:val="24"/>
          <w:lang w:bidi="ar-SA"/>
        </w:rPr>
        <w:t>service-connected</w:t>
      </w:r>
      <w:r w:rsidRPr="00033D4F">
        <w:rPr>
          <w:sz w:val="24"/>
          <w:szCs w:val="24"/>
          <w:lang w:bidi="ar-SA"/>
        </w:rPr>
        <w:t xml:space="preserve"> conditions. (Fix</w:t>
      </w:r>
      <w:r w:rsidR="00EA714A">
        <w:rPr>
          <w:sz w:val="24"/>
          <w:szCs w:val="24"/>
          <w:lang w:bidi="ar-SA"/>
        </w:rPr>
        <w:t xml:space="preserve"> is scheduled for July 28</w:t>
      </w:r>
      <w:r w:rsidR="00EA714A" w:rsidRPr="00106706">
        <w:rPr>
          <w:sz w:val="24"/>
          <w:szCs w:val="24"/>
          <w:vertAlign w:val="superscript"/>
          <w:lang w:bidi="ar-SA"/>
        </w:rPr>
        <w:t>th</w:t>
      </w:r>
      <w:r w:rsidR="00106706">
        <w:rPr>
          <w:sz w:val="24"/>
          <w:szCs w:val="24"/>
          <w:lang w:bidi="ar-SA"/>
        </w:rPr>
        <w:t xml:space="preserve"> deploy</w:t>
      </w:r>
      <w:r w:rsidR="00F335C6">
        <w:rPr>
          <w:sz w:val="24"/>
          <w:szCs w:val="24"/>
          <w:lang w:bidi="ar-SA"/>
        </w:rPr>
        <w:t>ment.</w:t>
      </w:r>
      <w:r w:rsidRPr="00033D4F">
        <w:rPr>
          <w:sz w:val="24"/>
          <w:szCs w:val="24"/>
          <w:lang w:bidi="ar-SA"/>
        </w:rPr>
        <w:t>)</w:t>
      </w:r>
    </w:p>
    <w:p w14:paraId="7678B6E9" w14:textId="77777777" w:rsidR="00033D4F" w:rsidRPr="00F335C6" w:rsidRDefault="00033D4F" w:rsidP="005A1AC8">
      <w:pPr>
        <w:pStyle w:val="ListParagraph"/>
        <w:numPr>
          <w:ilvl w:val="0"/>
          <w:numId w:val="1"/>
        </w:numPr>
        <w:tabs>
          <w:tab w:val="left" w:pos="720"/>
        </w:tabs>
        <w:rPr>
          <w:sz w:val="24"/>
          <w:szCs w:val="24"/>
          <w:lang w:bidi="ar-SA"/>
        </w:rPr>
      </w:pPr>
      <w:r w:rsidRPr="00F335C6">
        <w:rPr>
          <w:sz w:val="24"/>
          <w:szCs w:val="24"/>
          <w:lang w:bidi="ar-SA"/>
        </w:rPr>
        <w:t>“An earlier effective date has been assigned for ____ from ____”. </w:t>
      </w:r>
    </w:p>
    <w:p w14:paraId="100DFF1C" w14:textId="5099CD5F" w:rsidR="00033D4F" w:rsidRDefault="00033D4F" w:rsidP="005A1AC8">
      <w:pPr>
        <w:pStyle w:val="ListParagraph"/>
        <w:numPr>
          <w:ilvl w:val="0"/>
          <w:numId w:val="1"/>
        </w:numPr>
        <w:tabs>
          <w:tab w:val="left" w:pos="720"/>
        </w:tabs>
        <w:rPr>
          <w:sz w:val="24"/>
          <w:szCs w:val="24"/>
          <w:lang w:bidi="ar-SA"/>
        </w:rPr>
      </w:pPr>
      <w:r w:rsidRPr="00F335C6">
        <w:rPr>
          <w:sz w:val="24"/>
          <w:szCs w:val="24"/>
          <w:lang w:bidi="ar-SA"/>
        </w:rPr>
        <w:t>“An effective date of _____ has been assigned for ____”</w:t>
      </w:r>
      <w:r w:rsidR="00F335C6">
        <w:rPr>
          <w:sz w:val="24"/>
          <w:szCs w:val="24"/>
          <w:lang w:bidi="ar-SA"/>
        </w:rPr>
        <w:t>.</w:t>
      </w:r>
    </w:p>
    <w:p w14:paraId="451EB587" w14:textId="77777777" w:rsidR="00F335C6" w:rsidRPr="00F335C6" w:rsidRDefault="00F335C6" w:rsidP="00F335C6">
      <w:pPr>
        <w:pStyle w:val="ListParagraph"/>
        <w:tabs>
          <w:tab w:val="left" w:pos="720"/>
        </w:tabs>
        <w:ind w:left="720" w:firstLine="0"/>
        <w:rPr>
          <w:sz w:val="24"/>
          <w:szCs w:val="24"/>
          <w:lang w:bidi="ar-SA"/>
        </w:rPr>
      </w:pPr>
    </w:p>
    <w:p w14:paraId="04008F65" w14:textId="77777777" w:rsidR="00033D4F" w:rsidRPr="00033D4F" w:rsidRDefault="00033D4F" w:rsidP="00033D4F">
      <w:pPr>
        <w:tabs>
          <w:tab w:val="left" w:pos="720"/>
        </w:tabs>
        <w:ind w:left="180"/>
        <w:rPr>
          <w:sz w:val="24"/>
          <w:szCs w:val="24"/>
          <w:lang w:bidi="ar-SA"/>
        </w:rPr>
      </w:pPr>
      <w:r w:rsidRPr="00033D4F">
        <w:rPr>
          <w:b/>
          <w:bCs/>
          <w:sz w:val="24"/>
          <w:szCs w:val="24"/>
          <w:lang w:bidi="ar-SA"/>
        </w:rPr>
        <w:t xml:space="preserve">Please continue to submit IT tickets and notify the Office of Administrative Review, </w:t>
      </w:r>
      <w:r w:rsidRPr="00033D4F">
        <w:rPr>
          <w:b/>
          <w:bCs/>
          <w:sz w:val="24"/>
          <w:szCs w:val="24"/>
          <w:u w:val="single"/>
          <w:lang w:bidi="ar-SA"/>
        </w:rPr>
        <w:t xml:space="preserve">specifying the issues that did not populate </w:t>
      </w:r>
      <w:r w:rsidRPr="00033D4F">
        <w:rPr>
          <w:b/>
          <w:bCs/>
          <w:sz w:val="24"/>
          <w:szCs w:val="24"/>
          <w:lang w:bidi="ar-SA"/>
        </w:rPr>
        <w:t>in your fee decision.</w:t>
      </w:r>
    </w:p>
    <w:p w14:paraId="3402D744" w14:textId="77777777" w:rsidR="00521F9C" w:rsidRPr="008858D6" w:rsidRDefault="00521F9C" w:rsidP="003A4005">
      <w:pPr>
        <w:tabs>
          <w:tab w:val="left" w:pos="720"/>
        </w:tabs>
        <w:ind w:left="180"/>
        <w:rPr>
          <w:sz w:val="24"/>
          <w:szCs w:val="24"/>
          <w:lang w:bidi="ar-SA"/>
        </w:rPr>
      </w:pPr>
    </w:p>
    <w:p w14:paraId="2AD9BCBC" w14:textId="3E0BEED2" w:rsidR="003A4005" w:rsidRPr="00BE05B0" w:rsidRDefault="003A4005" w:rsidP="003A4005">
      <w:pPr>
        <w:pStyle w:val="Heading1"/>
        <w:pBdr>
          <w:bottom w:val="thinThickLargeGap" w:sz="8" w:space="1" w:color="auto"/>
        </w:pBdr>
        <w:spacing w:before="173"/>
        <w:ind w:left="187" w:right="0"/>
        <w:rPr>
          <w:color w:val="001F5F"/>
          <w:sz w:val="24"/>
          <w:szCs w:val="24"/>
        </w:rPr>
      </w:pPr>
      <w:bookmarkStart w:id="7" w:name="_Toc172643480"/>
      <w:r>
        <w:rPr>
          <w:color w:val="001F5F"/>
          <w:sz w:val="24"/>
          <w:szCs w:val="24"/>
        </w:rPr>
        <w:t xml:space="preserve">Question and Answer – </w:t>
      </w:r>
      <w:r w:rsidR="000565D4">
        <w:rPr>
          <w:color w:val="001F5F"/>
          <w:sz w:val="24"/>
          <w:szCs w:val="24"/>
        </w:rPr>
        <w:t>Summary of the Case Fee Decision Notice Tickets</w:t>
      </w:r>
      <w:bookmarkEnd w:id="7"/>
    </w:p>
    <w:p w14:paraId="7E2A41CC" w14:textId="60B78A34" w:rsidR="003A4005" w:rsidRDefault="003A4005" w:rsidP="003A4005">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 xml:space="preserve">1. </w:t>
      </w:r>
      <w:r w:rsidR="00080E4A">
        <w:rPr>
          <w:rStyle w:val="normaltextrun"/>
          <w:rFonts w:ascii="Arial" w:hAnsi="Arial" w:cs="Arial"/>
          <w:b/>
          <w:bCs/>
        </w:rPr>
        <w:t xml:space="preserve">Question - </w:t>
      </w:r>
      <w:r w:rsidR="00C745AD" w:rsidRPr="00C745AD">
        <w:rPr>
          <w:rStyle w:val="normaltextrun"/>
          <w:rFonts w:ascii="Arial" w:hAnsi="Arial" w:cs="Arial"/>
          <w:b/>
          <w:bCs/>
        </w:rPr>
        <w:t>Please address the confirm and continue as being okay on the SOC in the Bulletin. Doesn't appear to be on the slide and would be helpful to have that in writing.</w:t>
      </w:r>
      <w:r>
        <w:rPr>
          <w:rStyle w:val="eop"/>
          <w:rFonts w:ascii="Arial" w:hAnsi="Arial" w:cs="Arial"/>
        </w:rPr>
        <w:t> </w:t>
      </w:r>
    </w:p>
    <w:p w14:paraId="362B3695" w14:textId="5840D146" w:rsidR="003A4005" w:rsidRDefault="00080E4A" w:rsidP="003A4005">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rPr>
        <w:t xml:space="preserve">Answer - </w:t>
      </w:r>
      <w:r w:rsidR="00C745AD" w:rsidRPr="00C745AD">
        <w:rPr>
          <w:rStyle w:val="normaltextrun"/>
          <w:rFonts w:ascii="Arial" w:hAnsi="Arial" w:cs="Arial"/>
        </w:rPr>
        <w:t>Yes, the fix to correct the issues/contentions defect includes adding the confirmed and continued decisions back into the SOC. This is expected behavior.</w:t>
      </w:r>
      <w:r w:rsidR="003A4005">
        <w:rPr>
          <w:rStyle w:val="normaltextrun"/>
          <w:rFonts w:ascii="Arial" w:hAnsi="Arial" w:cs="Arial"/>
        </w:rPr>
        <w:t> </w:t>
      </w:r>
      <w:r w:rsidR="003A4005">
        <w:rPr>
          <w:rStyle w:val="eop"/>
          <w:rFonts w:ascii="Arial" w:hAnsi="Arial" w:cs="Arial"/>
        </w:rPr>
        <w:t> </w:t>
      </w:r>
    </w:p>
    <w:p w14:paraId="32D9B531" w14:textId="77777777" w:rsidR="003A4005" w:rsidRDefault="003A4005" w:rsidP="003A4005">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sectPr w:rsidR="003A4005">
      <w:headerReference w:type="default" r:id="rId27"/>
      <w:footerReference w:type="default" r:id="rId28"/>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5CB9A" w14:textId="77777777" w:rsidR="00054994" w:rsidRDefault="00054994">
      <w:r>
        <w:separator/>
      </w:r>
    </w:p>
  </w:endnote>
  <w:endnote w:type="continuationSeparator" w:id="0">
    <w:p w14:paraId="704EC6FB" w14:textId="77777777" w:rsidR="00054994" w:rsidRDefault="0005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369472" behindDoc="1" locked="0" layoutInCell="1" allowOverlap="1" wp14:anchorId="766F95BB" wp14:editId="310F629A">
              <wp:simplePos x="0" y="0"/>
              <wp:positionH relativeFrom="page">
                <wp:posOffset>905814</wp:posOffset>
              </wp:positionH>
              <wp:positionV relativeFrom="bottomMargin">
                <wp:posOffset>104999</wp:posOffset>
              </wp:positionV>
              <wp:extent cx="2850524" cy="180975"/>
              <wp:effectExtent l="0" t="0" r="698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67880E1A" w:rsidR="00032A4F" w:rsidRDefault="005E2C67">
                          <w:pPr>
                            <w:pStyle w:val="BodyText"/>
                            <w:spacing w:before="12"/>
                            <w:ind w:left="20"/>
                          </w:pPr>
                          <w:r>
                            <w:t>July 2024</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3pt;margin-top:8.25pt;width:224.45pt;height:14.2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67880E1A" w:rsidR="00032A4F" w:rsidRDefault="005E2C67">
                    <w:pPr>
                      <w:pStyle w:val="BodyText"/>
                      <w:spacing w:before="12"/>
                      <w:ind w:left="20"/>
                    </w:pPr>
                    <w:r>
                      <w:t>July 2024</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370496"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368448"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w:pict>
            <v:group id="Group 3" style="position:absolute;margin-left:70.55pt;margin-top:709.15pt;width:470.9pt;height:2.9pt;z-index:-251948032;mso-position-horizontal-relative:page;mso-position-vertical-relative:page" alt="&quot;&quot;" coordsize="9418,58" coordorigin="1411,14048" o:spid="_x0000_s1026" w14:anchorId="5EBC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style="position:absolute;visibility:visible;mso-wrap-style:square" o:spid="_x0000_s1027" strokecolor="#001f5f" strokeweight="1.44pt" o:connectortype="straight" from="1411,14062" to="10829,1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v:line id="Line 4" style="position:absolute;visibility:visible;mso-wrap-style:square" o:spid="_x0000_s1028" strokecolor="#001f5f" strokeweight=".72pt" o:connectortype="straight" from="1411,14098" to="10829,1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6E41" w14:textId="77777777" w:rsidR="00054994" w:rsidRDefault="00054994">
      <w:r>
        <w:separator/>
      </w:r>
    </w:p>
  </w:footnote>
  <w:footnote w:type="continuationSeparator" w:id="0">
    <w:p w14:paraId="75FBBA93" w14:textId="77777777" w:rsidR="00054994" w:rsidRDefault="0005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36640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w:pict>
            <v:group id="Group 7" style="position:absolute;margin-left:560.8pt;margin-top:0;width:612pt;height:91.5pt;z-index:-251950080;mso-position-horizontal:right;mso-position-horizontal-relative:page;mso-position-vertical:top;mso-position-vertical-relative:page" alt="&quot;&quot;" coordsize="12240,1856" o:spid="_x0000_s1026" w14:anchorId="33B37E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style="position:absolute;left:1440;top:712;width:9360;height:433;visibility:visible;mso-wrap-style:square;v-text-anchor:top" o:spid="_x0000_s1027" fillcolor="#4470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2240;height:18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o:title="" r:id="rId2"/>
              </v:shape>
              <w10:wrap anchorx="page" anchory="page"/>
            </v:group>
          </w:pict>
        </mc:Fallback>
      </mc:AlternateContent>
    </w:r>
    <w:r>
      <w:rPr>
        <w:noProof/>
      </w:rPr>
      <mc:AlternateContent>
        <mc:Choice Requires="wps">
          <w:drawing>
            <wp:anchor distT="0" distB="0" distL="114300" distR="114300" simplePos="0" relativeHeight="251367424"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D4F7E"/>
    <w:multiLevelType w:val="hybridMultilevel"/>
    <w:tmpl w:val="BC8A88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67F2785"/>
    <w:multiLevelType w:val="hybridMultilevel"/>
    <w:tmpl w:val="CB2AA0E4"/>
    <w:lvl w:ilvl="0" w:tplc="D75452B8">
      <w:start w:val="1"/>
      <w:numFmt w:val="bullet"/>
      <w:lvlText w:val="•"/>
      <w:lvlJc w:val="left"/>
      <w:pPr>
        <w:tabs>
          <w:tab w:val="num" w:pos="720"/>
        </w:tabs>
        <w:ind w:left="720" w:hanging="360"/>
      </w:pPr>
      <w:rPr>
        <w:rFonts w:ascii="Arial" w:hAnsi="Arial" w:hint="default"/>
      </w:rPr>
    </w:lvl>
    <w:lvl w:ilvl="1" w:tplc="C6706C1C" w:tentative="1">
      <w:start w:val="1"/>
      <w:numFmt w:val="bullet"/>
      <w:lvlText w:val="•"/>
      <w:lvlJc w:val="left"/>
      <w:pPr>
        <w:tabs>
          <w:tab w:val="num" w:pos="1440"/>
        </w:tabs>
        <w:ind w:left="1440" w:hanging="360"/>
      </w:pPr>
      <w:rPr>
        <w:rFonts w:ascii="Arial" w:hAnsi="Arial" w:hint="default"/>
      </w:rPr>
    </w:lvl>
    <w:lvl w:ilvl="2" w:tplc="DB0281E6" w:tentative="1">
      <w:start w:val="1"/>
      <w:numFmt w:val="bullet"/>
      <w:lvlText w:val="•"/>
      <w:lvlJc w:val="left"/>
      <w:pPr>
        <w:tabs>
          <w:tab w:val="num" w:pos="2160"/>
        </w:tabs>
        <w:ind w:left="2160" w:hanging="360"/>
      </w:pPr>
      <w:rPr>
        <w:rFonts w:ascii="Arial" w:hAnsi="Arial" w:hint="default"/>
      </w:rPr>
    </w:lvl>
    <w:lvl w:ilvl="3" w:tplc="B26EDDBA" w:tentative="1">
      <w:start w:val="1"/>
      <w:numFmt w:val="bullet"/>
      <w:lvlText w:val="•"/>
      <w:lvlJc w:val="left"/>
      <w:pPr>
        <w:tabs>
          <w:tab w:val="num" w:pos="2880"/>
        </w:tabs>
        <w:ind w:left="2880" w:hanging="360"/>
      </w:pPr>
      <w:rPr>
        <w:rFonts w:ascii="Arial" w:hAnsi="Arial" w:hint="default"/>
      </w:rPr>
    </w:lvl>
    <w:lvl w:ilvl="4" w:tplc="B72E0168" w:tentative="1">
      <w:start w:val="1"/>
      <w:numFmt w:val="bullet"/>
      <w:lvlText w:val="•"/>
      <w:lvlJc w:val="left"/>
      <w:pPr>
        <w:tabs>
          <w:tab w:val="num" w:pos="3600"/>
        </w:tabs>
        <w:ind w:left="3600" w:hanging="360"/>
      </w:pPr>
      <w:rPr>
        <w:rFonts w:ascii="Arial" w:hAnsi="Arial" w:hint="default"/>
      </w:rPr>
    </w:lvl>
    <w:lvl w:ilvl="5" w:tplc="5A1EA808" w:tentative="1">
      <w:start w:val="1"/>
      <w:numFmt w:val="bullet"/>
      <w:lvlText w:val="•"/>
      <w:lvlJc w:val="left"/>
      <w:pPr>
        <w:tabs>
          <w:tab w:val="num" w:pos="4320"/>
        </w:tabs>
        <w:ind w:left="4320" w:hanging="360"/>
      </w:pPr>
      <w:rPr>
        <w:rFonts w:ascii="Arial" w:hAnsi="Arial" w:hint="default"/>
      </w:rPr>
    </w:lvl>
    <w:lvl w:ilvl="6" w:tplc="D4EACF76" w:tentative="1">
      <w:start w:val="1"/>
      <w:numFmt w:val="bullet"/>
      <w:lvlText w:val="•"/>
      <w:lvlJc w:val="left"/>
      <w:pPr>
        <w:tabs>
          <w:tab w:val="num" w:pos="5040"/>
        </w:tabs>
        <w:ind w:left="5040" w:hanging="360"/>
      </w:pPr>
      <w:rPr>
        <w:rFonts w:ascii="Arial" w:hAnsi="Arial" w:hint="default"/>
      </w:rPr>
    </w:lvl>
    <w:lvl w:ilvl="7" w:tplc="681EAAE2" w:tentative="1">
      <w:start w:val="1"/>
      <w:numFmt w:val="bullet"/>
      <w:lvlText w:val="•"/>
      <w:lvlJc w:val="left"/>
      <w:pPr>
        <w:tabs>
          <w:tab w:val="num" w:pos="5760"/>
        </w:tabs>
        <w:ind w:left="5760" w:hanging="360"/>
      </w:pPr>
      <w:rPr>
        <w:rFonts w:ascii="Arial" w:hAnsi="Arial" w:hint="default"/>
      </w:rPr>
    </w:lvl>
    <w:lvl w:ilvl="8" w:tplc="508A2B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3A08EF"/>
    <w:multiLevelType w:val="hybridMultilevel"/>
    <w:tmpl w:val="866A1070"/>
    <w:lvl w:ilvl="0" w:tplc="04090001">
      <w:start w:val="1"/>
      <w:numFmt w:val="bullet"/>
      <w:lvlText w:val=""/>
      <w:lvlJc w:val="left"/>
      <w:pPr>
        <w:tabs>
          <w:tab w:val="num" w:pos="720"/>
        </w:tabs>
        <w:ind w:left="720" w:hanging="360"/>
      </w:pPr>
      <w:rPr>
        <w:rFonts w:ascii="Symbol" w:hAnsi="Symbol" w:hint="default"/>
      </w:rPr>
    </w:lvl>
    <w:lvl w:ilvl="1" w:tplc="3CFCE204">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num w:numId="1" w16cid:durableId="43994752">
    <w:abstractNumId w:val="2"/>
  </w:num>
  <w:num w:numId="2" w16cid:durableId="1785730513">
    <w:abstractNumId w:val="0"/>
  </w:num>
  <w:num w:numId="3" w16cid:durableId="18390736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2D7E"/>
    <w:rsid w:val="00003CC9"/>
    <w:rsid w:val="00007E1C"/>
    <w:rsid w:val="00010A3F"/>
    <w:rsid w:val="00011627"/>
    <w:rsid w:val="00012C6D"/>
    <w:rsid w:val="00014A10"/>
    <w:rsid w:val="00022CCF"/>
    <w:rsid w:val="00026A9A"/>
    <w:rsid w:val="000270B4"/>
    <w:rsid w:val="00032A4F"/>
    <w:rsid w:val="00033B66"/>
    <w:rsid w:val="00033D4F"/>
    <w:rsid w:val="000361C9"/>
    <w:rsid w:val="0003650E"/>
    <w:rsid w:val="00047D16"/>
    <w:rsid w:val="00054994"/>
    <w:rsid w:val="000565D4"/>
    <w:rsid w:val="00057A83"/>
    <w:rsid w:val="00062382"/>
    <w:rsid w:val="00063458"/>
    <w:rsid w:val="00074104"/>
    <w:rsid w:val="00074F85"/>
    <w:rsid w:val="00080742"/>
    <w:rsid w:val="00080E4A"/>
    <w:rsid w:val="00090F8F"/>
    <w:rsid w:val="00095A02"/>
    <w:rsid w:val="000A036D"/>
    <w:rsid w:val="000A0590"/>
    <w:rsid w:val="000A2FF9"/>
    <w:rsid w:val="000A38CD"/>
    <w:rsid w:val="000A45E1"/>
    <w:rsid w:val="000A4A9E"/>
    <w:rsid w:val="000A57CD"/>
    <w:rsid w:val="000B1585"/>
    <w:rsid w:val="000B31A9"/>
    <w:rsid w:val="000C2427"/>
    <w:rsid w:val="000C65FD"/>
    <w:rsid w:val="000D6AAC"/>
    <w:rsid w:val="000E02F2"/>
    <w:rsid w:val="000E362A"/>
    <w:rsid w:val="000E44E7"/>
    <w:rsid w:val="000E5C07"/>
    <w:rsid w:val="000E6565"/>
    <w:rsid w:val="000F1D94"/>
    <w:rsid w:val="000F40B0"/>
    <w:rsid w:val="000F6A28"/>
    <w:rsid w:val="00100D42"/>
    <w:rsid w:val="00103083"/>
    <w:rsid w:val="00104C72"/>
    <w:rsid w:val="00104CA8"/>
    <w:rsid w:val="00105A9A"/>
    <w:rsid w:val="00106706"/>
    <w:rsid w:val="0011280C"/>
    <w:rsid w:val="00121DB7"/>
    <w:rsid w:val="001254A2"/>
    <w:rsid w:val="00132D59"/>
    <w:rsid w:val="00137572"/>
    <w:rsid w:val="00137B44"/>
    <w:rsid w:val="001439B6"/>
    <w:rsid w:val="00143A59"/>
    <w:rsid w:val="00144469"/>
    <w:rsid w:val="0014613D"/>
    <w:rsid w:val="00154AB2"/>
    <w:rsid w:val="001561B3"/>
    <w:rsid w:val="0016697E"/>
    <w:rsid w:val="00166BB4"/>
    <w:rsid w:val="00170E21"/>
    <w:rsid w:val="001752DE"/>
    <w:rsid w:val="00176C1A"/>
    <w:rsid w:val="0018271A"/>
    <w:rsid w:val="00182A46"/>
    <w:rsid w:val="00184963"/>
    <w:rsid w:val="0018499D"/>
    <w:rsid w:val="001850F8"/>
    <w:rsid w:val="00192FA5"/>
    <w:rsid w:val="0019656B"/>
    <w:rsid w:val="001978AC"/>
    <w:rsid w:val="001A16DD"/>
    <w:rsid w:val="001A5BC1"/>
    <w:rsid w:val="001B1C21"/>
    <w:rsid w:val="001B1D82"/>
    <w:rsid w:val="001B3A8A"/>
    <w:rsid w:val="001C6051"/>
    <w:rsid w:val="001C6C95"/>
    <w:rsid w:val="001C758B"/>
    <w:rsid w:val="001D094D"/>
    <w:rsid w:val="001D3160"/>
    <w:rsid w:val="001D3781"/>
    <w:rsid w:val="001D3AE3"/>
    <w:rsid w:val="001D6573"/>
    <w:rsid w:val="001D70AA"/>
    <w:rsid w:val="001E1078"/>
    <w:rsid w:val="001E1ABD"/>
    <w:rsid w:val="001E1D39"/>
    <w:rsid w:val="001F2AED"/>
    <w:rsid w:val="001F537D"/>
    <w:rsid w:val="001F615E"/>
    <w:rsid w:val="0020106E"/>
    <w:rsid w:val="00201810"/>
    <w:rsid w:val="00202919"/>
    <w:rsid w:val="002055CC"/>
    <w:rsid w:val="00205FF4"/>
    <w:rsid w:val="00216727"/>
    <w:rsid w:val="002171DF"/>
    <w:rsid w:val="00221455"/>
    <w:rsid w:val="00227CA5"/>
    <w:rsid w:val="00231937"/>
    <w:rsid w:val="00240A4A"/>
    <w:rsid w:val="00244E78"/>
    <w:rsid w:val="00245236"/>
    <w:rsid w:val="00246D55"/>
    <w:rsid w:val="0025199F"/>
    <w:rsid w:val="00251D85"/>
    <w:rsid w:val="002570E2"/>
    <w:rsid w:val="002617F6"/>
    <w:rsid w:val="0026245C"/>
    <w:rsid w:val="00262990"/>
    <w:rsid w:val="0026692D"/>
    <w:rsid w:val="002672AE"/>
    <w:rsid w:val="00267C11"/>
    <w:rsid w:val="00271724"/>
    <w:rsid w:val="0027198F"/>
    <w:rsid w:val="002748A6"/>
    <w:rsid w:val="00282055"/>
    <w:rsid w:val="00284246"/>
    <w:rsid w:val="002846E1"/>
    <w:rsid w:val="00284FA6"/>
    <w:rsid w:val="002970E0"/>
    <w:rsid w:val="002A7991"/>
    <w:rsid w:val="002A7D28"/>
    <w:rsid w:val="002B0B87"/>
    <w:rsid w:val="002B135B"/>
    <w:rsid w:val="002B315A"/>
    <w:rsid w:val="002B388D"/>
    <w:rsid w:val="002B4277"/>
    <w:rsid w:val="002B612C"/>
    <w:rsid w:val="002B6A38"/>
    <w:rsid w:val="002B7BBA"/>
    <w:rsid w:val="002B7C0F"/>
    <w:rsid w:val="002C0640"/>
    <w:rsid w:val="002C3C38"/>
    <w:rsid w:val="002C58B6"/>
    <w:rsid w:val="002C7AF8"/>
    <w:rsid w:val="002D4DD1"/>
    <w:rsid w:val="002E3205"/>
    <w:rsid w:val="002E346D"/>
    <w:rsid w:val="002E36AB"/>
    <w:rsid w:val="002E3BEE"/>
    <w:rsid w:val="002F0152"/>
    <w:rsid w:val="002F07C8"/>
    <w:rsid w:val="002F25CE"/>
    <w:rsid w:val="002F3749"/>
    <w:rsid w:val="002F3FB6"/>
    <w:rsid w:val="002F71E5"/>
    <w:rsid w:val="002F7301"/>
    <w:rsid w:val="003006BC"/>
    <w:rsid w:val="00301B79"/>
    <w:rsid w:val="00303996"/>
    <w:rsid w:val="00305FC1"/>
    <w:rsid w:val="00310E8E"/>
    <w:rsid w:val="00311D4F"/>
    <w:rsid w:val="00317C06"/>
    <w:rsid w:val="0032089C"/>
    <w:rsid w:val="00321A1B"/>
    <w:rsid w:val="00323A07"/>
    <w:rsid w:val="003309EB"/>
    <w:rsid w:val="0033338D"/>
    <w:rsid w:val="00333AA7"/>
    <w:rsid w:val="003347F8"/>
    <w:rsid w:val="00335101"/>
    <w:rsid w:val="0033610B"/>
    <w:rsid w:val="003362C5"/>
    <w:rsid w:val="003364CF"/>
    <w:rsid w:val="00337E65"/>
    <w:rsid w:val="00341F48"/>
    <w:rsid w:val="003456CC"/>
    <w:rsid w:val="003478D0"/>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9591E"/>
    <w:rsid w:val="003A1898"/>
    <w:rsid w:val="003A1F41"/>
    <w:rsid w:val="003A4005"/>
    <w:rsid w:val="003A7FE9"/>
    <w:rsid w:val="003B19EF"/>
    <w:rsid w:val="003B3E1F"/>
    <w:rsid w:val="003B5E00"/>
    <w:rsid w:val="003D0D1A"/>
    <w:rsid w:val="003D1246"/>
    <w:rsid w:val="003D6B9F"/>
    <w:rsid w:val="003E776A"/>
    <w:rsid w:val="003F14FD"/>
    <w:rsid w:val="003F1AAD"/>
    <w:rsid w:val="003F5BD8"/>
    <w:rsid w:val="00400F79"/>
    <w:rsid w:val="00401E05"/>
    <w:rsid w:val="004051CF"/>
    <w:rsid w:val="0041021C"/>
    <w:rsid w:val="004129C2"/>
    <w:rsid w:val="0042045B"/>
    <w:rsid w:val="00420BBD"/>
    <w:rsid w:val="00424DA7"/>
    <w:rsid w:val="00427B4D"/>
    <w:rsid w:val="0043671B"/>
    <w:rsid w:val="00436BE5"/>
    <w:rsid w:val="004415DE"/>
    <w:rsid w:val="0044630D"/>
    <w:rsid w:val="00447141"/>
    <w:rsid w:val="004516E3"/>
    <w:rsid w:val="00462FCB"/>
    <w:rsid w:val="00470030"/>
    <w:rsid w:val="0047008B"/>
    <w:rsid w:val="004706B9"/>
    <w:rsid w:val="00476C64"/>
    <w:rsid w:val="00476F68"/>
    <w:rsid w:val="004772C8"/>
    <w:rsid w:val="004801BD"/>
    <w:rsid w:val="00483FC0"/>
    <w:rsid w:val="00484CA3"/>
    <w:rsid w:val="00487D0F"/>
    <w:rsid w:val="00491A4D"/>
    <w:rsid w:val="00494B74"/>
    <w:rsid w:val="0049511B"/>
    <w:rsid w:val="00497DDC"/>
    <w:rsid w:val="00497FD0"/>
    <w:rsid w:val="004A19D0"/>
    <w:rsid w:val="004A3348"/>
    <w:rsid w:val="004A3609"/>
    <w:rsid w:val="004A3DDF"/>
    <w:rsid w:val="004A66EE"/>
    <w:rsid w:val="004A777F"/>
    <w:rsid w:val="004B5A66"/>
    <w:rsid w:val="004B754C"/>
    <w:rsid w:val="004C0D48"/>
    <w:rsid w:val="004C2322"/>
    <w:rsid w:val="004C302C"/>
    <w:rsid w:val="004C3532"/>
    <w:rsid w:val="004C58BC"/>
    <w:rsid w:val="004D01A2"/>
    <w:rsid w:val="004D16C1"/>
    <w:rsid w:val="004D1E66"/>
    <w:rsid w:val="004D4680"/>
    <w:rsid w:val="004D5077"/>
    <w:rsid w:val="004E1423"/>
    <w:rsid w:val="004E3529"/>
    <w:rsid w:val="004E7264"/>
    <w:rsid w:val="004F0F05"/>
    <w:rsid w:val="004F105F"/>
    <w:rsid w:val="004F6513"/>
    <w:rsid w:val="005060F4"/>
    <w:rsid w:val="005075B7"/>
    <w:rsid w:val="005122EC"/>
    <w:rsid w:val="00514A22"/>
    <w:rsid w:val="005168E0"/>
    <w:rsid w:val="00521F9C"/>
    <w:rsid w:val="00523172"/>
    <w:rsid w:val="005248AE"/>
    <w:rsid w:val="00530689"/>
    <w:rsid w:val="00532734"/>
    <w:rsid w:val="0053383A"/>
    <w:rsid w:val="00533AB4"/>
    <w:rsid w:val="005438B3"/>
    <w:rsid w:val="00547441"/>
    <w:rsid w:val="00550E5F"/>
    <w:rsid w:val="0055265A"/>
    <w:rsid w:val="00555A17"/>
    <w:rsid w:val="005569F2"/>
    <w:rsid w:val="0056005E"/>
    <w:rsid w:val="00562B86"/>
    <w:rsid w:val="00563874"/>
    <w:rsid w:val="00566CFA"/>
    <w:rsid w:val="00582189"/>
    <w:rsid w:val="0058367A"/>
    <w:rsid w:val="00584A58"/>
    <w:rsid w:val="00590463"/>
    <w:rsid w:val="00595BFE"/>
    <w:rsid w:val="005974E7"/>
    <w:rsid w:val="005A0EF0"/>
    <w:rsid w:val="005A1AC8"/>
    <w:rsid w:val="005A35CA"/>
    <w:rsid w:val="005A62D3"/>
    <w:rsid w:val="005B43F6"/>
    <w:rsid w:val="005B5486"/>
    <w:rsid w:val="005C4CB4"/>
    <w:rsid w:val="005C71DC"/>
    <w:rsid w:val="005D2333"/>
    <w:rsid w:val="005E2B4F"/>
    <w:rsid w:val="005E2C67"/>
    <w:rsid w:val="005E4707"/>
    <w:rsid w:val="005E71DE"/>
    <w:rsid w:val="005F0260"/>
    <w:rsid w:val="005F29FF"/>
    <w:rsid w:val="005F30FE"/>
    <w:rsid w:val="005F47E4"/>
    <w:rsid w:val="005F499C"/>
    <w:rsid w:val="005F7618"/>
    <w:rsid w:val="005F783A"/>
    <w:rsid w:val="00601827"/>
    <w:rsid w:val="0060229E"/>
    <w:rsid w:val="00602EB7"/>
    <w:rsid w:val="00603460"/>
    <w:rsid w:val="006052FD"/>
    <w:rsid w:val="00606C36"/>
    <w:rsid w:val="00607815"/>
    <w:rsid w:val="006104F1"/>
    <w:rsid w:val="00612BEC"/>
    <w:rsid w:val="00614637"/>
    <w:rsid w:val="00614AAA"/>
    <w:rsid w:val="006167EA"/>
    <w:rsid w:val="00620D66"/>
    <w:rsid w:val="00622161"/>
    <w:rsid w:val="00630C36"/>
    <w:rsid w:val="00632749"/>
    <w:rsid w:val="00632A25"/>
    <w:rsid w:val="0064224C"/>
    <w:rsid w:val="00645291"/>
    <w:rsid w:val="0065254C"/>
    <w:rsid w:val="006542D7"/>
    <w:rsid w:val="0065586E"/>
    <w:rsid w:val="00656AF5"/>
    <w:rsid w:val="00662353"/>
    <w:rsid w:val="00666EEB"/>
    <w:rsid w:val="006701D2"/>
    <w:rsid w:val="00670979"/>
    <w:rsid w:val="00672401"/>
    <w:rsid w:val="0067291C"/>
    <w:rsid w:val="006729CB"/>
    <w:rsid w:val="00673B50"/>
    <w:rsid w:val="00676FFE"/>
    <w:rsid w:val="0067725C"/>
    <w:rsid w:val="00683849"/>
    <w:rsid w:val="0068585E"/>
    <w:rsid w:val="00694928"/>
    <w:rsid w:val="00696CE3"/>
    <w:rsid w:val="00697C2A"/>
    <w:rsid w:val="006A22E4"/>
    <w:rsid w:val="006A7664"/>
    <w:rsid w:val="006B60DE"/>
    <w:rsid w:val="006C32AE"/>
    <w:rsid w:val="006C421E"/>
    <w:rsid w:val="006C5205"/>
    <w:rsid w:val="006D21F4"/>
    <w:rsid w:val="006D5495"/>
    <w:rsid w:val="006E49AF"/>
    <w:rsid w:val="006E5F47"/>
    <w:rsid w:val="006E64C4"/>
    <w:rsid w:val="006E693E"/>
    <w:rsid w:val="006F2F21"/>
    <w:rsid w:val="006F3E7A"/>
    <w:rsid w:val="0070119E"/>
    <w:rsid w:val="0070137D"/>
    <w:rsid w:val="007065AF"/>
    <w:rsid w:val="00706ABB"/>
    <w:rsid w:val="00716D1F"/>
    <w:rsid w:val="00717A52"/>
    <w:rsid w:val="00733369"/>
    <w:rsid w:val="0073665A"/>
    <w:rsid w:val="00742F10"/>
    <w:rsid w:val="00743A2C"/>
    <w:rsid w:val="00745C57"/>
    <w:rsid w:val="00747C42"/>
    <w:rsid w:val="007503ED"/>
    <w:rsid w:val="00753641"/>
    <w:rsid w:val="00754344"/>
    <w:rsid w:val="00762E59"/>
    <w:rsid w:val="00763150"/>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176"/>
    <w:rsid w:val="007C5A78"/>
    <w:rsid w:val="007D0B12"/>
    <w:rsid w:val="007D24FA"/>
    <w:rsid w:val="007D3867"/>
    <w:rsid w:val="007D7D3E"/>
    <w:rsid w:val="007E00EA"/>
    <w:rsid w:val="007E09E7"/>
    <w:rsid w:val="007E7D20"/>
    <w:rsid w:val="007F5007"/>
    <w:rsid w:val="007F552D"/>
    <w:rsid w:val="007F7D37"/>
    <w:rsid w:val="00802FBF"/>
    <w:rsid w:val="00803ED4"/>
    <w:rsid w:val="008076E9"/>
    <w:rsid w:val="00812A63"/>
    <w:rsid w:val="00813CB8"/>
    <w:rsid w:val="00816EDB"/>
    <w:rsid w:val="008177C9"/>
    <w:rsid w:val="008227AA"/>
    <w:rsid w:val="008246F6"/>
    <w:rsid w:val="00826855"/>
    <w:rsid w:val="0082763F"/>
    <w:rsid w:val="008316AB"/>
    <w:rsid w:val="00832947"/>
    <w:rsid w:val="00834F9F"/>
    <w:rsid w:val="00835A46"/>
    <w:rsid w:val="0083669C"/>
    <w:rsid w:val="0084538A"/>
    <w:rsid w:val="00850FC8"/>
    <w:rsid w:val="00851FC8"/>
    <w:rsid w:val="0086178D"/>
    <w:rsid w:val="00872D3A"/>
    <w:rsid w:val="00876227"/>
    <w:rsid w:val="008763D6"/>
    <w:rsid w:val="0088132F"/>
    <w:rsid w:val="00881D24"/>
    <w:rsid w:val="00884898"/>
    <w:rsid w:val="008857A5"/>
    <w:rsid w:val="0088582C"/>
    <w:rsid w:val="008858D6"/>
    <w:rsid w:val="008861B1"/>
    <w:rsid w:val="0088689B"/>
    <w:rsid w:val="0089488E"/>
    <w:rsid w:val="008952FF"/>
    <w:rsid w:val="008A247C"/>
    <w:rsid w:val="008A29E9"/>
    <w:rsid w:val="008A329C"/>
    <w:rsid w:val="008A3928"/>
    <w:rsid w:val="008A3E89"/>
    <w:rsid w:val="008A7B34"/>
    <w:rsid w:val="008A7D26"/>
    <w:rsid w:val="008B490A"/>
    <w:rsid w:val="008B557C"/>
    <w:rsid w:val="008B7F69"/>
    <w:rsid w:val="008C0D25"/>
    <w:rsid w:val="008C1726"/>
    <w:rsid w:val="008C17AB"/>
    <w:rsid w:val="008C2660"/>
    <w:rsid w:val="008C7ADD"/>
    <w:rsid w:val="008C7BAE"/>
    <w:rsid w:val="008D1D2D"/>
    <w:rsid w:val="008D1D7E"/>
    <w:rsid w:val="008D28EB"/>
    <w:rsid w:val="008D494F"/>
    <w:rsid w:val="008D51C4"/>
    <w:rsid w:val="008E0579"/>
    <w:rsid w:val="008E2D2E"/>
    <w:rsid w:val="008E6B54"/>
    <w:rsid w:val="008E70AF"/>
    <w:rsid w:val="008E72C8"/>
    <w:rsid w:val="008F4991"/>
    <w:rsid w:val="009024B9"/>
    <w:rsid w:val="00904EAC"/>
    <w:rsid w:val="009100C8"/>
    <w:rsid w:val="0091706A"/>
    <w:rsid w:val="00920631"/>
    <w:rsid w:val="0092346B"/>
    <w:rsid w:val="00925360"/>
    <w:rsid w:val="0092618F"/>
    <w:rsid w:val="00927DFE"/>
    <w:rsid w:val="0093231A"/>
    <w:rsid w:val="0093368A"/>
    <w:rsid w:val="009336E9"/>
    <w:rsid w:val="00936656"/>
    <w:rsid w:val="00940449"/>
    <w:rsid w:val="00941BA9"/>
    <w:rsid w:val="00942E75"/>
    <w:rsid w:val="00944E7B"/>
    <w:rsid w:val="00945EB9"/>
    <w:rsid w:val="00946405"/>
    <w:rsid w:val="00946C2C"/>
    <w:rsid w:val="00965240"/>
    <w:rsid w:val="00967C52"/>
    <w:rsid w:val="0098077D"/>
    <w:rsid w:val="00985F8C"/>
    <w:rsid w:val="009907F3"/>
    <w:rsid w:val="00991F89"/>
    <w:rsid w:val="00992261"/>
    <w:rsid w:val="00993C33"/>
    <w:rsid w:val="00996989"/>
    <w:rsid w:val="00997EB5"/>
    <w:rsid w:val="009A0E63"/>
    <w:rsid w:val="009A5E7D"/>
    <w:rsid w:val="009A77B3"/>
    <w:rsid w:val="009A7B2C"/>
    <w:rsid w:val="009A7FD5"/>
    <w:rsid w:val="009B0BC0"/>
    <w:rsid w:val="009B3153"/>
    <w:rsid w:val="009B580D"/>
    <w:rsid w:val="009B7E0A"/>
    <w:rsid w:val="009C1FC1"/>
    <w:rsid w:val="009C3CAD"/>
    <w:rsid w:val="009D0826"/>
    <w:rsid w:val="009D238A"/>
    <w:rsid w:val="009D5F76"/>
    <w:rsid w:val="009E0629"/>
    <w:rsid w:val="009F2E15"/>
    <w:rsid w:val="009F6BEC"/>
    <w:rsid w:val="009F716B"/>
    <w:rsid w:val="00A02AD3"/>
    <w:rsid w:val="00A04076"/>
    <w:rsid w:val="00A14BAD"/>
    <w:rsid w:val="00A15D93"/>
    <w:rsid w:val="00A20051"/>
    <w:rsid w:val="00A208C1"/>
    <w:rsid w:val="00A213F2"/>
    <w:rsid w:val="00A249D3"/>
    <w:rsid w:val="00A24C4F"/>
    <w:rsid w:val="00A35CD4"/>
    <w:rsid w:val="00A3748B"/>
    <w:rsid w:val="00A374BB"/>
    <w:rsid w:val="00A45056"/>
    <w:rsid w:val="00A469C4"/>
    <w:rsid w:val="00A47173"/>
    <w:rsid w:val="00A51D7A"/>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7384"/>
    <w:rsid w:val="00A8785C"/>
    <w:rsid w:val="00A906F4"/>
    <w:rsid w:val="00A90F6B"/>
    <w:rsid w:val="00A92D54"/>
    <w:rsid w:val="00A92E81"/>
    <w:rsid w:val="00A92F12"/>
    <w:rsid w:val="00A93EFC"/>
    <w:rsid w:val="00A9480F"/>
    <w:rsid w:val="00A96392"/>
    <w:rsid w:val="00AA2D34"/>
    <w:rsid w:val="00AA6B79"/>
    <w:rsid w:val="00AA78C7"/>
    <w:rsid w:val="00AA7D1D"/>
    <w:rsid w:val="00AB1D74"/>
    <w:rsid w:val="00AB265B"/>
    <w:rsid w:val="00AB3248"/>
    <w:rsid w:val="00AB3898"/>
    <w:rsid w:val="00AB4776"/>
    <w:rsid w:val="00AC00A5"/>
    <w:rsid w:val="00AC2CD0"/>
    <w:rsid w:val="00AD0E22"/>
    <w:rsid w:val="00AD317C"/>
    <w:rsid w:val="00AD4431"/>
    <w:rsid w:val="00AD44C6"/>
    <w:rsid w:val="00AD57DA"/>
    <w:rsid w:val="00AD60B7"/>
    <w:rsid w:val="00AE3BE1"/>
    <w:rsid w:val="00AE6DD1"/>
    <w:rsid w:val="00AE700D"/>
    <w:rsid w:val="00AE771D"/>
    <w:rsid w:val="00AF1F3C"/>
    <w:rsid w:val="00AF2C4C"/>
    <w:rsid w:val="00AF52C8"/>
    <w:rsid w:val="00AF6F6F"/>
    <w:rsid w:val="00B00521"/>
    <w:rsid w:val="00B01764"/>
    <w:rsid w:val="00B02DD4"/>
    <w:rsid w:val="00B03992"/>
    <w:rsid w:val="00B03BBD"/>
    <w:rsid w:val="00B05790"/>
    <w:rsid w:val="00B103C5"/>
    <w:rsid w:val="00B108BD"/>
    <w:rsid w:val="00B10BEB"/>
    <w:rsid w:val="00B11CA5"/>
    <w:rsid w:val="00B12D5E"/>
    <w:rsid w:val="00B14E09"/>
    <w:rsid w:val="00B1610F"/>
    <w:rsid w:val="00B21C7F"/>
    <w:rsid w:val="00B2277E"/>
    <w:rsid w:val="00B31AD9"/>
    <w:rsid w:val="00B35CD8"/>
    <w:rsid w:val="00B36263"/>
    <w:rsid w:val="00B42B3E"/>
    <w:rsid w:val="00B44ABF"/>
    <w:rsid w:val="00B50F9D"/>
    <w:rsid w:val="00B62628"/>
    <w:rsid w:val="00B636DD"/>
    <w:rsid w:val="00B7002A"/>
    <w:rsid w:val="00B7265C"/>
    <w:rsid w:val="00B77638"/>
    <w:rsid w:val="00B85C67"/>
    <w:rsid w:val="00B863DD"/>
    <w:rsid w:val="00B90D9B"/>
    <w:rsid w:val="00B91A66"/>
    <w:rsid w:val="00B92FAE"/>
    <w:rsid w:val="00B93A56"/>
    <w:rsid w:val="00B95D84"/>
    <w:rsid w:val="00B9748B"/>
    <w:rsid w:val="00BA0C26"/>
    <w:rsid w:val="00BA29A4"/>
    <w:rsid w:val="00BA580A"/>
    <w:rsid w:val="00BB1E12"/>
    <w:rsid w:val="00BB2A83"/>
    <w:rsid w:val="00BB593A"/>
    <w:rsid w:val="00BC1A54"/>
    <w:rsid w:val="00BC4F91"/>
    <w:rsid w:val="00BC5152"/>
    <w:rsid w:val="00BC5436"/>
    <w:rsid w:val="00BD114E"/>
    <w:rsid w:val="00BD257C"/>
    <w:rsid w:val="00BE05B0"/>
    <w:rsid w:val="00BE20B5"/>
    <w:rsid w:val="00BE56D2"/>
    <w:rsid w:val="00BF07F3"/>
    <w:rsid w:val="00BF2E80"/>
    <w:rsid w:val="00BF413B"/>
    <w:rsid w:val="00BF44BC"/>
    <w:rsid w:val="00BF46FB"/>
    <w:rsid w:val="00BF4ADA"/>
    <w:rsid w:val="00C05A81"/>
    <w:rsid w:val="00C067CC"/>
    <w:rsid w:val="00C074D0"/>
    <w:rsid w:val="00C07BCD"/>
    <w:rsid w:val="00C108C5"/>
    <w:rsid w:val="00C158AD"/>
    <w:rsid w:val="00C160C8"/>
    <w:rsid w:val="00C228CF"/>
    <w:rsid w:val="00C2308E"/>
    <w:rsid w:val="00C23B13"/>
    <w:rsid w:val="00C255B4"/>
    <w:rsid w:val="00C25679"/>
    <w:rsid w:val="00C33764"/>
    <w:rsid w:val="00C3607D"/>
    <w:rsid w:val="00C36A0B"/>
    <w:rsid w:val="00C44AF5"/>
    <w:rsid w:val="00C44DFC"/>
    <w:rsid w:val="00C479C9"/>
    <w:rsid w:val="00C50655"/>
    <w:rsid w:val="00C52184"/>
    <w:rsid w:val="00C54120"/>
    <w:rsid w:val="00C55CCE"/>
    <w:rsid w:val="00C56084"/>
    <w:rsid w:val="00C60B7A"/>
    <w:rsid w:val="00C60CA9"/>
    <w:rsid w:val="00C62293"/>
    <w:rsid w:val="00C644BF"/>
    <w:rsid w:val="00C701CA"/>
    <w:rsid w:val="00C745AD"/>
    <w:rsid w:val="00C7766C"/>
    <w:rsid w:val="00C84B2B"/>
    <w:rsid w:val="00C86AEA"/>
    <w:rsid w:val="00C90B6A"/>
    <w:rsid w:val="00C956B4"/>
    <w:rsid w:val="00C95AB6"/>
    <w:rsid w:val="00CA0B2E"/>
    <w:rsid w:val="00CA1F68"/>
    <w:rsid w:val="00CA364E"/>
    <w:rsid w:val="00CA41C8"/>
    <w:rsid w:val="00CB4358"/>
    <w:rsid w:val="00CB4511"/>
    <w:rsid w:val="00CB47CD"/>
    <w:rsid w:val="00CB5809"/>
    <w:rsid w:val="00CC04BE"/>
    <w:rsid w:val="00CC3880"/>
    <w:rsid w:val="00CC466F"/>
    <w:rsid w:val="00CC48EA"/>
    <w:rsid w:val="00CC665D"/>
    <w:rsid w:val="00CD2788"/>
    <w:rsid w:val="00CD6116"/>
    <w:rsid w:val="00CE22E6"/>
    <w:rsid w:val="00CE3B55"/>
    <w:rsid w:val="00CE57E2"/>
    <w:rsid w:val="00CF4E7F"/>
    <w:rsid w:val="00CF5821"/>
    <w:rsid w:val="00D02EFF"/>
    <w:rsid w:val="00D0418B"/>
    <w:rsid w:val="00D04379"/>
    <w:rsid w:val="00D108F4"/>
    <w:rsid w:val="00D114BA"/>
    <w:rsid w:val="00D14609"/>
    <w:rsid w:val="00D1578F"/>
    <w:rsid w:val="00D20F9A"/>
    <w:rsid w:val="00D239E9"/>
    <w:rsid w:val="00D24154"/>
    <w:rsid w:val="00D26162"/>
    <w:rsid w:val="00D34572"/>
    <w:rsid w:val="00D346C0"/>
    <w:rsid w:val="00D34B5A"/>
    <w:rsid w:val="00D37F7C"/>
    <w:rsid w:val="00D40C2E"/>
    <w:rsid w:val="00D4561F"/>
    <w:rsid w:val="00D45EBF"/>
    <w:rsid w:val="00D47CC4"/>
    <w:rsid w:val="00D5353E"/>
    <w:rsid w:val="00D543D3"/>
    <w:rsid w:val="00D56342"/>
    <w:rsid w:val="00D565E6"/>
    <w:rsid w:val="00D62195"/>
    <w:rsid w:val="00D6271E"/>
    <w:rsid w:val="00D62ABE"/>
    <w:rsid w:val="00D62E16"/>
    <w:rsid w:val="00D63BD8"/>
    <w:rsid w:val="00D6637F"/>
    <w:rsid w:val="00D7173E"/>
    <w:rsid w:val="00D7178B"/>
    <w:rsid w:val="00D74534"/>
    <w:rsid w:val="00D82B48"/>
    <w:rsid w:val="00D910FA"/>
    <w:rsid w:val="00D91ADA"/>
    <w:rsid w:val="00D96BE6"/>
    <w:rsid w:val="00D9733F"/>
    <w:rsid w:val="00DA411C"/>
    <w:rsid w:val="00DA5D04"/>
    <w:rsid w:val="00DA7A4A"/>
    <w:rsid w:val="00DB5444"/>
    <w:rsid w:val="00DB5AB8"/>
    <w:rsid w:val="00DB6CB9"/>
    <w:rsid w:val="00DC305C"/>
    <w:rsid w:val="00DC3EE8"/>
    <w:rsid w:val="00DC6805"/>
    <w:rsid w:val="00DD02F3"/>
    <w:rsid w:val="00DD630C"/>
    <w:rsid w:val="00DD64CD"/>
    <w:rsid w:val="00DD6F1C"/>
    <w:rsid w:val="00DD795F"/>
    <w:rsid w:val="00DE1437"/>
    <w:rsid w:val="00DE2316"/>
    <w:rsid w:val="00DE338C"/>
    <w:rsid w:val="00DE42EA"/>
    <w:rsid w:val="00DE5C76"/>
    <w:rsid w:val="00DE6445"/>
    <w:rsid w:val="00DF09E6"/>
    <w:rsid w:val="00DF2EDE"/>
    <w:rsid w:val="00DF7655"/>
    <w:rsid w:val="00E01807"/>
    <w:rsid w:val="00E01F0A"/>
    <w:rsid w:val="00E01FE5"/>
    <w:rsid w:val="00E02B67"/>
    <w:rsid w:val="00E03D44"/>
    <w:rsid w:val="00E04AB5"/>
    <w:rsid w:val="00E14855"/>
    <w:rsid w:val="00E148EC"/>
    <w:rsid w:val="00E20EA5"/>
    <w:rsid w:val="00E23418"/>
    <w:rsid w:val="00E24181"/>
    <w:rsid w:val="00E25066"/>
    <w:rsid w:val="00E267C7"/>
    <w:rsid w:val="00E30DFD"/>
    <w:rsid w:val="00E317D1"/>
    <w:rsid w:val="00E32CEE"/>
    <w:rsid w:val="00E354E7"/>
    <w:rsid w:val="00E43619"/>
    <w:rsid w:val="00E51282"/>
    <w:rsid w:val="00E5166F"/>
    <w:rsid w:val="00E519F6"/>
    <w:rsid w:val="00E51BAF"/>
    <w:rsid w:val="00E5223F"/>
    <w:rsid w:val="00E54B53"/>
    <w:rsid w:val="00E559E5"/>
    <w:rsid w:val="00E56147"/>
    <w:rsid w:val="00E56E6F"/>
    <w:rsid w:val="00E63015"/>
    <w:rsid w:val="00E647FB"/>
    <w:rsid w:val="00E65041"/>
    <w:rsid w:val="00E67EF2"/>
    <w:rsid w:val="00E706F7"/>
    <w:rsid w:val="00E70BBF"/>
    <w:rsid w:val="00E74E09"/>
    <w:rsid w:val="00E92113"/>
    <w:rsid w:val="00E9363F"/>
    <w:rsid w:val="00E937BC"/>
    <w:rsid w:val="00E9505B"/>
    <w:rsid w:val="00EA0725"/>
    <w:rsid w:val="00EA0BA5"/>
    <w:rsid w:val="00EA0D25"/>
    <w:rsid w:val="00EA4BD9"/>
    <w:rsid w:val="00EA4F6A"/>
    <w:rsid w:val="00EA714A"/>
    <w:rsid w:val="00EB25E2"/>
    <w:rsid w:val="00EB4218"/>
    <w:rsid w:val="00EB74C3"/>
    <w:rsid w:val="00EC430D"/>
    <w:rsid w:val="00EC5DDC"/>
    <w:rsid w:val="00EC5E62"/>
    <w:rsid w:val="00EC6C8F"/>
    <w:rsid w:val="00ED03D9"/>
    <w:rsid w:val="00ED1DD7"/>
    <w:rsid w:val="00EE694B"/>
    <w:rsid w:val="00EE6ADA"/>
    <w:rsid w:val="00EF1900"/>
    <w:rsid w:val="00EF3100"/>
    <w:rsid w:val="00EF55BB"/>
    <w:rsid w:val="00EF5623"/>
    <w:rsid w:val="00F060FF"/>
    <w:rsid w:val="00F1277A"/>
    <w:rsid w:val="00F13249"/>
    <w:rsid w:val="00F135A3"/>
    <w:rsid w:val="00F17979"/>
    <w:rsid w:val="00F17E8D"/>
    <w:rsid w:val="00F20F60"/>
    <w:rsid w:val="00F21CF3"/>
    <w:rsid w:val="00F24904"/>
    <w:rsid w:val="00F269B8"/>
    <w:rsid w:val="00F27393"/>
    <w:rsid w:val="00F274B8"/>
    <w:rsid w:val="00F27BA0"/>
    <w:rsid w:val="00F3198E"/>
    <w:rsid w:val="00F32760"/>
    <w:rsid w:val="00F32F4B"/>
    <w:rsid w:val="00F335C6"/>
    <w:rsid w:val="00F40048"/>
    <w:rsid w:val="00F44286"/>
    <w:rsid w:val="00F4656A"/>
    <w:rsid w:val="00F51498"/>
    <w:rsid w:val="00F52E48"/>
    <w:rsid w:val="00F55350"/>
    <w:rsid w:val="00F558CD"/>
    <w:rsid w:val="00F65630"/>
    <w:rsid w:val="00F66CC1"/>
    <w:rsid w:val="00F66E3D"/>
    <w:rsid w:val="00F67E91"/>
    <w:rsid w:val="00F7065C"/>
    <w:rsid w:val="00F71C4E"/>
    <w:rsid w:val="00F77E2B"/>
    <w:rsid w:val="00F80577"/>
    <w:rsid w:val="00F8159B"/>
    <w:rsid w:val="00F81930"/>
    <w:rsid w:val="00F84014"/>
    <w:rsid w:val="00F90F2C"/>
    <w:rsid w:val="00F930FB"/>
    <w:rsid w:val="00FA03BF"/>
    <w:rsid w:val="00FB3A17"/>
    <w:rsid w:val="00FB76D5"/>
    <w:rsid w:val="00FB7B01"/>
    <w:rsid w:val="00FC1288"/>
    <w:rsid w:val="00FC460E"/>
    <w:rsid w:val="00FC5A36"/>
    <w:rsid w:val="00FC65E1"/>
    <w:rsid w:val="00FD0433"/>
    <w:rsid w:val="00FD12BD"/>
    <w:rsid w:val="00FD2D38"/>
    <w:rsid w:val="00FD478C"/>
    <w:rsid w:val="00FE4453"/>
    <w:rsid w:val="00FE6741"/>
    <w:rsid w:val="00FF3B27"/>
    <w:rsid w:val="00FF3FB7"/>
    <w:rsid w:val="00FF4619"/>
    <w:rsid w:val="00FF6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16661487">
      <w:bodyDiv w:val="1"/>
      <w:marLeft w:val="0"/>
      <w:marRight w:val="0"/>
      <w:marTop w:val="0"/>
      <w:marBottom w:val="0"/>
      <w:divBdr>
        <w:top w:val="none" w:sz="0" w:space="0" w:color="auto"/>
        <w:left w:val="none" w:sz="0" w:space="0" w:color="auto"/>
        <w:bottom w:val="none" w:sz="0" w:space="0" w:color="auto"/>
        <w:right w:val="none" w:sz="0" w:space="0" w:color="auto"/>
      </w:divBdr>
      <w:divsChild>
        <w:div w:id="1966694385">
          <w:marLeft w:val="446"/>
          <w:marRight w:val="0"/>
          <w:marTop w:val="106"/>
          <w:marBottom w:val="0"/>
          <w:divBdr>
            <w:top w:val="none" w:sz="0" w:space="0" w:color="auto"/>
            <w:left w:val="none" w:sz="0" w:space="0" w:color="auto"/>
            <w:bottom w:val="none" w:sz="0" w:space="0" w:color="auto"/>
            <w:right w:val="none" w:sz="0" w:space="0" w:color="auto"/>
          </w:divBdr>
        </w:div>
        <w:div w:id="1844978367">
          <w:marLeft w:val="446"/>
          <w:marRight w:val="0"/>
          <w:marTop w:val="106"/>
          <w:marBottom w:val="0"/>
          <w:divBdr>
            <w:top w:val="none" w:sz="0" w:space="0" w:color="auto"/>
            <w:left w:val="none" w:sz="0" w:space="0" w:color="auto"/>
            <w:bottom w:val="none" w:sz="0" w:space="0" w:color="auto"/>
            <w:right w:val="none" w:sz="0" w:space="0" w:color="auto"/>
          </w:divBdr>
        </w:div>
      </w:divsChild>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86119653">
      <w:bodyDiv w:val="1"/>
      <w:marLeft w:val="0"/>
      <w:marRight w:val="0"/>
      <w:marTop w:val="0"/>
      <w:marBottom w:val="0"/>
      <w:divBdr>
        <w:top w:val="none" w:sz="0" w:space="0" w:color="auto"/>
        <w:left w:val="none" w:sz="0" w:space="0" w:color="auto"/>
        <w:bottom w:val="none" w:sz="0" w:space="0" w:color="auto"/>
        <w:right w:val="none" w:sz="0" w:space="0" w:color="auto"/>
      </w:divBdr>
      <w:divsChild>
        <w:div w:id="1682774724">
          <w:marLeft w:val="274"/>
          <w:marRight w:val="0"/>
          <w:marTop w:val="0"/>
          <w:marBottom w:val="0"/>
          <w:divBdr>
            <w:top w:val="none" w:sz="0" w:space="0" w:color="auto"/>
            <w:left w:val="none" w:sz="0" w:space="0" w:color="auto"/>
            <w:bottom w:val="none" w:sz="0" w:space="0" w:color="auto"/>
            <w:right w:val="none" w:sz="0" w:space="0" w:color="auto"/>
          </w:divBdr>
        </w:div>
        <w:div w:id="1742218059">
          <w:marLeft w:val="274"/>
          <w:marRight w:val="0"/>
          <w:marTop w:val="0"/>
          <w:marBottom w:val="0"/>
          <w:divBdr>
            <w:top w:val="none" w:sz="0" w:space="0" w:color="auto"/>
            <w:left w:val="none" w:sz="0" w:space="0" w:color="auto"/>
            <w:bottom w:val="none" w:sz="0" w:space="0" w:color="auto"/>
            <w:right w:val="none" w:sz="0" w:space="0" w:color="auto"/>
          </w:divBdr>
        </w:div>
        <w:div w:id="1439133657">
          <w:marLeft w:val="274"/>
          <w:marRight w:val="0"/>
          <w:marTop w:val="0"/>
          <w:marBottom w:val="0"/>
          <w:divBdr>
            <w:top w:val="none" w:sz="0" w:space="0" w:color="auto"/>
            <w:left w:val="none" w:sz="0" w:space="0" w:color="auto"/>
            <w:bottom w:val="none" w:sz="0" w:space="0" w:color="auto"/>
            <w:right w:val="none" w:sz="0" w:space="0" w:color="auto"/>
          </w:divBdr>
        </w:div>
      </w:divsChild>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80051633">
      <w:bodyDiv w:val="1"/>
      <w:marLeft w:val="0"/>
      <w:marRight w:val="0"/>
      <w:marTop w:val="0"/>
      <w:marBottom w:val="0"/>
      <w:divBdr>
        <w:top w:val="none" w:sz="0" w:space="0" w:color="auto"/>
        <w:left w:val="none" w:sz="0" w:space="0" w:color="auto"/>
        <w:bottom w:val="none" w:sz="0" w:space="0" w:color="auto"/>
        <w:right w:val="none" w:sz="0" w:space="0" w:color="auto"/>
      </w:divBdr>
      <w:divsChild>
        <w:div w:id="234975972">
          <w:marLeft w:val="547"/>
          <w:marRight w:val="0"/>
          <w:marTop w:val="115"/>
          <w:marBottom w:val="0"/>
          <w:divBdr>
            <w:top w:val="none" w:sz="0" w:space="0" w:color="auto"/>
            <w:left w:val="none" w:sz="0" w:space="0" w:color="auto"/>
            <w:bottom w:val="none" w:sz="0" w:space="0" w:color="auto"/>
            <w:right w:val="none" w:sz="0" w:space="0" w:color="auto"/>
          </w:divBdr>
        </w:div>
        <w:div w:id="774133755">
          <w:marLeft w:val="1166"/>
          <w:marRight w:val="0"/>
          <w:marTop w:val="96"/>
          <w:marBottom w:val="0"/>
          <w:divBdr>
            <w:top w:val="none" w:sz="0" w:space="0" w:color="auto"/>
            <w:left w:val="none" w:sz="0" w:space="0" w:color="auto"/>
            <w:bottom w:val="none" w:sz="0" w:space="0" w:color="auto"/>
            <w:right w:val="none" w:sz="0" w:space="0" w:color="auto"/>
          </w:divBdr>
        </w:div>
        <w:div w:id="526918429">
          <w:marLeft w:val="547"/>
          <w:marRight w:val="0"/>
          <w:marTop w:val="115"/>
          <w:marBottom w:val="0"/>
          <w:divBdr>
            <w:top w:val="none" w:sz="0" w:space="0" w:color="auto"/>
            <w:left w:val="none" w:sz="0" w:space="0" w:color="auto"/>
            <w:bottom w:val="none" w:sz="0" w:space="0" w:color="auto"/>
            <w:right w:val="none" w:sz="0" w:space="0" w:color="auto"/>
          </w:divBdr>
        </w:div>
        <w:div w:id="1683168288">
          <w:marLeft w:val="547"/>
          <w:marRight w:val="0"/>
          <w:marTop w:val="115"/>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243446">
      <w:bodyDiv w:val="1"/>
      <w:marLeft w:val="0"/>
      <w:marRight w:val="0"/>
      <w:marTop w:val="0"/>
      <w:marBottom w:val="0"/>
      <w:divBdr>
        <w:top w:val="none" w:sz="0" w:space="0" w:color="auto"/>
        <w:left w:val="none" w:sz="0" w:space="0" w:color="auto"/>
        <w:bottom w:val="none" w:sz="0" w:space="0" w:color="auto"/>
        <w:right w:val="none" w:sz="0" w:space="0" w:color="auto"/>
      </w:divBdr>
      <w:divsChild>
        <w:div w:id="244530494">
          <w:marLeft w:val="547"/>
          <w:marRight w:val="0"/>
          <w:marTop w:val="154"/>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0502500">
      <w:bodyDiv w:val="1"/>
      <w:marLeft w:val="0"/>
      <w:marRight w:val="0"/>
      <w:marTop w:val="0"/>
      <w:marBottom w:val="0"/>
      <w:divBdr>
        <w:top w:val="none" w:sz="0" w:space="0" w:color="auto"/>
        <w:left w:val="none" w:sz="0" w:space="0" w:color="auto"/>
        <w:bottom w:val="none" w:sz="0" w:space="0" w:color="auto"/>
        <w:right w:val="none" w:sz="0" w:space="0" w:color="auto"/>
      </w:divBdr>
      <w:divsChild>
        <w:div w:id="1532448686">
          <w:marLeft w:val="1166"/>
          <w:marRight w:val="0"/>
          <w:marTop w:val="0"/>
          <w:marBottom w:val="0"/>
          <w:divBdr>
            <w:top w:val="none" w:sz="0" w:space="0" w:color="auto"/>
            <w:left w:val="none" w:sz="0" w:space="0" w:color="auto"/>
            <w:bottom w:val="none" w:sz="0" w:space="0" w:color="auto"/>
            <w:right w:val="none" w:sz="0" w:space="0" w:color="auto"/>
          </w:divBdr>
        </w:div>
        <w:div w:id="1453867710">
          <w:marLeft w:val="1166"/>
          <w:marRight w:val="0"/>
          <w:marTop w:val="0"/>
          <w:marBottom w:val="0"/>
          <w:divBdr>
            <w:top w:val="none" w:sz="0" w:space="0" w:color="auto"/>
            <w:left w:val="none" w:sz="0" w:space="0" w:color="auto"/>
            <w:bottom w:val="none" w:sz="0" w:space="0" w:color="auto"/>
            <w:right w:val="none" w:sz="0" w:space="0" w:color="auto"/>
          </w:divBdr>
        </w:div>
      </w:divsChild>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494419926">
      <w:bodyDiv w:val="1"/>
      <w:marLeft w:val="0"/>
      <w:marRight w:val="0"/>
      <w:marTop w:val="0"/>
      <w:marBottom w:val="0"/>
      <w:divBdr>
        <w:top w:val="none" w:sz="0" w:space="0" w:color="auto"/>
        <w:left w:val="none" w:sz="0" w:space="0" w:color="auto"/>
        <w:bottom w:val="none" w:sz="0" w:space="0" w:color="auto"/>
        <w:right w:val="none" w:sz="0" w:space="0" w:color="auto"/>
      </w:divBdr>
      <w:divsChild>
        <w:div w:id="842472384">
          <w:marLeft w:val="547"/>
          <w:marRight w:val="0"/>
          <w:marTop w:val="0"/>
          <w:marBottom w:val="0"/>
          <w:divBdr>
            <w:top w:val="none" w:sz="0" w:space="0" w:color="auto"/>
            <w:left w:val="none" w:sz="0" w:space="0" w:color="auto"/>
            <w:bottom w:val="none" w:sz="0" w:space="0" w:color="auto"/>
            <w:right w:val="none" w:sz="0" w:space="0" w:color="auto"/>
          </w:divBdr>
        </w:div>
      </w:divsChild>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63178850">
      <w:bodyDiv w:val="1"/>
      <w:marLeft w:val="0"/>
      <w:marRight w:val="0"/>
      <w:marTop w:val="0"/>
      <w:marBottom w:val="0"/>
      <w:divBdr>
        <w:top w:val="none" w:sz="0" w:space="0" w:color="auto"/>
        <w:left w:val="none" w:sz="0" w:space="0" w:color="auto"/>
        <w:bottom w:val="none" w:sz="0" w:space="0" w:color="auto"/>
        <w:right w:val="none" w:sz="0" w:space="0" w:color="auto"/>
      </w:divBdr>
      <w:divsChild>
        <w:div w:id="392702172">
          <w:marLeft w:val="1166"/>
          <w:marRight w:val="0"/>
          <w:marTop w:val="86"/>
          <w:marBottom w:val="0"/>
          <w:divBdr>
            <w:top w:val="none" w:sz="0" w:space="0" w:color="auto"/>
            <w:left w:val="none" w:sz="0" w:space="0" w:color="auto"/>
            <w:bottom w:val="none" w:sz="0" w:space="0" w:color="auto"/>
            <w:right w:val="none" w:sz="0" w:space="0" w:color="auto"/>
          </w:divBdr>
        </w:div>
      </w:divsChild>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1083386">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24507745">
      <w:bodyDiv w:val="1"/>
      <w:marLeft w:val="0"/>
      <w:marRight w:val="0"/>
      <w:marTop w:val="0"/>
      <w:marBottom w:val="0"/>
      <w:divBdr>
        <w:top w:val="none" w:sz="0" w:space="0" w:color="auto"/>
        <w:left w:val="none" w:sz="0" w:space="0" w:color="auto"/>
        <w:bottom w:val="none" w:sz="0" w:space="0" w:color="auto"/>
        <w:right w:val="none" w:sz="0" w:space="0" w:color="auto"/>
      </w:divBdr>
      <w:divsChild>
        <w:div w:id="489299064">
          <w:marLeft w:val="1166"/>
          <w:marRight w:val="0"/>
          <w:marTop w:val="86"/>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767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17283">
          <w:marLeft w:val="547"/>
          <w:marRight w:val="0"/>
          <w:marTop w:val="154"/>
          <w:marBottom w:val="0"/>
          <w:divBdr>
            <w:top w:val="none" w:sz="0" w:space="0" w:color="auto"/>
            <w:left w:val="none" w:sz="0" w:space="0" w:color="auto"/>
            <w:bottom w:val="none" w:sz="0" w:space="0" w:color="auto"/>
            <w:right w:val="none" w:sz="0" w:space="0" w:color="auto"/>
          </w:divBdr>
        </w:div>
        <w:div w:id="2068068540">
          <w:marLeft w:val="547"/>
          <w:marRight w:val="0"/>
          <w:marTop w:val="154"/>
          <w:marBottom w:val="0"/>
          <w:divBdr>
            <w:top w:val="none" w:sz="0" w:space="0" w:color="auto"/>
            <w:left w:val="none" w:sz="0" w:space="0" w:color="auto"/>
            <w:bottom w:val="none" w:sz="0" w:space="0" w:color="auto"/>
            <w:right w:val="none" w:sz="0" w:space="0" w:color="auto"/>
          </w:divBdr>
        </w:div>
        <w:div w:id="676427408">
          <w:marLeft w:val="547"/>
          <w:marRight w:val="0"/>
          <w:marTop w:val="154"/>
          <w:marBottom w:val="0"/>
          <w:divBdr>
            <w:top w:val="none" w:sz="0" w:space="0" w:color="auto"/>
            <w:left w:val="none" w:sz="0" w:space="0" w:color="auto"/>
            <w:bottom w:val="none" w:sz="0" w:space="0" w:color="auto"/>
            <w:right w:val="none" w:sz="0" w:space="0" w:color="auto"/>
          </w:divBdr>
        </w:div>
      </w:divsChild>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794787646">
      <w:bodyDiv w:val="1"/>
      <w:marLeft w:val="0"/>
      <w:marRight w:val="0"/>
      <w:marTop w:val="0"/>
      <w:marBottom w:val="0"/>
      <w:divBdr>
        <w:top w:val="none" w:sz="0" w:space="0" w:color="auto"/>
        <w:left w:val="none" w:sz="0" w:space="0" w:color="auto"/>
        <w:bottom w:val="none" w:sz="0" w:space="0" w:color="auto"/>
        <w:right w:val="none" w:sz="0" w:space="0" w:color="auto"/>
      </w:divBdr>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69803013">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2902835">
      <w:bodyDiv w:val="1"/>
      <w:marLeft w:val="0"/>
      <w:marRight w:val="0"/>
      <w:marTop w:val="0"/>
      <w:marBottom w:val="0"/>
      <w:divBdr>
        <w:top w:val="none" w:sz="0" w:space="0" w:color="auto"/>
        <w:left w:val="none" w:sz="0" w:space="0" w:color="auto"/>
        <w:bottom w:val="none" w:sz="0" w:space="0" w:color="auto"/>
        <w:right w:val="none" w:sz="0" w:space="0" w:color="auto"/>
      </w:divBdr>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57227069">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76560605">
      <w:bodyDiv w:val="1"/>
      <w:marLeft w:val="0"/>
      <w:marRight w:val="0"/>
      <w:marTop w:val="0"/>
      <w:marBottom w:val="0"/>
      <w:divBdr>
        <w:top w:val="none" w:sz="0" w:space="0" w:color="auto"/>
        <w:left w:val="none" w:sz="0" w:space="0" w:color="auto"/>
        <w:bottom w:val="none" w:sz="0" w:space="0" w:color="auto"/>
        <w:right w:val="none" w:sz="0" w:space="0" w:color="auto"/>
      </w:divBdr>
      <w:divsChild>
        <w:div w:id="1154569053">
          <w:marLeft w:val="547"/>
          <w:marRight w:val="0"/>
          <w:marTop w:val="0"/>
          <w:marBottom w:val="0"/>
          <w:divBdr>
            <w:top w:val="none" w:sz="0" w:space="0" w:color="auto"/>
            <w:left w:val="none" w:sz="0" w:space="0" w:color="auto"/>
            <w:bottom w:val="none" w:sz="0" w:space="0" w:color="auto"/>
            <w:right w:val="none" w:sz="0" w:space="0" w:color="auto"/>
          </w:divBdr>
        </w:div>
        <w:div w:id="2019649018">
          <w:marLeft w:val="547"/>
          <w:marRight w:val="0"/>
          <w:marTop w:val="0"/>
          <w:marBottom w:val="0"/>
          <w:divBdr>
            <w:top w:val="none" w:sz="0" w:space="0" w:color="auto"/>
            <w:left w:val="none" w:sz="0" w:space="0" w:color="auto"/>
            <w:bottom w:val="none" w:sz="0" w:space="0" w:color="auto"/>
            <w:right w:val="none" w:sz="0" w:space="0" w:color="auto"/>
          </w:divBdr>
        </w:div>
      </w:divsChild>
    </w:div>
    <w:div w:id="1080835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0130559">
      <w:bodyDiv w:val="1"/>
      <w:marLeft w:val="0"/>
      <w:marRight w:val="0"/>
      <w:marTop w:val="0"/>
      <w:marBottom w:val="0"/>
      <w:divBdr>
        <w:top w:val="none" w:sz="0" w:space="0" w:color="auto"/>
        <w:left w:val="none" w:sz="0" w:space="0" w:color="auto"/>
        <w:bottom w:val="none" w:sz="0" w:space="0" w:color="auto"/>
        <w:right w:val="none" w:sz="0" w:space="0" w:color="auto"/>
      </w:divBdr>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57566118">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692562266">
      <w:bodyDiv w:val="1"/>
      <w:marLeft w:val="0"/>
      <w:marRight w:val="0"/>
      <w:marTop w:val="0"/>
      <w:marBottom w:val="0"/>
      <w:divBdr>
        <w:top w:val="none" w:sz="0" w:space="0" w:color="auto"/>
        <w:left w:val="none" w:sz="0" w:space="0" w:color="auto"/>
        <w:bottom w:val="none" w:sz="0" w:space="0" w:color="auto"/>
        <w:right w:val="none" w:sz="0" w:space="0" w:color="auto"/>
      </w:divBdr>
      <w:divsChild>
        <w:div w:id="543830028">
          <w:marLeft w:val="547"/>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36784094">
      <w:bodyDiv w:val="1"/>
      <w:marLeft w:val="0"/>
      <w:marRight w:val="0"/>
      <w:marTop w:val="0"/>
      <w:marBottom w:val="0"/>
      <w:divBdr>
        <w:top w:val="none" w:sz="0" w:space="0" w:color="auto"/>
        <w:left w:val="none" w:sz="0" w:space="0" w:color="auto"/>
        <w:bottom w:val="none" w:sz="0" w:space="0" w:color="auto"/>
        <w:right w:val="none" w:sz="0" w:space="0" w:color="auto"/>
      </w:divBdr>
      <w:divsChild>
        <w:div w:id="852382431">
          <w:marLeft w:val="1166"/>
          <w:marRight w:val="0"/>
          <w:marTop w:val="86"/>
          <w:marBottom w:val="0"/>
          <w:divBdr>
            <w:top w:val="none" w:sz="0" w:space="0" w:color="auto"/>
            <w:left w:val="none" w:sz="0" w:space="0" w:color="auto"/>
            <w:bottom w:val="none" w:sz="0" w:space="0" w:color="auto"/>
            <w:right w:val="none" w:sz="0" w:space="0" w:color="auto"/>
          </w:divBdr>
        </w:div>
      </w:divsChild>
    </w:div>
    <w:div w:id="1738046559">
      <w:bodyDiv w:val="1"/>
      <w:marLeft w:val="0"/>
      <w:marRight w:val="0"/>
      <w:marTop w:val="0"/>
      <w:marBottom w:val="0"/>
      <w:divBdr>
        <w:top w:val="none" w:sz="0" w:space="0" w:color="auto"/>
        <w:left w:val="none" w:sz="0" w:space="0" w:color="auto"/>
        <w:bottom w:val="none" w:sz="0" w:space="0" w:color="auto"/>
        <w:right w:val="none" w:sz="0" w:space="0" w:color="auto"/>
      </w:divBdr>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0301995">
      <w:bodyDiv w:val="1"/>
      <w:marLeft w:val="0"/>
      <w:marRight w:val="0"/>
      <w:marTop w:val="0"/>
      <w:marBottom w:val="0"/>
      <w:divBdr>
        <w:top w:val="none" w:sz="0" w:space="0" w:color="auto"/>
        <w:left w:val="none" w:sz="0" w:space="0" w:color="auto"/>
        <w:bottom w:val="none" w:sz="0" w:space="0" w:color="auto"/>
        <w:right w:val="none" w:sz="0" w:space="0" w:color="auto"/>
      </w:divBdr>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3332814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28285165">
      <w:bodyDiv w:val="1"/>
      <w:marLeft w:val="0"/>
      <w:marRight w:val="0"/>
      <w:marTop w:val="0"/>
      <w:marBottom w:val="0"/>
      <w:divBdr>
        <w:top w:val="none" w:sz="0" w:space="0" w:color="auto"/>
        <w:left w:val="none" w:sz="0" w:space="0" w:color="auto"/>
        <w:bottom w:val="none" w:sz="0" w:space="0" w:color="auto"/>
        <w:right w:val="none" w:sz="0" w:space="0" w:color="auto"/>
      </w:divBdr>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48946645">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vbaw.vba.va.gov/OAR/docs/february2024-oar-aafc-call-bulletin.pdf" TargetMode="External"/><Relationship Id="rId26"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7" Type="http://schemas.openxmlformats.org/officeDocument/2006/relationships/hyperlink" Target="https://vbaw.vba.va.gov/OAR/docs/february2024-oar-aafc-call-bulletin.pdf" TargetMode="External"/><Relationship Id="rId25"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 Type="http://schemas.openxmlformats.org/officeDocument/2006/relationships/customXml" Target="../customXml/item2.xml"/><Relationship Id="rId16" Type="http://schemas.openxmlformats.org/officeDocument/2006/relationships/hyperlink" Target="https://vbaw.vba.va.gov/OAR/docs/february2024-oar-aafc-call-bulletin.pdf"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6" ma:contentTypeDescription="Create a new document." ma:contentTypeScope="" ma:versionID="7a2682248d7056626cf0a00f75b0ae5a">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26fc8f6fb60a7a99ba0b735fc4fe102e"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A6FB3-8D6E-4181-8F41-C5F9E915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3.xml><?xml version="1.0" encoding="utf-8"?>
<ds:datastoreItem xmlns:ds="http://schemas.openxmlformats.org/officeDocument/2006/customXml" ds:itemID="{90C923A0-827B-4EB0-B616-353EB35426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17</TotalTime>
  <Pages>10</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July 2024 National AAFC Bulletin</vt:lpstr>
    </vt:vector>
  </TitlesOfParts>
  <Company>Veterans Benefits Administration</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2024 National AAFC Bulletin</dc:title>
  <dc:subject/>
  <dc:creator>Department of Veterans Affairs, Veterans Benefits Administration, Office of Administrative Review, STAFF</dc:creator>
  <cp:keywords/>
  <dc:description/>
  <cp:lastModifiedBy>Kathy Poole</cp:lastModifiedBy>
  <cp:revision>8</cp:revision>
  <cp:lastPrinted>2024-07-23T20:28:00Z</cp:lastPrinted>
  <dcterms:created xsi:type="dcterms:W3CDTF">2024-07-22T18:40:00Z</dcterms:created>
  <dcterms:modified xsi:type="dcterms:W3CDTF">2024-07-24T17:35:00Z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Language">
    <vt:lpwstr>en</vt:lpwstr>
  </property>
  <property fmtid="{D5CDD505-2E9C-101B-9397-08002B2CF9AE}" pid="6" name="Type">
    <vt:lpwstr>Reference</vt:lpwstr>
  </property>
</Properties>
</file>