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8387"/>
      </w:tblGrid>
      <w:tr w:rsidR="00D73B10" w14:paraId="0917D257" w14:textId="77777777" w:rsidTr="00D84C44">
        <w:trPr>
          <w:trHeight w:val="20"/>
        </w:trPr>
        <w:tc>
          <w:tcPr>
            <w:tcW w:w="2070" w:type="dxa"/>
            <w:vAlign w:val="center"/>
          </w:tcPr>
          <w:p w14:paraId="47773645" w14:textId="40FBF4C5" w:rsidR="009D36F2" w:rsidRDefault="00E14CC5" w:rsidP="001B55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780B01" wp14:editId="634B0AF7">
                  <wp:extent cx="777240" cy="777240"/>
                  <wp:effectExtent l="0" t="0" r="0" b="0"/>
                  <wp:docPr id="206" name="Picture 206" descr="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Gears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4369DF3D" w14:textId="77777777" w:rsidR="009D36F2" w:rsidRPr="001B5558" w:rsidRDefault="009D36F2" w:rsidP="009D36F2">
            <w:pPr>
              <w:pStyle w:val="Heading1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Purpose</w:t>
            </w:r>
          </w:p>
          <w:p w14:paraId="4FA60FC2" w14:textId="25909B76" w:rsidR="009D36F2" w:rsidRDefault="004003FA" w:rsidP="009D36F2">
            <w:pPr>
              <w:rPr>
                <w:rFonts w:cs="Arial"/>
              </w:rPr>
            </w:pPr>
            <w:r>
              <w:rPr>
                <w:szCs w:val="24"/>
              </w:rPr>
              <w:t xml:space="preserve">The Veterans Benefit Management System – Awards (VBMS-A) version 29.6 release date is April 23, 2023. </w:t>
            </w:r>
            <w:r w:rsidR="004B1515">
              <w:rPr>
                <w:rFonts w:cs="Arial"/>
              </w:rPr>
              <w:t>The</w:t>
            </w:r>
            <w:r w:rsidR="009225DC">
              <w:rPr>
                <w:rFonts w:cs="Arial"/>
              </w:rPr>
              <w:t xml:space="preserve"> updated</w:t>
            </w:r>
            <w:r w:rsidR="004B1515">
              <w:rPr>
                <w:rFonts w:cs="Arial"/>
              </w:rPr>
              <w:t xml:space="preserve"> functionality</w:t>
            </w:r>
            <w:r w:rsidR="009225DC">
              <w:rPr>
                <w:rFonts w:cs="Arial"/>
              </w:rPr>
              <w:t xml:space="preserve"> </w:t>
            </w:r>
            <w:r w:rsidR="004B1515">
              <w:rPr>
                <w:rFonts w:cs="Arial"/>
              </w:rPr>
              <w:t>includes the automation of the fee calculation</w:t>
            </w:r>
            <w:r w:rsidR="005A1946">
              <w:rPr>
                <w:rFonts w:cs="Arial"/>
              </w:rPr>
              <w:t>.</w:t>
            </w:r>
          </w:p>
          <w:p w14:paraId="362C349B" w14:textId="58EAF11A" w:rsidR="004B1515" w:rsidRDefault="004B1515" w:rsidP="009D36F2">
            <w:pPr>
              <w:rPr>
                <w:rFonts w:cs="Arial"/>
              </w:rPr>
            </w:pPr>
          </w:p>
          <w:p w14:paraId="483067A2" w14:textId="6D738D24" w:rsidR="004B1515" w:rsidRPr="003D1034" w:rsidRDefault="004B1515" w:rsidP="009D36F2">
            <w:pPr>
              <w:rPr>
                <w:rFonts w:cs="Arial"/>
              </w:rPr>
            </w:pPr>
            <w:r>
              <w:rPr>
                <w:rFonts w:cs="Arial"/>
              </w:rPr>
              <w:t>This Job Aid reflects the procedures</w:t>
            </w:r>
            <w:r w:rsidR="00D24B64">
              <w:rPr>
                <w:rFonts w:cs="Arial"/>
              </w:rPr>
              <w:t xml:space="preserve"> for agent/attorney fee coordinators (AAFC)</w:t>
            </w:r>
            <w:r>
              <w:rPr>
                <w:rFonts w:cs="Arial"/>
              </w:rPr>
              <w:t xml:space="preserve"> to utilize the </w:t>
            </w:r>
            <w:r w:rsidR="0077263C" w:rsidRPr="00112A35">
              <w:rPr>
                <w:rFonts w:cs="Arial"/>
                <w:i/>
                <w:iCs/>
              </w:rPr>
              <w:t>VBMS-A</w:t>
            </w:r>
            <w:r w:rsidR="00112A35" w:rsidRPr="00112A35">
              <w:rPr>
                <w:rFonts w:cs="Arial"/>
                <w:i/>
                <w:iCs/>
              </w:rPr>
              <w:t xml:space="preserve"> </w:t>
            </w:r>
            <w:r w:rsidR="005D05C7">
              <w:rPr>
                <w:rFonts w:cs="Arial"/>
                <w:i/>
                <w:iCs/>
              </w:rPr>
              <w:t>Automated</w:t>
            </w:r>
            <w:r w:rsidR="0077263C" w:rsidRPr="00112A35">
              <w:rPr>
                <w:rFonts w:cs="Arial"/>
                <w:i/>
                <w:iCs/>
              </w:rPr>
              <w:t xml:space="preserve"> </w:t>
            </w:r>
            <w:r w:rsidR="00112A35" w:rsidRPr="00112A35">
              <w:rPr>
                <w:rFonts w:cs="Arial"/>
                <w:i/>
                <w:iCs/>
              </w:rPr>
              <w:t>F</w:t>
            </w:r>
            <w:r w:rsidR="0077263C" w:rsidRPr="00112A35">
              <w:rPr>
                <w:rFonts w:cs="Arial"/>
                <w:i/>
                <w:iCs/>
              </w:rPr>
              <w:t xml:space="preserve">ee </w:t>
            </w:r>
            <w:r w:rsidR="00112A35" w:rsidRPr="00112A35">
              <w:rPr>
                <w:rFonts w:cs="Arial"/>
                <w:i/>
                <w:iCs/>
              </w:rPr>
              <w:t>C</w:t>
            </w:r>
            <w:r w:rsidR="0077263C" w:rsidRPr="00112A35">
              <w:rPr>
                <w:rFonts w:cs="Arial"/>
                <w:i/>
                <w:iCs/>
              </w:rPr>
              <w:t>alculator</w:t>
            </w:r>
            <w:r w:rsidR="00DF40D1">
              <w:rPr>
                <w:rFonts w:cs="Arial"/>
              </w:rPr>
              <w:t>.</w:t>
            </w:r>
          </w:p>
          <w:p w14:paraId="30B77532" w14:textId="77777777" w:rsidR="009D36F2" w:rsidRPr="003D1034" w:rsidRDefault="00000000" w:rsidP="00FD6720">
            <w:pPr>
              <w:pStyle w:val="NoSpacing"/>
            </w:pPr>
            <w:r>
              <w:pict w14:anchorId="50F08B42">
                <v:rect id="_x0000_i1025" style="width:0;height:1.5pt" o:hralign="center" o:hrstd="t" o:hr="t" fillcolor="#a0a0a0" stroked="f"/>
              </w:pict>
            </w:r>
          </w:p>
        </w:tc>
      </w:tr>
      <w:tr w:rsidR="00D73B10" w14:paraId="5FED5441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71ECF88B" w14:textId="77777777" w:rsidR="009D36F2" w:rsidRPr="00315456" w:rsidRDefault="003D1034" w:rsidP="003D1034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371B4189" wp14:editId="2BAE0774">
                  <wp:extent cx="777240" cy="777240"/>
                  <wp:effectExtent l="0" t="0" r="3810" b="0"/>
                  <wp:docPr id="202" name="Picture 202" descr="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Meeting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2B07DB64" w14:textId="77777777" w:rsidR="009D36F2" w:rsidRDefault="003D1034" w:rsidP="001B5558">
            <w:pPr>
              <w:pStyle w:val="Heading1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Audience</w:t>
            </w:r>
          </w:p>
          <w:p w14:paraId="67785E92" w14:textId="6B5A0315" w:rsidR="00811E1B" w:rsidRPr="00811E1B" w:rsidRDefault="00D24B64" w:rsidP="00811E1B">
            <w:r>
              <w:t xml:space="preserve">Veteran Service Representative (VSR) and Senior Veterans Service Representative (SVSR) AAFCs. </w:t>
            </w:r>
          </w:p>
          <w:p w14:paraId="0FD0FFAD" w14:textId="77777777" w:rsidR="003D1034" w:rsidRDefault="00000000" w:rsidP="009D36F2">
            <w:r>
              <w:rPr>
                <w:rFonts w:cs="Arial"/>
              </w:rPr>
              <w:pict w14:anchorId="4E60A915">
                <v:rect id="_x0000_i1026" style="width:0;height:1.5pt" o:hralign="center" o:hrstd="t" o:hr="t" fillcolor="#a0a0a0" stroked="f"/>
              </w:pict>
            </w:r>
          </w:p>
        </w:tc>
      </w:tr>
      <w:tr w:rsidR="00D73B10" w14:paraId="29254DB4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2EC63B99" w14:textId="77777777" w:rsidR="003D1034" w:rsidRPr="00315456" w:rsidRDefault="00E14CC5" w:rsidP="003D1034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6D437074" wp14:editId="4F3E0C93">
                  <wp:extent cx="777240" cy="777240"/>
                  <wp:effectExtent l="0" t="0" r="0" b="0"/>
                  <wp:docPr id="207" name="Picture 207" descr="Books on sh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ooksOnShelf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05E92B56" w14:textId="77777777" w:rsidR="003D1034" w:rsidRDefault="003D1034" w:rsidP="003D1034">
            <w:pPr>
              <w:pStyle w:val="Heading1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References</w:t>
            </w:r>
          </w:p>
          <w:p w14:paraId="5D30320C" w14:textId="1DF82AA3" w:rsidR="00811E1B" w:rsidRDefault="00922DF9" w:rsidP="00811E1B">
            <w:pPr>
              <w:pStyle w:val="ListParagraph"/>
              <w:numPr>
                <w:ilvl w:val="0"/>
                <w:numId w:val="15"/>
              </w:numPr>
            </w:pPr>
            <w:r w:rsidRPr="00922DF9">
              <w:t>VBMS-A User Guide</w:t>
            </w:r>
          </w:p>
          <w:p w14:paraId="69548B67" w14:textId="719D8B02" w:rsidR="003F79D0" w:rsidRPr="00922DF9" w:rsidRDefault="003F79D0" w:rsidP="00811E1B">
            <w:pPr>
              <w:pStyle w:val="ListParagraph"/>
              <w:numPr>
                <w:ilvl w:val="0"/>
                <w:numId w:val="15"/>
              </w:numPr>
            </w:pPr>
            <w:r>
              <w:t>April 2023 National Agent and Attorney Fee Call</w:t>
            </w:r>
            <w:r w:rsidR="00170275">
              <w:t xml:space="preserve"> </w:t>
            </w:r>
          </w:p>
          <w:p w14:paraId="1CFCCBDB" w14:textId="30CDEFB5" w:rsidR="003D1034" w:rsidRDefault="00000000" w:rsidP="003D1034">
            <w:r>
              <w:rPr>
                <w:rFonts w:cs="Arial"/>
              </w:rPr>
              <w:pict w14:anchorId="1A7535C0">
                <v:rect id="_x0000_i1027" style="width:0;height:1.5pt" o:hralign="center" o:hrstd="t" o:hr="t" fillcolor="#a0a0a0" stroked="f"/>
              </w:pict>
            </w:r>
          </w:p>
        </w:tc>
      </w:tr>
      <w:tr w:rsidR="00D73B10" w14:paraId="01DFD121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1722AE43" w14:textId="77777777" w:rsidR="003D1034" w:rsidRDefault="00E14CC5" w:rsidP="00E14C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9BD221" wp14:editId="7DD90B7C">
                  <wp:extent cx="777240" cy="777240"/>
                  <wp:effectExtent l="0" t="0" r="0" b="0"/>
                  <wp:docPr id="204" name="Picture 204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Checklist_LTR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6CCD263F" w14:textId="46BD91A9" w:rsidR="00D866C2" w:rsidRDefault="00412AEC" w:rsidP="00D866C2">
            <w:pPr>
              <w:pStyle w:val="Heading1"/>
              <w:rPr>
                <w:rFonts w:ascii="Arial" w:hAnsi="Arial" w:cs="Arial"/>
                <w:color w:val="003366"/>
                <w:szCs w:val="24"/>
              </w:rPr>
            </w:pPr>
            <w:r>
              <w:rPr>
                <w:rFonts w:ascii="Arial" w:hAnsi="Arial" w:cs="Arial"/>
                <w:color w:val="003366"/>
                <w:szCs w:val="24"/>
              </w:rPr>
              <w:t xml:space="preserve">VBMS-A </w:t>
            </w:r>
            <w:r w:rsidR="0018060F">
              <w:rPr>
                <w:rFonts w:ascii="Arial" w:hAnsi="Arial" w:cs="Arial"/>
                <w:color w:val="003366"/>
                <w:szCs w:val="24"/>
              </w:rPr>
              <w:t>Automated</w:t>
            </w:r>
            <w:r w:rsidR="00497ACE">
              <w:rPr>
                <w:rFonts w:ascii="Arial" w:hAnsi="Arial" w:cs="Arial"/>
                <w:color w:val="003366"/>
                <w:szCs w:val="24"/>
              </w:rPr>
              <w:t xml:space="preserve"> </w:t>
            </w:r>
            <w:r>
              <w:rPr>
                <w:rFonts w:ascii="Arial" w:hAnsi="Arial" w:cs="Arial"/>
                <w:color w:val="003366"/>
                <w:szCs w:val="24"/>
              </w:rPr>
              <w:t xml:space="preserve">Fee Calculator </w:t>
            </w:r>
            <w:r w:rsidR="005858AD" w:rsidRPr="00B725FD">
              <w:rPr>
                <w:rFonts w:ascii="Arial" w:hAnsi="Arial" w:cs="Arial"/>
                <w:color w:val="003366"/>
                <w:szCs w:val="24"/>
              </w:rPr>
              <w:t>Instructions</w:t>
            </w:r>
            <w:r>
              <w:rPr>
                <w:rFonts w:ascii="Arial" w:hAnsi="Arial" w:cs="Arial"/>
                <w:color w:val="003366"/>
                <w:szCs w:val="24"/>
              </w:rPr>
              <w:t xml:space="preserve"> </w:t>
            </w:r>
            <w:r w:rsidR="00D24B64">
              <w:rPr>
                <w:rFonts w:ascii="Arial" w:hAnsi="Arial" w:cs="Arial"/>
                <w:color w:val="003366"/>
                <w:szCs w:val="24"/>
              </w:rPr>
              <w:t xml:space="preserve"> </w:t>
            </w:r>
          </w:p>
          <w:p w14:paraId="5B2B4940" w14:textId="77777777" w:rsidR="007B38FC" w:rsidRPr="007B38FC" w:rsidRDefault="007B38FC" w:rsidP="007B38FC"/>
          <w:p w14:paraId="5B723329" w14:textId="3C7BB3A1" w:rsidR="00D469B7" w:rsidRPr="00D469B7" w:rsidRDefault="008C136A" w:rsidP="00D469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063176B" wp14:editId="1E0F16AF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295275</wp:posOffset>
                      </wp:positionV>
                      <wp:extent cx="412124" cy="115570"/>
                      <wp:effectExtent l="0" t="0" r="26035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115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8851" id="Rectangle 9" o:spid="_x0000_s1026" style="position:absolute;margin-left:194.05pt;margin-top:23.25pt;width:32.45pt;height:9.1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" filled="f" strokecolor="red" strokeweight="1pt"/>
                  </w:pict>
                </mc:Fallback>
              </mc:AlternateContent>
            </w:r>
            <w:r w:rsidR="00CF135D">
              <w:rPr>
                <w:noProof/>
              </w:rPr>
              <w:drawing>
                <wp:inline distT="0" distB="0" distL="0" distR="0" wp14:anchorId="40BBA4FB" wp14:editId="4223F1DF">
                  <wp:extent cx="5252055" cy="165735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7336" cy="167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30D5C0" w14:textId="67651B05" w:rsidR="00EF1F44" w:rsidRDefault="00EF1F44" w:rsidP="0055786D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 xml:space="preserve">AAFCs must enter all necessary award decisions (ex. Dependency, Basic Eligibility) prior to navigating to the </w:t>
            </w:r>
            <w:r w:rsidRPr="005A1946">
              <w:rPr>
                <w:rFonts w:cs="Arial"/>
                <w:b/>
                <w:bCs/>
                <w:szCs w:val="24"/>
              </w:rPr>
              <w:t>Agent/Attorney Fee</w:t>
            </w:r>
            <w:r w:rsidRPr="005A1946">
              <w:rPr>
                <w:rFonts w:cs="Arial"/>
                <w:szCs w:val="24"/>
              </w:rPr>
              <w:t xml:space="preserve"> tab.</w:t>
            </w:r>
          </w:p>
          <w:p w14:paraId="69EE01EE" w14:textId="3D9ED424" w:rsidR="00744162" w:rsidRPr="005A1946" w:rsidRDefault="00D866C2" w:rsidP="0055786D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 xml:space="preserve">Follow the steps </w:t>
            </w:r>
            <w:r w:rsidR="0073699E" w:rsidRPr="005A1946">
              <w:rPr>
                <w:rFonts w:cs="Arial"/>
                <w:szCs w:val="24"/>
              </w:rPr>
              <w:t>below</w:t>
            </w:r>
            <w:r w:rsidRPr="005A1946">
              <w:rPr>
                <w:rFonts w:cs="Arial"/>
                <w:szCs w:val="24"/>
              </w:rPr>
              <w:t xml:space="preserve"> to initiate the fee calculation and deduction</w:t>
            </w:r>
            <w:r w:rsidR="00412AEC" w:rsidRPr="005A1946">
              <w:rPr>
                <w:rFonts w:cs="Arial"/>
                <w:szCs w:val="24"/>
              </w:rPr>
              <w:t>:</w:t>
            </w:r>
          </w:p>
          <w:p w14:paraId="784C6AFF" w14:textId="51DF489F" w:rsidR="00D866C2" w:rsidRPr="005A1946" w:rsidRDefault="00D866C2" w:rsidP="0055786D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 xml:space="preserve">from the </w:t>
            </w:r>
            <w:r w:rsidRPr="005A1946">
              <w:rPr>
                <w:rFonts w:cs="Arial"/>
                <w:b/>
                <w:bCs/>
                <w:szCs w:val="24"/>
              </w:rPr>
              <w:t>Record Decisions</w:t>
            </w:r>
            <w:r w:rsidRPr="005A1946">
              <w:rPr>
                <w:rFonts w:cs="Arial"/>
                <w:szCs w:val="24"/>
              </w:rPr>
              <w:t xml:space="preserve"> page, click the </w:t>
            </w:r>
            <w:r w:rsidRPr="005A1946">
              <w:rPr>
                <w:rFonts w:cs="Arial"/>
                <w:b/>
                <w:bCs/>
                <w:szCs w:val="24"/>
              </w:rPr>
              <w:t>Award Adjustments</w:t>
            </w:r>
            <w:r w:rsidRPr="005A1946">
              <w:rPr>
                <w:rFonts w:cs="Arial"/>
                <w:szCs w:val="24"/>
              </w:rPr>
              <w:t xml:space="preserve"> link</w:t>
            </w:r>
          </w:p>
          <w:p w14:paraId="26B1B758" w14:textId="7FB0E9C1" w:rsidR="00D866C2" w:rsidRPr="005A1946" w:rsidRDefault="00D866C2" w:rsidP="0055786D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 xml:space="preserve">click the </w:t>
            </w:r>
            <w:r w:rsidR="006148FE" w:rsidRPr="005A1946">
              <w:rPr>
                <w:rFonts w:cs="Arial"/>
                <w:b/>
                <w:bCs/>
                <w:szCs w:val="24"/>
              </w:rPr>
              <w:t>Agent/Attorney Fee</w:t>
            </w:r>
            <w:r w:rsidRPr="005A1946">
              <w:rPr>
                <w:rFonts w:cs="Arial"/>
                <w:szCs w:val="24"/>
              </w:rPr>
              <w:t xml:space="preserve"> tab </w:t>
            </w:r>
          </w:p>
          <w:p w14:paraId="0AD36471" w14:textId="291D6155" w:rsidR="00D866C2" w:rsidRPr="005A1946" w:rsidRDefault="00B90C65" w:rsidP="0055786D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>c</w:t>
            </w:r>
            <w:r w:rsidR="00D866C2" w:rsidRPr="005A1946">
              <w:rPr>
                <w:rFonts w:cs="Arial"/>
                <w:szCs w:val="24"/>
              </w:rPr>
              <w:t xml:space="preserve">lick </w:t>
            </w:r>
            <w:r w:rsidR="00D866C2" w:rsidRPr="005A1946">
              <w:rPr>
                <w:rFonts w:cs="Arial"/>
                <w:b/>
                <w:bCs/>
                <w:szCs w:val="24"/>
              </w:rPr>
              <w:t>Add</w:t>
            </w:r>
          </w:p>
          <w:p w14:paraId="11BFF51B" w14:textId="54AD51C5" w:rsidR="00C87FD9" w:rsidRPr="005A1946" w:rsidRDefault="00995BFF" w:rsidP="0055786D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>a</w:t>
            </w:r>
            <w:r w:rsidR="001F0A68" w:rsidRPr="005A1946">
              <w:rPr>
                <w:rFonts w:cs="Arial"/>
                <w:szCs w:val="24"/>
              </w:rPr>
              <w:t>dd</w:t>
            </w:r>
            <w:r w:rsidR="001F0A68" w:rsidRPr="005A1946">
              <w:rPr>
                <w:rFonts w:cs="Arial"/>
                <w:b/>
                <w:bCs/>
                <w:szCs w:val="24"/>
              </w:rPr>
              <w:t xml:space="preserve"> </w:t>
            </w:r>
            <w:r w:rsidR="006D2486" w:rsidRPr="005A1946">
              <w:rPr>
                <w:rFonts w:cs="Arial"/>
                <w:b/>
                <w:bCs/>
                <w:szCs w:val="24"/>
              </w:rPr>
              <w:t xml:space="preserve">Calculate Through </w:t>
            </w:r>
            <w:r w:rsidR="001F0A68" w:rsidRPr="005A1946">
              <w:rPr>
                <w:rFonts w:cs="Arial"/>
                <w:b/>
                <w:bCs/>
                <w:szCs w:val="24"/>
              </w:rPr>
              <w:t xml:space="preserve">Date </w:t>
            </w:r>
          </w:p>
          <w:p w14:paraId="5F3429CC" w14:textId="292312C9" w:rsidR="001F0A68" w:rsidRPr="005A1946" w:rsidRDefault="009F3853" w:rsidP="0055786D">
            <w:pPr>
              <w:pStyle w:val="ListParagraph"/>
              <w:numPr>
                <w:ilvl w:val="2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>Note:</w:t>
            </w:r>
            <w:r w:rsidR="00D57F7C" w:rsidRPr="005A1946">
              <w:rPr>
                <w:rFonts w:cs="Arial"/>
                <w:szCs w:val="24"/>
              </w:rPr>
              <w:t xml:space="preserve"> </w:t>
            </w:r>
            <w:r w:rsidRPr="005A1946">
              <w:rPr>
                <w:rFonts w:cs="Arial"/>
                <w:szCs w:val="24"/>
              </w:rPr>
              <w:t>T</w:t>
            </w:r>
            <w:r w:rsidR="00D57F7C" w:rsidRPr="005A1946">
              <w:rPr>
                <w:rFonts w:cs="Arial"/>
                <w:szCs w:val="24"/>
              </w:rPr>
              <w:t xml:space="preserve">he “Calculate Through Date” is the date of the decision that benefits are being calculated through, it is </w:t>
            </w:r>
            <w:r w:rsidR="00D57F7C" w:rsidRPr="005A1946">
              <w:rPr>
                <w:rFonts w:cs="Arial"/>
                <w:szCs w:val="24"/>
              </w:rPr>
              <w:lastRenderedPageBreak/>
              <w:t xml:space="preserve">not the following day. For example, the user will enter April 26, </w:t>
            </w:r>
            <w:r w:rsidR="00FA20F4" w:rsidRPr="005A1946">
              <w:rPr>
                <w:rFonts w:cs="Arial"/>
                <w:szCs w:val="24"/>
              </w:rPr>
              <w:t>2023,</w:t>
            </w:r>
            <w:r w:rsidR="00D57F7C" w:rsidRPr="005A1946">
              <w:rPr>
                <w:rFonts w:cs="Arial"/>
                <w:szCs w:val="24"/>
              </w:rPr>
              <w:t xml:space="preserve"> if fees are due based on rating decision dated April 26, 2023. </w:t>
            </w:r>
          </w:p>
          <w:p w14:paraId="1FD3CD2E" w14:textId="1894263C" w:rsidR="00E303AF" w:rsidRPr="005A1946" w:rsidRDefault="00B90C65" w:rsidP="0055786D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 xml:space="preserve">uncheck the </w:t>
            </w:r>
            <w:r w:rsidRPr="005A1946">
              <w:rPr>
                <w:rFonts w:cs="Arial"/>
                <w:b/>
                <w:bCs/>
                <w:szCs w:val="24"/>
              </w:rPr>
              <w:t>Apply Assessment Fee</w:t>
            </w:r>
            <w:r w:rsidRPr="005A1946">
              <w:rPr>
                <w:rFonts w:cs="Arial"/>
                <w:szCs w:val="24"/>
              </w:rPr>
              <w:t xml:space="preserve"> check box if the assessment fee is not warranted</w:t>
            </w:r>
            <w:r w:rsidR="00533DDE" w:rsidRPr="005A1946">
              <w:rPr>
                <w:rFonts w:cs="Arial"/>
                <w:szCs w:val="24"/>
              </w:rPr>
              <w:t xml:space="preserve"> </w:t>
            </w:r>
          </w:p>
          <w:p w14:paraId="12C7A593" w14:textId="24814EC2" w:rsidR="00B90C65" w:rsidRPr="005A1946" w:rsidRDefault="009F3853" w:rsidP="0055786D">
            <w:pPr>
              <w:pStyle w:val="ListParagraph"/>
              <w:numPr>
                <w:ilvl w:val="2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 xml:space="preserve">Note: </w:t>
            </w:r>
            <w:r w:rsidR="00EA119A" w:rsidRPr="005A1946">
              <w:rPr>
                <w:rFonts w:cs="Arial"/>
                <w:szCs w:val="24"/>
              </w:rPr>
              <w:t>If the past-due benefits are based on the same rating, only one assessment fee</w:t>
            </w:r>
            <w:r w:rsidR="000A56CB" w:rsidRPr="005A1946">
              <w:rPr>
                <w:rFonts w:cs="Arial"/>
                <w:szCs w:val="24"/>
              </w:rPr>
              <w:t xml:space="preserve"> of up to $100 is to be charged and deducted even if fees must be paid multiple times for different transactions (</w:t>
            </w:r>
            <w:r w:rsidR="00301AF0" w:rsidRPr="005A1946">
              <w:rPr>
                <w:rFonts w:cs="Arial"/>
                <w:szCs w:val="24"/>
              </w:rPr>
              <w:t>ex</w:t>
            </w:r>
            <w:r w:rsidR="000A56CB" w:rsidRPr="005A1946">
              <w:rPr>
                <w:rFonts w:cs="Arial"/>
                <w:szCs w:val="24"/>
              </w:rPr>
              <w:t xml:space="preserve">. dependency). </w:t>
            </w:r>
            <w:r w:rsidR="00533DDE" w:rsidRPr="005A1946">
              <w:rPr>
                <w:rFonts w:cs="Arial"/>
                <w:szCs w:val="24"/>
              </w:rPr>
              <w:t xml:space="preserve">Assessment fees are not warranted if the appeal is based on a Notice of </w:t>
            </w:r>
            <w:r w:rsidR="00A14AA6" w:rsidRPr="005A1946">
              <w:rPr>
                <w:rFonts w:cs="Arial"/>
                <w:szCs w:val="24"/>
              </w:rPr>
              <w:t>Disagreement received on or before 6/19/2007</w:t>
            </w:r>
            <w:r w:rsidR="00AD116D" w:rsidRPr="005A1946">
              <w:rPr>
                <w:rFonts w:cs="Arial"/>
                <w:szCs w:val="24"/>
              </w:rPr>
              <w:t>.</w:t>
            </w:r>
            <w:r w:rsidR="00196C2F" w:rsidRPr="005A1946">
              <w:rPr>
                <w:rFonts w:cs="Arial"/>
                <w:szCs w:val="24"/>
              </w:rPr>
              <w:t xml:space="preserve"> </w:t>
            </w:r>
          </w:p>
          <w:p w14:paraId="33747894" w14:textId="61B26EDE" w:rsidR="00995BFF" w:rsidRPr="005A1946" w:rsidRDefault="00995BFF" w:rsidP="0055786D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 xml:space="preserve">enter the </w:t>
            </w:r>
            <w:r w:rsidRPr="005A1946">
              <w:rPr>
                <w:rFonts w:cs="Arial"/>
                <w:b/>
                <w:bCs/>
                <w:szCs w:val="24"/>
              </w:rPr>
              <w:t xml:space="preserve">Fee Percentage </w:t>
            </w:r>
          </w:p>
          <w:p w14:paraId="6AC102BD" w14:textId="3E567646" w:rsidR="00D866C2" w:rsidRPr="005A1946" w:rsidRDefault="00B90C65" w:rsidP="0055786D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>c</w:t>
            </w:r>
            <w:r w:rsidR="00D866C2" w:rsidRPr="005A1946">
              <w:rPr>
                <w:rFonts w:cs="Arial"/>
                <w:szCs w:val="24"/>
              </w:rPr>
              <w:t xml:space="preserve">lick </w:t>
            </w:r>
            <w:r w:rsidRPr="005A1946">
              <w:rPr>
                <w:rFonts w:cs="Arial"/>
                <w:b/>
                <w:bCs/>
                <w:szCs w:val="24"/>
              </w:rPr>
              <w:t>Calculate Agent/Attrny Fee</w:t>
            </w:r>
            <w:r w:rsidR="00D866C2" w:rsidRPr="005A1946">
              <w:rPr>
                <w:rFonts w:cs="Arial"/>
                <w:szCs w:val="24"/>
              </w:rPr>
              <w:t xml:space="preserve"> </w:t>
            </w:r>
          </w:p>
          <w:p w14:paraId="44082A0B" w14:textId="5FEF9EF1" w:rsidR="008945D0" w:rsidRPr="005A1946" w:rsidRDefault="008945D0" w:rsidP="0055786D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 xml:space="preserve">the system will generate the </w:t>
            </w:r>
            <w:r w:rsidRPr="005A1946">
              <w:rPr>
                <w:rFonts w:cs="Arial"/>
                <w:b/>
                <w:bCs/>
                <w:szCs w:val="24"/>
              </w:rPr>
              <w:t>Retroactive Amount for Fees</w:t>
            </w:r>
            <w:r w:rsidRPr="005A1946">
              <w:rPr>
                <w:rFonts w:cs="Arial"/>
                <w:szCs w:val="24"/>
              </w:rPr>
              <w:t xml:space="preserve">, </w:t>
            </w:r>
            <w:r w:rsidR="006A60FF" w:rsidRPr="005A1946">
              <w:rPr>
                <w:rFonts w:cs="Arial"/>
                <w:szCs w:val="24"/>
              </w:rPr>
              <w:t xml:space="preserve">the </w:t>
            </w:r>
            <w:r w:rsidRPr="005A1946">
              <w:rPr>
                <w:rFonts w:cs="Arial"/>
                <w:b/>
                <w:bCs/>
                <w:szCs w:val="24"/>
              </w:rPr>
              <w:t>Agent/Attorney Fee</w:t>
            </w:r>
            <w:r w:rsidRPr="005A1946">
              <w:rPr>
                <w:rFonts w:cs="Arial"/>
                <w:szCs w:val="24"/>
              </w:rPr>
              <w:t xml:space="preserve">, and </w:t>
            </w:r>
            <w:r w:rsidR="006A60FF" w:rsidRPr="005A1946">
              <w:rPr>
                <w:rFonts w:cs="Arial"/>
                <w:szCs w:val="24"/>
              </w:rPr>
              <w:t xml:space="preserve">the </w:t>
            </w:r>
            <w:r w:rsidR="006A60FF" w:rsidRPr="005A1946">
              <w:rPr>
                <w:rFonts w:cs="Arial"/>
                <w:b/>
                <w:bCs/>
                <w:szCs w:val="24"/>
              </w:rPr>
              <w:t>Assessment Fee Amount</w:t>
            </w:r>
            <w:r w:rsidR="006A60FF" w:rsidRPr="005A1946">
              <w:rPr>
                <w:rFonts w:cs="Arial"/>
                <w:szCs w:val="24"/>
              </w:rPr>
              <w:t xml:space="preserve"> fields</w:t>
            </w:r>
          </w:p>
          <w:p w14:paraId="5FD7050F" w14:textId="0C63F9D2" w:rsidR="00D866C2" w:rsidRPr="00DA2766" w:rsidRDefault="005C6E2D" w:rsidP="0055786D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>c</w:t>
            </w:r>
            <w:r w:rsidR="00D866C2" w:rsidRPr="005A1946">
              <w:rPr>
                <w:rFonts w:cs="Arial"/>
                <w:szCs w:val="24"/>
              </w:rPr>
              <w:t>lick</w:t>
            </w:r>
            <w:r w:rsidR="00D866C2" w:rsidRPr="005A1946">
              <w:rPr>
                <w:rFonts w:cs="Arial"/>
                <w:b/>
                <w:bCs/>
                <w:szCs w:val="24"/>
              </w:rPr>
              <w:t xml:space="preserve"> Done</w:t>
            </w:r>
            <w:r w:rsidR="0015469F" w:rsidRPr="005A1946">
              <w:rPr>
                <w:rFonts w:cs="Arial"/>
                <w:b/>
                <w:bCs/>
                <w:szCs w:val="24"/>
              </w:rPr>
              <w:t>.</w:t>
            </w:r>
          </w:p>
          <w:p w14:paraId="457846A2" w14:textId="7A1436DD" w:rsidR="005D05C7" w:rsidRDefault="005D05C7" w:rsidP="00497ACE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Completes the </w:t>
            </w:r>
            <w:r w:rsidRPr="005D05C7">
              <w:rPr>
                <w:rFonts w:cs="Arial"/>
                <w:i/>
                <w:iCs/>
                <w:szCs w:val="24"/>
              </w:rPr>
              <w:t>Agent/Attorney Fee Calculator</w:t>
            </w:r>
            <w:r>
              <w:rPr>
                <w:rFonts w:cs="Arial"/>
                <w:szCs w:val="24"/>
              </w:rPr>
              <w:t xml:space="preserve"> and ensures the </w:t>
            </w:r>
            <w:r w:rsidRPr="005D05C7">
              <w:rPr>
                <w:rFonts w:cs="Arial"/>
                <w:i/>
                <w:iCs/>
                <w:szCs w:val="24"/>
              </w:rPr>
              <w:t>VBMS-A Automated Fee Calculator</w:t>
            </w:r>
            <w:r>
              <w:rPr>
                <w:rFonts w:cs="Arial"/>
                <w:szCs w:val="24"/>
              </w:rPr>
              <w:t xml:space="preserve"> amount matches.</w:t>
            </w:r>
          </w:p>
          <w:p w14:paraId="7BD228DF" w14:textId="00E8FBE8" w:rsidR="0018060F" w:rsidRDefault="005D05C7" w:rsidP="0018060F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there is a discrepancy,</w:t>
            </w:r>
            <w:r w:rsidR="0018060F">
              <w:rPr>
                <w:rFonts w:cs="Arial"/>
                <w:szCs w:val="24"/>
              </w:rPr>
              <w:t xml:space="preserve"> the AAFC must complete the following steps:</w:t>
            </w:r>
          </w:p>
          <w:p w14:paraId="36F232CF" w14:textId="7EA67DBC" w:rsidR="00303806" w:rsidRDefault="0018060F" w:rsidP="00303806">
            <w:pPr>
              <w:pStyle w:val="ListParagraph"/>
              <w:numPr>
                <w:ilvl w:val="2"/>
                <w:numId w:val="16"/>
              </w:numPr>
              <w:rPr>
                <w:rFonts w:cs="Arial"/>
                <w:szCs w:val="24"/>
              </w:rPr>
            </w:pPr>
            <w:bookmarkStart w:id="0" w:name="_Hlk133390723"/>
            <w:r>
              <w:rPr>
                <w:rFonts w:cs="Arial"/>
                <w:szCs w:val="24"/>
              </w:rPr>
              <w:t>r</w:t>
            </w:r>
            <w:r w:rsidRPr="0018060F">
              <w:rPr>
                <w:rFonts w:cs="Arial"/>
                <w:szCs w:val="24"/>
              </w:rPr>
              <w:t>e-review all award lines and corresponding amount</w:t>
            </w:r>
            <w:r w:rsidR="00303806">
              <w:rPr>
                <w:rFonts w:cs="Arial"/>
                <w:szCs w:val="24"/>
              </w:rPr>
              <w:t>s</w:t>
            </w:r>
            <w:r w:rsidRPr="0018060F">
              <w:rPr>
                <w:rFonts w:cs="Arial"/>
                <w:szCs w:val="24"/>
              </w:rPr>
              <w:t xml:space="preserve"> to verify accuracy of the manual calculator</w:t>
            </w:r>
          </w:p>
          <w:p w14:paraId="7C63234F" w14:textId="3B0C7A42" w:rsidR="0018060F" w:rsidRPr="00303806" w:rsidRDefault="00303806" w:rsidP="00303806">
            <w:pPr>
              <w:pStyle w:val="ListParagraph"/>
              <w:numPr>
                <w:ilvl w:val="2"/>
                <w:numId w:val="1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  <w:r w:rsidR="0018060F" w:rsidRPr="00303806">
              <w:rPr>
                <w:rFonts w:cs="Arial"/>
                <w:szCs w:val="24"/>
              </w:rPr>
              <w:t>nter an IT ticket documenting the issue</w:t>
            </w:r>
          </w:p>
          <w:p w14:paraId="4616D587" w14:textId="6A80206D" w:rsidR="0018060F" w:rsidRPr="0018060F" w:rsidRDefault="00303806" w:rsidP="0018060F">
            <w:pPr>
              <w:pStyle w:val="ListParagraph"/>
              <w:numPr>
                <w:ilvl w:val="2"/>
                <w:numId w:val="1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  <w:r w:rsidR="0018060F" w:rsidRPr="0018060F">
              <w:rPr>
                <w:rFonts w:cs="Arial"/>
                <w:szCs w:val="24"/>
              </w:rPr>
              <w:t>mail the</w:t>
            </w:r>
            <w:r w:rsidR="0018060F">
              <w:rPr>
                <w:rFonts w:eastAsia="Times New Roman" w:cs="Arial"/>
                <w:szCs w:val="24"/>
              </w:rPr>
              <w:t xml:space="preserve"> </w:t>
            </w:r>
            <w:bookmarkStart w:id="1" w:name="_Hlk133390968"/>
            <w:r w:rsidR="002756AB">
              <w:fldChar w:fldCharType="begin"/>
            </w:r>
            <w:r w:rsidR="002756AB">
              <w:instrText xml:space="preserve"> HYPERLINK "mailto:VAVBAWAS/CO/AFC%20%3cAFC.VBACO@va.gov%3e" </w:instrText>
            </w:r>
            <w:r w:rsidR="002756AB">
              <w:fldChar w:fldCharType="separate"/>
            </w:r>
            <w:r w:rsidR="0018060F">
              <w:rPr>
                <w:rStyle w:val="Hyperlink"/>
                <w:rFonts w:eastAsia="Times New Roman" w:cs="Arial"/>
                <w:szCs w:val="24"/>
              </w:rPr>
              <w:t>AFC box</w:t>
            </w:r>
            <w:r w:rsidR="002756AB">
              <w:rPr>
                <w:rStyle w:val="Hyperlink"/>
                <w:rFonts w:eastAsia="Times New Roman" w:cs="Arial"/>
                <w:szCs w:val="24"/>
              </w:rPr>
              <w:fldChar w:fldCharType="end"/>
            </w:r>
            <w:r w:rsidR="0018060F">
              <w:rPr>
                <w:rFonts w:eastAsia="Times New Roman" w:cs="Arial"/>
                <w:szCs w:val="24"/>
              </w:rPr>
              <w:t>:</w:t>
            </w:r>
            <w:bookmarkEnd w:id="1"/>
          </w:p>
          <w:p w14:paraId="297CCED8" w14:textId="302882AE" w:rsidR="0018060F" w:rsidRDefault="00303806" w:rsidP="0018060F">
            <w:pPr>
              <w:pStyle w:val="ListParagraph"/>
              <w:numPr>
                <w:ilvl w:val="3"/>
                <w:numId w:val="1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</w:t>
            </w:r>
            <w:r w:rsidR="0018060F" w:rsidRPr="0018060F">
              <w:rPr>
                <w:rFonts w:cs="Arial"/>
                <w:szCs w:val="24"/>
              </w:rPr>
              <w:t>se subject line of “VBMS-A Calculator Ticket</w:t>
            </w:r>
            <w:r w:rsidR="0018060F">
              <w:rPr>
                <w:rFonts w:cs="Arial"/>
                <w:szCs w:val="24"/>
              </w:rPr>
              <w:t xml:space="preserve"> number</w:t>
            </w:r>
            <w:r>
              <w:rPr>
                <w:rFonts w:cs="Arial"/>
                <w:szCs w:val="24"/>
              </w:rPr>
              <w:t>”</w:t>
            </w:r>
          </w:p>
          <w:p w14:paraId="6340C4BB" w14:textId="39A6857B" w:rsidR="0018060F" w:rsidRDefault="00303806" w:rsidP="0018060F">
            <w:pPr>
              <w:pStyle w:val="ListParagraph"/>
              <w:numPr>
                <w:ilvl w:val="3"/>
                <w:numId w:val="1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</w:t>
            </w:r>
            <w:r w:rsidR="0018060F" w:rsidRPr="0018060F">
              <w:rPr>
                <w:rFonts w:cs="Arial"/>
                <w:szCs w:val="24"/>
              </w:rPr>
              <w:t>nclude the file number and IT ticket number</w:t>
            </w:r>
          </w:p>
          <w:p w14:paraId="1F4118F4" w14:textId="008F96F7" w:rsidR="0018060F" w:rsidRDefault="00303806" w:rsidP="0018060F">
            <w:pPr>
              <w:pStyle w:val="ListParagraph"/>
              <w:numPr>
                <w:ilvl w:val="3"/>
                <w:numId w:val="1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include a s</w:t>
            </w:r>
            <w:r w:rsidR="0018060F" w:rsidRPr="0018060F">
              <w:rPr>
                <w:rFonts w:cs="Arial"/>
                <w:szCs w:val="24"/>
              </w:rPr>
              <w:t xml:space="preserve">creenshot of VBMS-A </w:t>
            </w:r>
            <w:r w:rsidR="0018060F" w:rsidRPr="00303806">
              <w:rPr>
                <w:rFonts w:cs="Arial"/>
                <w:b/>
                <w:bCs/>
                <w:szCs w:val="24"/>
              </w:rPr>
              <w:t>Agent/Attorney Fee</w:t>
            </w:r>
            <w:r w:rsidR="0018060F" w:rsidRPr="0018060F">
              <w:rPr>
                <w:rFonts w:cs="Arial"/>
                <w:szCs w:val="24"/>
              </w:rPr>
              <w:t xml:space="preserve"> tab</w:t>
            </w:r>
          </w:p>
          <w:p w14:paraId="04F09728" w14:textId="75837513" w:rsidR="0018060F" w:rsidRPr="0018060F" w:rsidRDefault="00303806" w:rsidP="0018060F">
            <w:pPr>
              <w:pStyle w:val="ListParagraph"/>
              <w:numPr>
                <w:ilvl w:val="3"/>
                <w:numId w:val="1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attach a c</w:t>
            </w:r>
            <w:r w:rsidR="0018060F" w:rsidRPr="0018060F">
              <w:rPr>
                <w:rFonts w:cs="Arial"/>
                <w:szCs w:val="24"/>
              </w:rPr>
              <w:t xml:space="preserve">opy of the manual </w:t>
            </w:r>
            <w:r w:rsidR="0018060F" w:rsidRPr="0018060F">
              <w:rPr>
                <w:rFonts w:cs="Arial"/>
                <w:i/>
                <w:iCs/>
                <w:szCs w:val="24"/>
              </w:rPr>
              <w:t>Agent/Attorney Fee Calculator</w:t>
            </w:r>
          </w:p>
          <w:p w14:paraId="194EB3E6" w14:textId="2A439B38" w:rsidR="005D05C7" w:rsidRPr="0018060F" w:rsidRDefault="00303806" w:rsidP="0018060F">
            <w:pPr>
              <w:pStyle w:val="ListParagraph"/>
              <w:numPr>
                <w:ilvl w:val="2"/>
                <w:numId w:val="16"/>
              </w:numPr>
              <w:rPr>
                <w:rFonts w:cs="Arial"/>
                <w:szCs w:val="24"/>
              </w:rPr>
            </w:pPr>
            <w:r w:rsidRPr="00303806">
              <w:rPr>
                <w:rFonts w:cs="Arial"/>
                <w:szCs w:val="24"/>
              </w:rPr>
              <w:t>select the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7B38FC">
              <w:rPr>
                <w:rFonts w:cs="Arial"/>
                <w:b/>
                <w:bCs/>
                <w:szCs w:val="24"/>
              </w:rPr>
              <w:t>Calculator Override</w:t>
            </w:r>
            <w:r w:rsidRPr="007B38FC">
              <w:rPr>
                <w:rFonts w:cs="Arial"/>
                <w:szCs w:val="24"/>
              </w:rPr>
              <w:t xml:space="preserve"> box </w:t>
            </w:r>
            <w:r w:rsidR="0018060F" w:rsidRPr="0018060F">
              <w:rPr>
                <w:rFonts w:cs="Arial"/>
                <w:szCs w:val="24"/>
              </w:rPr>
              <w:t xml:space="preserve">on the </w:t>
            </w:r>
            <w:r w:rsidRPr="00303806">
              <w:rPr>
                <w:rFonts w:cs="Arial"/>
                <w:b/>
                <w:bCs/>
                <w:szCs w:val="24"/>
              </w:rPr>
              <w:t>Agent/Attorney Fee</w:t>
            </w:r>
            <w:r w:rsidRPr="00303806">
              <w:rPr>
                <w:rFonts w:cs="Arial"/>
                <w:szCs w:val="24"/>
              </w:rPr>
              <w:t xml:space="preserve"> tab </w:t>
            </w:r>
            <w:r w:rsidR="0018060F" w:rsidRPr="0018060F">
              <w:rPr>
                <w:rFonts w:cs="Arial"/>
                <w:szCs w:val="24"/>
              </w:rPr>
              <w:t xml:space="preserve">in VBMS-A to manually edit the </w:t>
            </w:r>
            <w:r w:rsidR="0018060F" w:rsidRPr="00303806">
              <w:rPr>
                <w:rFonts w:cs="Arial"/>
                <w:b/>
                <w:bCs/>
                <w:szCs w:val="24"/>
              </w:rPr>
              <w:t>Retroactive Amount for Fees</w:t>
            </w:r>
            <w:r w:rsidR="0018060F" w:rsidRPr="0018060F">
              <w:rPr>
                <w:rFonts w:cs="Arial"/>
                <w:szCs w:val="24"/>
              </w:rPr>
              <w:t xml:space="preserve">, the </w:t>
            </w:r>
            <w:r w:rsidR="0018060F" w:rsidRPr="00303806">
              <w:rPr>
                <w:rFonts w:cs="Arial"/>
                <w:b/>
                <w:bCs/>
                <w:szCs w:val="24"/>
              </w:rPr>
              <w:t>Agent/Attorney Fee</w:t>
            </w:r>
            <w:r w:rsidR="0018060F" w:rsidRPr="0018060F">
              <w:rPr>
                <w:rFonts w:cs="Arial"/>
                <w:szCs w:val="24"/>
              </w:rPr>
              <w:t xml:space="preserve"> (includes the assessment fee), and the </w:t>
            </w:r>
            <w:r w:rsidR="0018060F" w:rsidRPr="00303806">
              <w:rPr>
                <w:rFonts w:cs="Arial"/>
                <w:b/>
                <w:bCs/>
                <w:szCs w:val="24"/>
              </w:rPr>
              <w:lastRenderedPageBreak/>
              <w:t>Assessment Fee Amount</w:t>
            </w:r>
            <w:r w:rsidR="0018060F" w:rsidRPr="0018060F">
              <w:rPr>
                <w:rFonts w:cs="Arial"/>
                <w:szCs w:val="24"/>
              </w:rPr>
              <w:t xml:space="preserve"> matching the manual calculator.</w:t>
            </w:r>
          </w:p>
          <w:bookmarkEnd w:id="0"/>
          <w:p w14:paraId="7463E03F" w14:textId="71FB0193" w:rsidR="00497ACE" w:rsidRPr="00497ACE" w:rsidRDefault="00497ACE" w:rsidP="00497ACE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4"/>
              </w:rPr>
            </w:pPr>
            <w:r w:rsidRPr="00497ACE">
              <w:rPr>
                <w:rFonts w:cs="Arial"/>
                <w:szCs w:val="24"/>
              </w:rPr>
              <w:t>VSR AAFC generates the award.</w:t>
            </w:r>
          </w:p>
          <w:p w14:paraId="369EC002" w14:textId="486A4A06" w:rsidR="00497ACE" w:rsidRPr="00497ACE" w:rsidRDefault="00497ACE" w:rsidP="00497ACE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4"/>
              </w:rPr>
            </w:pPr>
            <w:r w:rsidRPr="00497ACE">
              <w:rPr>
                <w:rFonts w:cs="Arial"/>
                <w:szCs w:val="24"/>
              </w:rPr>
              <w:t>VSR AAFC routes the award</w:t>
            </w:r>
            <w:r w:rsidR="005D05C7">
              <w:rPr>
                <w:rFonts w:cs="Arial"/>
                <w:szCs w:val="24"/>
              </w:rPr>
              <w:t xml:space="preserve"> and calculator</w:t>
            </w:r>
            <w:r w:rsidRPr="00497ACE">
              <w:rPr>
                <w:rFonts w:cs="Arial"/>
                <w:szCs w:val="24"/>
              </w:rPr>
              <w:t xml:space="preserve"> to an SVSR AAFC for review. </w:t>
            </w:r>
          </w:p>
          <w:p w14:paraId="0338CE98" w14:textId="48D6E122" w:rsidR="00497ACE" w:rsidRPr="00497ACE" w:rsidRDefault="00497ACE" w:rsidP="00497ACE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4"/>
              </w:rPr>
            </w:pPr>
            <w:r w:rsidRPr="00497ACE">
              <w:rPr>
                <w:rFonts w:cs="Arial"/>
                <w:szCs w:val="24"/>
              </w:rPr>
              <w:t xml:space="preserve">SVSR AAFC </w:t>
            </w:r>
            <w:r w:rsidR="005D05C7">
              <w:rPr>
                <w:rFonts w:cs="Arial"/>
                <w:szCs w:val="24"/>
              </w:rPr>
              <w:t>verifies accuracy</w:t>
            </w:r>
            <w:r w:rsidR="00303806">
              <w:rPr>
                <w:rFonts w:cs="Arial"/>
                <w:szCs w:val="24"/>
              </w:rPr>
              <w:t xml:space="preserve">, uploads the </w:t>
            </w:r>
            <w:r w:rsidR="00303806" w:rsidRPr="00303806">
              <w:rPr>
                <w:rFonts w:cs="Arial"/>
                <w:i/>
                <w:iCs/>
                <w:szCs w:val="24"/>
              </w:rPr>
              <w:t>Agent/Attorney Fee Calculator,</w:t>
            </w:r>
            <w:r w:rsidR="005D05C7">
              <w:rPr>
                <w:rFonts w:cs="Arial"/>
                <w:szCs w:val="24"/>
              </w:rPr>
              <w:t xml:space="preserve"> and </w:t>
            </w:r>
            <w:r w:rsidRPr="00497ACE">
              <w:rPr>
                <w:rFonts w:cs="Arial"/>
                <w:szCs w:val="24"/>
              </w:rPr>
              <w:t>authorizes the claimant’s award.</w:t>
            </w:r>
          </w:p>
          <w:p w14:paraId="355A43BC" w14:textId="04FA869B" w:rsidR="00497ACE" w:rsidRDefault="00497ACE" w:rsidP="00497ACE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4"/>
              </w:rPr>
            </w:pPr>
            <w:r w:rsidRPr="00497ACE">
              <w:rPr>
                <w:rFonts w:cs="Arial"/>
                <w:szCs w:val="24"/>
              </w:rPr>
              <w:t>SVSR AAFC will return the award and use deferral functionality in VBMS if corrections are required.</w:t>
            </w:r>
          </w:p>
          <w:p w14:paraId="7A85DE65" w14:textId="0539DC0B" w:rsidR="00497ACE" w:rsidRPr="00D866C2" w:rsidRDefault="00497ACE" w:rsidP="00497ACE">
            <w:pPr>
              <w:pStyle w:val="Heading1"/>
              <w:rPr>
                <w:rFonts w:ascii="Arial" w:hAnsi="Arial" w:cs="Arial"/>
                <w:color w:val="003366"/>
                <w:szCs w:val="24"/>
              </w:rPr>
            </w:pPr>
            <w:r>
              <w:rPr>
                <w:rFonts w:ascii="Arial" w:hAnsi="Arial" w:cs="Arial"/>
                <w:color w:val="003366"/>
                <w:szCs w:val="24"/>
              </w:rPr>
              <w:t xml:space="preserve">VBMS-A </w:t>
            </w:r>
            <w:r w:rsidR="00627CF2">
              <w:rPr>
                <w:rFonts w:ascii="Arial" w:hAnsi="Arial" w:cs="Arial"/>
                <w:color w:val="003366"/>
                <w:szCs w:val="24"/>
              </w:rPr>
              <w:t xml:space="preserve">Automated </w:t>
            </w:r>
            <w:r>
              <w:rPr>
                <w:rFonts w:ascii="Arial" w:hAnsi="Arial" w:cs="Arial"/>
                <w:color w:val="003366"/>
                <w:szCs w:val="24"/>
              </w:rPr>
              <w:t>Fee Calculator</w:t>
            </w:r>
            <w:r w:rsidR="007B38FC">
              <w:rPr>
                <w:rFonts w:ascii="Arial" w:hAnsi="Arial" w:cs="Arial"/>
                <w:color w:val="003366"/>
                <w:szCs w:val="24"/>
              </w:rPr>
              <w:t xml:space="preserve"> A</w:t>
            </w:r>
            <w:r w:rsidR="00C728EB">
              <w:rPr>
                <w:rFonts w:ascii="Arial" w:hAnsi="Arial" w:cs="Arial"/>
                <w:color w:val="003366"/>
                <w:szCs w:val="24"/>
              </w:rPr>
              <w:t>dditional</w:t>
            </w:r>
            <w:r>
              <w:rPr>
                <w:rFonts w:ascii="Arial" w:hAnsi="Arial" w:cs="Arial"/>
                <w:color w:val="003366"/>
                <w:szCs w:val="24"/>
              </w:rPr>
              <w:t xml:space="preserve"> </w:t>
            </w:r>
            <w:r w:rsidRPr="00B725FD">
              <w:rPr>
                <w:rFonts w:ascii="Arial" w:hAnsi="Arial" w:cs="Arial"/>
                <w:color w:val="003366"/>
                <w:szCs w:val="24"/>
              </w:rPr>
              <w:t>Instructions</w:t>
            </w:r>
            <w:r>
              <w:rPr>
                <w:rFonts w:ascii="Arial" w:hAnsi="Arial" w:cs="Arial"/>
                <w:color w:val="003366"/>
                <w:szCs w:val="24"/>
              </w:rPr>
              <w:t xml:space="preserve">  </w:t>
            </w:r>
          </w:p>
          <w:p w14:paraId="092CCAB4" w14:textId="77777777" w:rsidR="00497ACE" w:rsidRPr="00497ACE" w:rsidRDefault="00497ACE" w:rsidP="00497ACE">
            <w:pPr>
              <w:rPr>
                <w:rFonts w:cs="Arial"/>
                <w:szCs w:val="24"/>
              </w:rPr>
            </w:pPr>
          </w:p>
          <w:p w14:paraId="64A4FEC3" w14:textId="279C075C" w:rsidR="0055786D" w:rsidRDefault="0055786D" w:rsidP="0055786D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Pr="005A1946">
              <w:rPr>
                <w:rFonts w:cs="Arial"/>
                <w:szCs w:val="24"/>
              </w:rPr>
              <w:t xml:space="preserve">he </w:t>
            </w:r>
            <w:r w:rsidRPr="00496534">
              <w:rPr>
                <w:rFonts w:cs="Arial"/>
                <w:i/>
                <w:iCs/>
                <w:szCs w:val="24"/>
              </w:rPr>
              <w:t>VBMS-A A</w:t>
            </w:r>
            <w:r w:rsidR="00627CF2">
              <w:rPr>
                <w:rFonts w:cs="Arial"/>
                <w:i/>
                <w:iCs/>
                <w:szCs w:val="24"/>
              </w:rPr>
              <w:t>utomated</w:t>
            </w:r>
            <w:r w:rsidRPr="00496534">
              <w:rPr>
                <w:rFonts w:cs="Arial"/>
                <w:i/>
                <w:iCs/>
                <w:szCs w:val="24"/>
              </w:rPr>
              <w:t xml:space="preserve"> Fee Calculator</w:t>
            </w:r>
            <w:r w:rsidRPr="005A1946">
              <w:rPr>
                <w:rFonts w:cs="Arial"/>
                <w:szCs w:val="24"/>
              </w:rPr>
              <w:t xml:space="preserve"> cannot be utilized for awards involving the following:</w:t>
            </w:r>
          </w:p>
          <w:p w14:paraId="0E1A9048" w14:textId="41E07765" w:rsidR="00E9156D" w:rsidRPr="00E9156D" w:rsidRDefault="00E9156D" w:rsidP="00E9156D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E9156D">
              <w:rPr>
                <w:rFonts w:cs="Arial"/>
                <w:szCs w:val="24"/>
              </w:rPr>
              <w:t xml:space="preserve">entry of priors </w:t>
            </w:r>
          </w:p>
          <w:p w14:paraId="2C1DE0D1" w14:textId="4DC31A6F" w:rsidR="00E9156D" w:rsidRPr="00E9156D" w:rsidRDefault="00E9156D" w:rsidP="00E9156D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E9156D">
              <w:rPr>
                <w:rFonts w:cs="Arial"/>
                <w:szCs w:val="24"/>
              </w:rPr>
              <w:t>utiliz</w:t>
            </w:r>
            <w:r w:rsidR="00505846">
              <w:rPr>
                <w:rFonts w:cs="Arial"/>
                <w:szCs w:val="24"/>
              </w:rPr>
              <w:t>ation of</w:t>
            </w:r>
            <w:r w:rsidRPr="00E9156D">
              <w:rPr>
                <w:rFonts w:cs="Arial"/>
                <w:szCs w:val="24"/>
              </w:rPr>
              <w:t xml:space="preserve"> the generate award override (GAO)</w:t>
            </w:r>
            <w:r w:rsidR="00505846">
              <w:rPr>
                <w:rFonts w:cs="Arial"/>
                <w:szCs w:val="24"/>
              </w:rPr>
              <w:t xml:space="preserve"> function</w:t>
            </w:r>
            <w:r w:rsidRPr="00E9156D">
              <w:rPr>
                <w:rFonts w:cs="Arial"/>
                <w:szCs w:val="24"/>
              </w:rPr>
              <w:t xml:space="preserve"> </w:t>
            </w:r>
          </w:p>
          <w:p w14:paraId="1146706B" w14:textId="64F1F9D5" w:rsidR="00E9156D" w:rsidRPr="00E9156D" w:rsidRDefault="00E9156D" w:rsidP="00E9156D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E9156D">
              <w:rPr>
                <w:rFonts w:cs="Arial"/>
                <w:szCs w:val="24"/>
              </w:rPr>
              <w:t>use of pension protected rates</w:t>
            </w:r>
            <w:r w:rsidR="00DA2766">
              <w:rPr>
                <w:rFonts w:cs="Arial"/>
                <w:szCs w:val="24"/>
              </w:rPr>
              <w:t>, and</w:t>
            </w:r>
            <w:r w:rsidRPr="00E9156D">
              <w:rPr>
                <w:rFonts w:cs="Arial"/>
                <w:szCs w:val="24"/>
              </w:rPr>
              <w:t xml:space="preserve"> </w:t>
            </w:r>
          </w:p>
          <w:p w14:paraId="5D2E291E" w14:textId="77777777" w:rsidR="007B38FC" w:rsidRDefault="00E9156D" w:rsidP="007B38FC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E9156D">
              <w:rPr>
                <w:rFonts w:cs="Arial"/>
                <w:szCs w:val="24"/>
              </w:rPr>
              <w:t>unprocessed Cost of Living Adjustment (COLA) adjustments</w:t>
            </w:r>
            <w:r w:rsidR="00DA2766">
              <w:rPr>
                <w:rFonts w:cs="Arial"/>
                <w:szCs w:val="24"/>
              </w:rPr>
              <w:t>.</w:t>
            </w:r>
          </w:p>
          <w:p w14:paraId="614DDF2A" w14:textId="09495428" w:rsidR="00375993" w:rsidRPr="007B38FC" w:rsidRDefault="005E0AE1" w:rsidP="007B38FC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4"/>
              </w:rPr>
            </w:pPr>
            <w:r w:rsidRPr="007B38FC">
              <w:rPr>
                <w:rFonts w:cs="Arial"/>
                <w:szCs w:val="24"/>
              </w:rPr>
              <w:t>The</w:t>
            </w:r>
            <w:r w:rsidR="002B7926" w:rsidRPr="007B38FC">
              <w:rPr>
                <w:rFonts w:cs="Arial"/>
                <w:szCs w:val="24"/>
              </w:rPr>
              <w:t xml:space="preserve"> </w:t>
            </w:r>
            <w:r w:rsidR="002B7926" w:rsidRPr="007B38FC">
              <w:rPr>
                <w:rFonts w:cs="Arial"/>
                <w:b/>
                <w:bCs/>
                <w:szCs w:val="24"/>
              </w:rPr>
              <w:t>Calculator Override</w:t>
            </w:r>
            <w:r w:rsidR="002B7926" w:rsidRPr="007B38FC">
              <w:rPr>
                <w:rFonts w:cs="Arial"/>
                <w:szCs w:val="24"/>
              </w:rPr>
              <w:t xml:space="preserve"> </w:t>
            </w:r>
            <w:r w:rsidR="00375993" w:rsidRPr="007B38FC">
              <w:rPr>
                <w:rFonts w:cs="Arial"/>
                <w:szCs w:val="24"/>
              </w:rPr>
              <w:t>box must be selected to input the correct fee deduction amount in the cases listed above, and during other scenarios that would prohibit the automated calculation.</w:t>
            </w:r>
          </w:p>
          <w:p w14:paraId="3EF69495" w14:textId="52707DA7" w:rsidR="00294D84" w:rsidRPr="005A1946" w:rsidRDefault="005A0203" w:rsidP="00375993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 xml:space="preserve">AAFC must enter </w:t>
            </w:r>
            <w:r w:rsidR="00250D44" w:rsidRPr="005A1946">
              <w:rPr>
                <w:rFonts w:cs="Arial"/>
                <w:szCs w:val="24"/>
              </w:rPr>
              <w:t xml:space="preserve">must utilize the </w:t>
            </w:r>
            <w:r w:rsidR="005D05C7">
              <w:rPr>
                <w:rFonts w:cs="Arial"/>
                <w:szCs w:val="24"/>
              </w:rPr>
              <w:t xml:space="preserve">manual </w:t>
            </w:r>
            <w:r w:rsidR="00250D44" w:rsidRPr="005D05C7">
              <w:rPr>
                <w:rFonts w:cs="Arial"/>
                <w:i/>
                <w:iCs/>
                <w:szCs w:val="24"/>
              </w:rPr>
              <w:t>Agent/Attorney Fee Calculator</w:t>
            </w:r>
            <w:r w:rsidR="00250D44" w:rsidRPr="005A1946">
              <w:rPr>
                <w:rFonts w:cs="Arial"/>
                <w:szCs w:val="24"/>
              </w:rPr>
              <w:t xml:space="preserve"> and upload it to the eFolder </w:t>
            </w:r>
          </w:p>
          <w:p w14:paraId="75B82978" w14:textId="192A9A7E" w:rsidR="005A0203" w:rsidRPr="005A1946" w:rsidRDefault="00294D84" w:rsidP="00D65BA1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>The following fields</w:t>
            </w:r>
            <w:r w:rsidR="00D73B10">
              <w:rPr>
                <w:rFonts w:cs="Arial"/>
                <w:szCs w:val="24"/>
              </w:rPr>
              <w:t xml:space="preserve"> must be manually edited in VBMS-A to match the manual calculator</w:t>
            </w:r>
            <w:r w:rsidRPr="005A1946">
              <w:rPr>
                <w:rFonts w:cs="Arial"/>
                <w:szCs w:val="24"/>
              </w:rPr>
              <w:t xml:space="preserve">: </w:t>
            </w:r>
            <w:r w:rsidR="005A0203" w:rsidRPr="005A1946">
              <w:rPr>
                <w:rFonts w:cs="Arial"/>
                <w:b/>
                <w:bCs/>
                <w:szCs w:val="24"/>
              </w:rPr>
              <w:t>Retroactive Amount for Fees</w:t>
            </w:r>
            <w:r w:rsidR="005A0203" w:rsidRPr="005A1946">
              <w:rPr>
                <w:rFonts w:cs="Arial"/>
                <w:szCs w:val="24"/>
              </w:rPr>
              <w:t xml:space="preserve">, the </w:t>
            </w:r>
            <w:r w:rsidR="005A0203" w:rsidRPr="005A1946">
              <w:rPr>
                <w:rFonts w:cs="Arial"/>
                <w:b/>
                <w:bCs/>
                <w:szCs w:val="24"/>
              </w:rPr>
              <w:t>Agent/Attorney Fee</w:t>
            </w:r>
            <w:r w:rsidR="00C5017D" w:rsidRPr="005A1946">
              <w:rPr>
                <w:rFonts w:cs="Arial"/>
                <w:szCs w:val="24"/>
              </w:rPr>
              <w:t xml:space="preserve"> (includes the assessment fee)</w:t>
            </w:r>
            <w:r w:rsidR="005A0203" w:rsidRPr="005A1946">
              <w:rPr>
                <w:rFonts w:cs="Arial"/>
                <w:szCs w:val="24"/>
              </w:rPr>
              <w:t xml:space="preserve">, and the </w:t>
            </w:r>
            <w:r w:rsidR="005A0203" w:rsidRPr="005A1946">
              <w:rPr>
                <w:rFonts w:cs="Arial"/>
                <w:b/>
                <w:bCs/>
                <w:szCs w:val="24"/>
              </w:rPr>
              <w:t>Assessment Fee Amount</w:t>
            </w:r>
          </w:p>
          <w:p w14:paraId="7501C5E6" w14:textId="5AC5B425" w:rsidR="00580096" w:rsidRPr="005A1946" w:rsidRDefault="00580096" w:rsidP="0055786D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>The following types of cases</w:t>
            </w:r>
            <w:r w:rsidR="00294D84" w:rsidRPr="005A1946">
              <w:rPr>
                <w:rFonts w:cs="Arial"/>
                <w:szCs w:val="24"/>
              </w:rPr>
              <w:t xml:space="preserve"> </w:t>
            </w:r>
            <w:r w:rsidR="000C4D0C" w:rsidRPr="005A1946">
              <w:rPr>
                <w:rFonts w:cs="Arial"/>
                <w:szCs w:val="24"/>
              </w:rPr>
              <w:t>require AAFCs to establish the fee</w:t>
            </w:r>
            <w:r w:rsidR="002D32D8" w:rsidRPr="005A1946">
              <w:rPr>
                <w:rFonts w:cs="Arial"/>
                <w:szCs w:val="24"/>
              </w:rPr>
              <w:t xml:space="preserve"> deduction through finance activity;</w:t>
            </w:r>
            <w:r w:rsidRPr="005A1946">
              <w:rPr>
                <w:rFonts w:cs="Arial"/>
                <w:szCs w:val="24"/>
              </w:rPr>
              <w:t xml:space="preserve"> the </w:t>
            </w:r>
            <w:r w:rsidRPr="005A1946">
              <w:rPr>
                <w:rFonts w:cs="Arial"/>
                <w:i/>
                <w:iCs/>
                <w:szCs w:val="24"/>
              </w:rPr>
              <w:t xml:space="preserve">VBMS-A </w:t>
            </w:r>
            <w:r w:rsidR="00627CF2">
              <w:rPr>
                <w:rFonts w:cs="Arial"/>
                <w:i/>
                <w:iCs/>
                <w:szCs w:val="24"/>
              </w:rPr>
              <w:t>Automated</w:t>
            </w:r>
            <w:r w:rsidR="00294D84" w:rsidRPr="005A1946">
              <w:rPr>
                <w:rFonts w:cs="Arial"/>
                <w:i/>
                <w:iCs/>
                <w:szCs w:val="24"/>
              </w:rPr>
              <w:t xml:space="preserve"> F</w:t>
            </w:r>
            <w:r w:rsidRPr="005A1946">
              <w:rPr>
                <w:rFonts w:cs="Arial"/>
                <w:i/>
                <w:iCs/>
                <w:szCs w:val="24"/>
              </w:rPr>
              <w:t xml:space="preserve">ee </w:t>
            </w:r>
            <w:r w:rsidR="00294D84" w:rsidRPr="005A1946">
              <w:rPr>
                <w:rFonts w:cs="Arial"/>
                <w:i/>
                <w:iCs/>
                <w:szCs w:val="24"/>
              </w:rPr>
              <w:t>C</w:t>
            </w:r>
            <w:r w:rsidRPr="005A1946">
              <w:rPr>
                <w:rFonts w:cs="Arial"/>
                <w:i/>
                <w:iCs/>
                <w:szCs w:val="24"/>
              </w:rPr>
              <w:t>alculator</w:t>
            </w:r>
            <w:r w:rsidR="00DD09FA" w:rsidRPr="005A1946">
              <w:rPr>
                <w:rFonts w:cs="Arial"/>
                <w:i/>
                <w:iCs/>
                <w:szCs w:val="24"/>
              </w:rPr>
              <w:t xml:space="preserve"> </w:t>
            </w:r>
            <w:r w:rsidR="00DD09FA" w:rsidRPr="005A1946">
              <w:rPr>
                <w:rFonts w:cs="Arial"/>
                <w:szCs w:val="24"/>
              </w:rPr>
              <w:t>and fee deduction</w:t>
            </w:r>
            <w:r w:rsidR="00DB574E">
              <w:rPr>
                <w:rFonts w:cs="Arial"/>
                <w:szCs w:val="24"/>
              </w:rPr>
              <w:t xml:space="preserve"> functionality</w:t>
            </w:r>
            <w:r w:rsidR="002D32D8" w:rsidRPr="005A1946">
              <w:rPr>
                <w:rFonts w:cs="Arial"/>
                <w:i/>
                <w:iCs/>
                <w:szCs w:val="24"/>
              </w:rPr>
              <w:t xml:space="preserve"> </w:t>
            </w:r>
            <w:r w:rsidR="002D32D8" w:rsidRPr="005A1946">
              <w:rPr>
                <w:rFonts w:cs="Arial"/>
                <w:szCs w:val="24"/>
              </w:rPr>
              <w:t>cannot be used:</w:t>
            </w:r>
          </w:p>
          <w:p w14:paraId="14EBBF29" w14:textId="1E087FB1" w:rsidR="003203D7" w:rsidRPr="005A1946" w:rsidRDefault="00081F3C" w:rsidP="0055786D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>a</w:t>
            </w:r>
            <w:r w:rsidR="002D32D8" w:rsidRPr="005A1946">
              <w:rPr>
                <w:rFonts w:cs="Arial"/>
                <w:szCs w:val="24"/>
              </w:rPr>
              <w:t>pportionments</w:t>
            </w:r>
          </w:p>
          <w:p w14:paraId="4825559C" w14:textId="6B56D606" w:rsidR="00184AC5" w:rsidRPr="005A1946" w:rsidRDefault="00081F3C" w:rsidP="0055786D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>a</w:t>
            </w:r>
            <w:r w:rsidR="00444309" w:rsidRPr="005A1946">
              <w:rPr>
                <w:rFonts w:cs="Arial"/>
                <w:szCs w:val="24"/>
              </w:rPr>
              <w:t>ccrued awards</w:t>
            </w:r>
          </w:p>
          <w:p w14:paraId="0BAEDE68" w14:textId="3DAD68EE" w:rsidR="00081F3C" w:rsidRPr="005A1946" w:rsidRDefault="00571BD7" w:rsidP="0055786D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5A1946">
              <w:rPr>
                <w:rFonts w:cs="Arial"/>
                <w:szCs w:val="24"/>
              </w:rPr>
              <w:t xml:space="preserve">restored entitlement program for survivors (REPS), and </w:t>
            </w:r>
          </w:p>
          <w:p w14:paraId="39E8BB86" w14:textId="0514A317" w:rsidR="00571BD7" w:rsidRDefault="00571BD7" w:rsidP="0055786D">
            <w:pPr>
              <w:pStyle w:val="ListParagraph"/>
              <w:numPr>
                <w:ilvl w:val="1"/>
                <w:numId w:val="16"/>
              </w:numPr>
              <w:rPr>
                <w:rFonts w:cs="Arial"/>
                <w:szCs w:val="24"/>
              </w:rPr>
            </w:pPr>
            <w:r w:rsidRPr="00D73B10">
              <w:rPr>
                <w:rFonts w:cs="Arial"/>
                <w:szCs w:val="24"/>
              </w:rPr>
              <w:t>Chapter 18.</w:t>
            </w:r>
          </w:p>
          <w:p w14:paraId="03C1587E" w14:textId="6D9CE7A0" w:rsidR="0018060F" w:rsidRDefault="0018060F" w:rsidP="0018060F">
            <w:pPr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5D6BB732" wp14:editId="085FD10F">
                  <wp:extent cx="5053965" cy="664210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96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6ECC74" w14:textId="77777777" w:rsidR="00627CF2" w:rsidRDefault="00627CF2" w:rsidP="0018060F">
            <w:pPr>
              <w:rPr>
                <w:rFonts w:cs="Arial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0"/>
              <w:gridCol w:w="2720"/>
              <w:gridCol w:w="2721"/>
            </w:tblGrid>
            <w:tr w:rsidR="00D73B10" w:rsidRPr="00D73B10" w14:paraId="449A6B96" w14:textId="77777777" w:rsidTr="0018060F">
              <w:tc>
                <w:tcPr>
                  <w:tcW w:w="2720" w:type="dxa"/>
                </w:tcPr>
                <w:p w14:paraId="28823259" w14:textId="3EE7C0B7" w:rsidR="00D73B10" w:rsidRPr="00D73B10" w:rsidRDefault="00D73B10" w:rsidP="007B03B2">
                  <w:pPr>
                    <w:rPr>
                      <w:b/>
                      <w:bCs/>
                      <w:noProof/>
                    </w:rPr>
                  </w:pPr>
                  <w:r w:rsidRPr="002756AB">
                    <w:rPr>
                      <w:b/>
                      <w:bCs/>
                      <w:i/>
                      <w:iCs/>
                      <w:noProof/>
                    </w:rPr>
                    <w:t xml:space="preserve">VBMS-A </w:t>
                  </w:r>
                  <w:r w:rsidR="002756AB" w:rsidRPr="002756AB">
                    <w:rPr>
                      <w:b/>
                      <w:bCs/>
                      <w:i/>
                      <w:iCs/>
                      <w:noProof/>
                    </w:rPr>
                    <w:t>Automated Fee Calculator</w:t>
                  </w:r>
                  <w:r w:rsidR="002756AB">
                    <w:rPr>
                      <w:b/>
                      <w:bCs/>
                      <w:noProof/>
                    </w:rPr>
                    <w:t xml:space="preserve"> </w:t>
                  </w:r>
                  <w:r w:rsidRPr="00D73B10">
                    <w:rPr>
                      <w:b/>
                      <w:bCs/>
                      <w:noProof/>
                    </w:rPr>
                    <w:t>Field Name</w:t>
                  </w:r>
                </w:p>
              </w:tc>
              <w:tc>
                <w:tcPr>
                  <w:tcW w:w="2720" w:type="dxa"/>
                </w:tcPr>
                <w:p w14:paraId="25D2499D" w14:textId="4D7B0718" w:rsidR="00D73B10" w:rsidRPr="00D73B10" w:rsidRDefault="00D73B10" w:rsidP="007B03B2">
                  <w:pPr>
                    <w:rPr>
                      <w:b/>
                      <w:bCs/>
                      <w:noProof/>
                    </w:rPr>
                  </w:pPr>
                  <w:r w:rsidRPr="00D73B10">
                    <w:rPr>
                      <w:b/>
                      <w:bCs/>
                      <w:noProof/>
                    </w:rPr>
                    <w:t>Ma</w:t>
                  </w:r>
                  <w:r w:rsidR="00340B15">
                    <w:rPr>
                      <w:b/>
                      <w:bCs/>
                      <w:noProof/>
                    </w:rPr>
                    <w:t>n</w:t>
                  </w:r>
                  <w:r w:rsidRPr="00D73B10">
                    <w:rPr>
                      <w:b/>
                      <w:bCs/>
                      <w:noProof/>
                    </w:rPr>
                    <w:t xml:space="preserve">ual </w:t>
                  </w:r>
                  <w:r w:rsidRPr="00340B15">
                    <w:rPr>
                      <w:b/>
                      <w:bCs/>
                      <w:i/>
                      <w:iCs/>
                      <w:noProof/>
                    </w:rPr>
                    <w:t>Agent/Attorney Fee Calculator</w:t>
                  </w:r>
                  <w:r w:rsidRPr="00D73B10">
                    <w:rPr>
                      <w:b/>
                      <w:bCs/>
                      <w:noProof/>
                    </w:rPr>
                    <w:t xml:space="preserve"> Field Name</w:t>
                  </w:r>
                </w:p>
              </w:tc>
              <w:tc>
                <w:tcPr>
                  <w:tcW w:w="2721" w:type="dxa"/>
                </w:tcPr>
                <w:p w14:paraId="0F5ED83E" w14:textId="13D0B308" w:rsidR="00D73B10" w:rsidRPr="00D73B10" w:rsidRDefault="00D73B10" w:rsidP="007B03B2">
                  <w:pPr>
                    <w:rPr>
                      <w:b/>
                      <w:bCs/>
                      <w:noProof/>
                    </w:rPr>
                  </w:pPr>
                  <w:r w:rsidRPr="00D73B10">
                    <w:rPr>
                      <w:b/>
                      <w:bCs/>
                      <w:noProof/>
                    </w:rPr>
                    <w:t>Description</w:t>
                  </w:r>
                </w:p>
              </w:tc>
            </w:tr>
            <w:tr w:rsidR="00D73B10" w14:paraId="6E997425" w14:textId="77777777" w:rsidTr="0018060F">
              <w:tc>
                <w:tcPr>
                  <w:tcW w:w="2720" w:type="dxa"/>
                </w:tcPr>
                <w:p w14:paraId="731E21A5" w14:textId="4732B35D" w:rsidR="00D73B10" w:rsidRPr="00D73B10" w:rsidRDefault="00D73B10" w:rsidP="007B03B2">
                  <w:pPr>
                    <w:rPr>
                      <w:noProof/>
                    </w:rPr>
                  </w:pPr>
                  <w:r w:rsidRPr="00D73B10">
                    <w:rPr>
                      <w:rFonts w:cs="Arial"/>
                      <w:szCs w:val="24"/>
                    </w:rPr>
                    <w:t>Retroactive Amount for Fees</w:t>
                  </w:r>
                </w:p>
              </w:tc>
              <w:tc>
                <w:tcPr>
                  <w:tcW w:w="2720" w:type="dxa"/>
                </w:tcPr>
                <w:p w14:paraId="65FDB412" w14:textId="44890AE9" w:rsidR="00D73B10" w:rsidRDefault="00D73B10" w:rsidP="007B03B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Gross Amount of Past Due Benefit</w:t>
                  </w:r>
                </w:p>
              </w:tc>
              <w:tc>
                <w:tcPr>
                  <w:tcW w:w="2721" w:type="dxa"/>
                </w:tcPr>
                <w:p w14:paraId="50F1FD91" w14:textId="188900CF" w:rsidR="00D73B10" w:rsidRDefault="00D73B10" w:rsidP="007B03B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A</w:t>
                  </w:r>
                  <w:r w:rsidRPr="00D73B10">
                    <w:rPr>
                      <w:noProof/>
                    </w:rPr>
                    <w:t>mount of past-due benefits subject to fees calculated from the effective date of the award through the date of decision awarding benefits.</w:t>
                  </w:r>
                </w:p>
              </w:tc>
            </w:tr>
            <w:tr w:rsidR="00D73B10" w14:paraId="3161243B" w14:textId="77777777" w:rsidTr="0018060F">
              <w:tc>
                <w:tcPr>
                  <w:tcW w:w="2720" w:type="dxa"/>
                </w:tcPr>
                <w:p w14:paraId="1009B2CB" w14:textId="5E6D34D5" w:rsidR="00D73B10" w:rsidRPr="00D73B10" w:rsidRDefault="00D73B10" w:rsidP="007B03B2">
                  <w:pPr>
                    <w:rPr>
                      <w:noProof/>
                    </w:rPr>
                  </w:pPr>
                  <w:r w:rsidRPr="00D73B10">
                    <w:rPr>
                      <w:rFonts w:cs="Arial"/>
                      <w:szCs w:val="24"/>
                    </w:rPr>
                    <w:t>Agent/Attorney Fee</w:t>
                  </w:r>
                </w:p>
              </w:tc>
              <w:tc>
                <w:tcPr>
                  <w:tcW w:w="2720" w:type="dxa"/>
                </w:tcPr>
                <w:p w14:paraId="5F1CD941" w14:textId="30ED37D1" w:rsidR="00D73B10" w:rsidRDefault="00D73B10" w:rsidP="007B03B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Agent/Attorney Fee</w:t>
                  </w:r>
                </w:p>
              </w:tc>
              <w:tc>
                <w:tcPr>
                  <w:tcW w:w="2721" w:type="dxa"/>
                </w:tcPr>
                <w:p w14:paraId="70C785B3" w14:textId="0630DC7F" w:rsidR="00D73B10" w:rsidRDefault="00D73B10" w:rsidP="007B03B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A</w:t>
                  </w:r>
                  <w:r w:rsidRPr="00D73B10">
                    <w:rPr>
                      <w:noProof/>
                    </w:rPr>
                    <w:t>mount of agent/attorney fee to include the assessment fee.</w:t>
                  </w:r>
                </w:p>
              </w:tc>
            </w:tr>
            <w:tr w:rsidR="00D73B10" w14:paraId="7B061914" w14:textId="77777777" w:rsidTr="0018060F">
              <w:tc>
                <w:tcPr>
                  <w:tcW w:w="2720" w:type="dxa"/>
                </w:tcPr>
                <w:p w14:paraId="6A938566" w14:textId="33FD0BC7" w:rsidR="00D73B10" w:rsidRPr="00D73B10" w:rsidRDefault="00D73B10" w:rsidP="007B03B2">
                  <w:pPr>
                    <w:rPr>
                      <w:rFonts w:cs="Arial"/>
                      <w:szCs w:val="24"/>
                    </w:rPr>
                  </w:pPr>
                  <w:r w:rsidRPr="00D73B10">
                    <w:rPr>
                      <w:rFonts w:cs="Arial"/>
                      <w:szCs w:val="24"/>
                    </w:rPr>
                    <w:t>Assessment Fee Amount</w:t>
                  </w:r>
                </w:p>
              </w:tc>
              <w:tc>
                <w:tcPr>
                  <w:tcW w:w="2720" w:type="dxa"/>
                </w:tcPr>
                <w:p w14:paraId="38719324" w14:textId="587CA7A4" w:rsidR="00D73B10" w:rsidRDefault="00D73B10" w:rsidP="007B03B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VA Assessment</w:t>
                  </w:r>
                </w:p>
              </w:tc>
              <w:tc>
                <w:tcPr>
                  <w:tcW w:w="2721" w:type="dxa"/>
                </w:tcPr>
                <w:p w14:paraId="782693EE" w14:textId="41A819E6" w:rsidR="00D73B10" w:rsidRDefault="00D73B10" w:rsidP="007B03B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Amount of the assessment fee. </w:t>
                  </w:r>
                </w:p>
              </w:tc>
            </w:tr>
          </w:tbl>
          <w:p w14:paraId="55784444" w14:textId="018845B0" w:rsidR="00E14CC5" w:rsidRPr="00B725FD" w:rsidRDefault="00E14CC5" w:rsidP="00E14CC5">
            <w:pPr>
              <w:rPr>
                <w:rFonts w:cs="Arial"/>
                <w:szCs w:val="24"/>
              </w:rPr>
            </w:pPr>
          </w:p>
        </w:tc>
      </w:tr>
      <w:tr w:rsidR="00D73B10" w14:paraId="1954D6F0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65B84745" w14:textId="77777777" w:rsidR="00D73B10" w:rsidRDefault="00D73B10" w:rsidP="00E14CC5">
            <w:pPr>
              <w:jc w:val="center"/>
              <w:rPr>
                <w:noProof/>
              </w:rPr>
            </w:pPr>
          </w:p>
          <w:p w14:paraId="13436D18" w14:textId="66C66FB4" w:rsidR="00D73B10" w:rsidRDefault="00D73B10" w:rsidP="00E14CC5">
            <w:pPr>
              <w:jc w:val="center"/>
              <w:rPr>
                <w:noProof/>
              </w:rPr>
            </w:pPr>
          </w:p>
        </w:tc>
        <w:tc>
          <w:tcPr>
            <w:tcW w:w="7740" w:type="dxa"/>
          </w:tcPr>
          <w:p w14:paraId="1CBCFD79" w14:textId="4E890B90" w:rsidR="00D73B10" w:rsidRDefault="00000000" w:rsidP="00D866C2">
            <w:pPr>
              <w:pStyle w:val="Heading1"/>
              <w:rPr>
                <w:rFonts w:ascii="Arial" w:hAnsi="Arial" w:cs="Arial"/>
                <w:color w:val="003366"/>
                <w:szCs w:val="24"/>
              </w:rPr>
            </w:pPr>
            <w:r>
              <w:rPr>
                <w:rFonts w:cs="Arial"/>
                <w:szCs w:val="24"/>
              </w:rPr>
              <w:pict w14:anchorId="31F992FF">
                <v:rect id="_x0000_i1028" style="width:0;height:1.5pt" o:hralign="center" o:hrstd="t" o:hr="t" fillcolor="#a0a0a0" stroked="f"/>
              </w:pict>
            </w:r>
          </w:p>
        </w:tc>
      </w:tr>
      <w:tr w:rsidR="00D73B10" w14:paraId="3BCBB8FB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02668C19" w14:textId="0928AA77" w:rsidR="000F41EF" w:rsidRDefault="000F41EF" w:rsidP="00E14CC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9B1F6A" wp14:editId="0B110CC3">
                  <wp:extent cx="777240" cy="777240"/>
                  <wp:effectExtent l="0" t="0" r="0" b="3810"/>
                  <wp:docPr id="205" name="Picture 205" descr="Lightbu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Lightbulb.sv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33195BE6" w14:textId="311D0817" w:rsidR="000F41EF" w:rsidRDefault="000F41EF" w:rsidP="000F41EF">
            <w:pPr>
              <w:pStyle w:val="Heading1"/>
              <w:rPr>
                <w:rFonts w:ascii="Arial" w:hAnsi="Arial" w:cs="Arial"/>
                <w:color w:val="003366"/>
              </w:rPr>
            </w:pPr>
            <w:r w:rsidRPr="00E14CC5">
              <w:rPr>
                <w:rFonts w:ascii="Arial" w:hAnsi="Arial" w:cs="Arial"/>
                <w:color w:val="003366"/>
              </w:rPr>
              <w:t>Important Reminders</w:t>
            </w:r>
          </w:p>
          <w:p w14:paraId="01815691" w14:textId="1B270032" w:rsidR="007D7A86" w:rsidRDefault="007D7A86" w:rsidP="00412AEC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 w:rsidRPr="0024548A">
              <w:rPr>
                <w:szCs w:val="24"/>
              </w:rPr>
              <w:t xml:space="preserve">Any edits made to an existing </w:t>
            </w:r>
            <w:r w:rsidRPr="0024548A">
              <w:rPr>
                <w:b/>
                <w:bCs/>
                <w:szCs w:val="24"/>
              </w:rPr>
              <w:t>Attorney Fee</w:t>
            </w:r>
            <w:r w:rsidRPr="0024548A">
              <w:rPr>
                <w:szCs w:val="24"/>
              </w:rPr>
              <w:t xml:space="preserve"> deduction within the </w:t>
            </w:r>
            <w:r w:rsidRPr="0024548A">
              <w:rPr>
                <w:b/>
                <w:bCs/>
                <w:szCs w:val="24"/>
              </w:rPr>
              <w:t>Other Adjustments</w:t>
            </w:r>
            <w:r w:rsidRPr="0024548A">
              <w:rPr>
                <w:szCs w:val="24"/>
              </w:rPr>
              <w:t xml:space="preserve"> tab will not result in a </w:t>
            </w:r>
            <w:r w:rsidR="0018060F">
              <w:rPr>
                <w:szCs w:val="24"/>
              </w:rPr>
              <w:t xml:space="preserve">new </w:t>
            </w:r>
            <w:r w:rsidRPr="0024548A">
              <w:rPr>
                <w:szCs w:val="24"/>
              </w:rPr>
              <w:t xml:space="preserve">deduction </w:t>
            </w:r>
            <w:r w:rsidR="0018060F">
              <w:rPr>
                <w:szCs w:val="24"/>
              </w:rPr>
              <w:t>of</w:t>
            </w:r>
            <w:r w:rsidRPr="0024548A">
              <w:rPr>
                <w:szCs w:val="24"/>
              </w:rPr>
              <w:t xml:space="preserve"> fees. The </w:t>
            </w:r>
            <w:r w:rsidRPr="0024548A">
              <w:rPr>
                <w:b/>
                <w:bCs/>
                <w:szCs w:val="24"/>
              </w:rPr>
              <w:t>Other Adjustments</w:t>
            </w:r>
            <w:r w:rsidRPr="0024548A">
              <w:rPr>
                <w:szCs w:val="24"/>
              </w:rPr>
              <w:t xml:space="preserve"> tab will not be supported for agent/attorney fee d</w:t>
            </w:r>
            <w:r w:rsidR="00B7121F" w:rsidRPr="0024548A">
              <w:rPr>
                <w:szCs w:val="24"/>
              </w:rPr>
              <w:t>eductions after April 23, 2023.</w:t>
            </w:r>
          </w:p>
          <w:p w14:paraId="1077B68A" w14:textId="3F2BE878" w:rsidR="00795006" w:rsidRPr="0024548A" w:rsidRDefault="00795006" w:rsidP="00795006">
            <w:pPr>
              <w:pStyle w:val="ListParagraph"/>
              <w:rPr>
                <w:szCs w:val="24"/>
              </w:rPr>
            </w:pPr>
          </w:p>
          <w:p w14:paraId="1D58CE7C" w14:textId="4F934EDC" w:rsidR="0018060F" w:rsidRDefault="0018060F" w:rsidP="00D866C2">
            <w:pPr>
              <w:pStyle w:val="ListParagrap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452FED" wp14:editId="364C876B">
                  <wp:extent cx="4514850" cy="883859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249" cy="89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18D08" w14:textId="00A14414" w:rsidR="00412AEC" w:rsidRDefault="00D866C2" w:rsidP="00D866C2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1CD1FEA2" wp14:editId="6884ADF5">
                  <wp:extent cx="4495800" cy="82038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8441" cy="842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75599" w14:textId="206B84CB" w:rsidR="000F41EF" w:rsidRDefault="00795006" w:rsidP="00795006">
            <w:pPr>
              <w:rPr>
                <w:rFonts w:cs="Arial"/>
                <w:color w:val="003366"/>
              </w:rPr>
            </w:pPr>
            <w:r>
              <w:t xml:space="preserve"> </w:t>
            </w:r>
          </w:p>
        </w:tc>
      </w:tr>
      <w:tr w:rsidR="00D73B10" w14:paraId="7EB62F6A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11844C54" w14:textId="74F0D779" w:rsidR="00820230" w:rsidRDefault="00820230" w:rsidP="00E14CC5">
            <w:pPr>
              <w:jc w:val="center"/>
              <w:rPr>
                <w:noProof/>
              </w:rPr>
            </w:pPr>
          </w:p>
        </w:tc>
        <w:tc>
          <w:tcPr>
            <w:tcW w:w="7740" w:type="dxa"/>
          </w:tcPr>
          <w:p w14:paraId="56A12285" w14:textId="6D89C1E0" w:rsidR="00820230" w:rsidRPr="004A5084" w:rsidRDefault="00820230" w:rsidP="004A5084">
            <w:pPr>
              <w:rPr>
                <w:rFonts w:cs="Arial"/>
                <w:i/>
                <w:szCs w:val="24"/>
              </w:rPr>
            </w:pPr>
          </w:p>
        </w:tc>
      </w:tr>
    </w:tbl>
    <w:p w14:paraId="6985A782" w14:textId="58DFA86F" w:rsidR="00D627CC" w:rsidRPr="00D627CC" w:rsidRDefault="0018060F" w:rsidP="0018060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082C7C" wp14:editId="07826632">
                <wp:simplePos x="0" y="0"/>
                <wp:positionH relativeFrom="column">
                  <wp:posOffset>2905125</wp:posOffset>
                </wp:positionH>
                <wp:positionV relativeFrom="paragraph">
                  <wp:posOffset>1015365</wp:posOffset>
                </wp:positionV>
                <wp:extent cx="1209675" cy="51816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35E06" w14:textId="77777777" w:rsidR="00572D8C" w:rsidRPr="00630F12" w:rsidRDefault="00572D8C" w:rsidP="00630F12">
                            <w:pPr>
                              <w:jc w:val="center"/>
                              <w:rPr>
                                <w:rFonts w:cs="Arial"/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630F12">
                              <w:rPr>
                                <w:rFonts w:cs="Arial"/>
                                <w:color w:val="808080" w:themeColor="background1" w:themeShade="80"/>
                                <w:szCs w:val="24"/>
                              </w:rPr>
                              <w:t>Last Updated:</w:t>
                            </w:r>
                          </w:p>
                          <w:p w14:paraId="3DBABD2F" w14:textId="513EA8F3" w:rsidR="00572D8C" w:rsidRPr="00630F12" w:rsidRDefault="005603E7" w:rsidP="00630F12">
                            <w:pPr>
                              <w:jc w:val="center"/>
                              <w:rPr>
                                <w:rFonts w:cs="Arial"/>
                                <w:color w:val="808080" w:themeColor="background1" w:themeShade="8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808080" w:themeColor="background1" w:themeShade="80"/>
                                <w:szCs w:val="24"/>
                              </w:rPr>
                              <w:t>April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82C7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8.75pt;margin-top:79.95pt;width:95.25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RLQIAAFQEAAAOAAAAZHJzL2Uyb0RvYy54bWysVEtv2zAMvg/YfxB0X2xnSdo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" fillcolor="white [3201]" stroked="f" strokeweight=".5pt">
                <v:textbox>
                  <w:txbxContent>
                    <w:p w14:paraId="0F835E06" w14:textId="77777777" w:rsidR="00572D8C" w:rsidRPr="00630F12" w:rsidRDefault="00572D8C" w:rsidP="00630F12">
                      <w:pPr>
                        <w:jc w:val="center"/>
                        <w:rPr>
                          <w:rFonts w:cs="Arial"/>
                          <w:color w:val="808080" w:themeColor="background1" w:themeShade="80"/>
                          <w:szCs w:val="24"/>
                        </w:rPr>
                      </w:pPr>
                      <w:r w:rsidRPr="00630F12">
                        <w:rPr>
                          <w:rFonts w:cs="Arial"/>
                          <w:color w:val="808080" w:themeColor="background1" w:themeShade="80"/>
                          <w:szCs w:val="24"/>
                        </w:rPr>
                        <w:t>Last Updated:</w:t>
                      </w:r>
                    </w:p>
                    <w:p w14:paraId="3DBABD2F" w14:textId="513EA8F3" w:rsidR="00572D8C" w:rsidRPr="00630F12" w:rsidRDefault="005603E7" w:rsidP="00630F12">
                      <w:pPr>
                        <w:jc w:val="center"/>
                        <w:rPr>
                          <w:rFonts w:cs="Arial"/>
                          <w:color w:val="808080" w:themeColor="background1" w:themeShade="80"/>
                          <w:szCs w:val="24"/>
                        </w:rPr>
                      </w:pPr>
                      <w:r>
                        <w:rPr>
                          <w:rFonts w:cs="Arial"/>
                          <w:color w:val="808080" w:themeColor="background1" w:themeShade="80"/>
                          <w:szCs w:val="24"/>
                        </w:rPr>
                        <w:t>April 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27CC" w:rsidRPr="00D627CC" w:rsidSect="00D242EA">
      <w:headerReference w:type="default" r:id="rId25"/>
      <w:footerReference w:type="default" r:id="rId26"/>
      <w:pgSz w:w="12240" w:h="15840"/>
      <w:pgMar w:top="225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B5FC" w14:textId="77777777" w:rsidR="00FD23EC" w:rsidRDefault="00FD23EC" w:rsidP="00D55604">
      <w:r>
        <w:separator/>
      </w:r>
    </w:p>
  </w:endnote>
  <w:endnote w:type="continuationSeparator" w:id="0">
    <w:p w14:paraId="23EDB7CD" w14:textId="77777777" w:rsidR="00FD23EC" w:rsidRDefault="00FD23EC" w:rsidP="00D55604">
      <w:r>
        <w:continuationSeparator/>
      </w:r>
    </w:p>
  </w:endnote>
  <w:endnote w:type="continuationNotice" w:id="1">
    <w:p w14:paraId="2AA4496F" w14:textId="77777777" w:rsidR="00FD23EC" w:rsidRDefault="00FD2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4EB0" w14:textId="77777777" w:rsidR="00024EC5" w:rsidRDefault="003810DC" w:rsidP="0058027C">
    <w:pPr>
      <w:ind w:right="-630"/>
      <w:rPr>
        <w:rFonts w:cs="Arial"/>
        <w:szCs w:val="24"/>
      </w:rPr>
    </w:pPr>
    <w:r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B127B1E" wp14:editId="5F09DADB">
              <wp:simplePos x="0" y="0"/>
              <wp:positionH relativeFrom="column">
                <wp:posOffset>4614545</wp:posOffset>
              </wp:positionH>
              <wp:positionV relativeFrom="paragraph">
                <wp:posOffset>-112557</wp:posOffset>
              </wp:positionV>
              <wp:extent cx="2317750" cy="711835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0" cy="711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FC4E04" w14:textId="77777777" w:rsidR="00DC73F7" w:rsidRDefault="00DC73F7">
                          <w:r w:rsidRPr="007F129E">
                            <w:rPr>
                              <w:rFonts w:ascii="Georgia" w:hAnsi="Georgia" w:cs="Arial"/>
                              <w:noProof/>
                              <w:color w:val="44546A" w:themeColor="text2"/>
                            </w:rPr>
                            <w:drawing>
                              <wp:inline distT="0" distB="0" distL="0" distR="0" wp14:anchorId="6E4BFC0A" wp14:editId="7410EB2A">
                                <wp:extent cx="1839432" cy="528288"/>
                                <wp:effectExtent l="0" t="0" r="0" b="5715"/>
                                <wp:docPr id="198" name="Picture 1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VA Seal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1520" cy="5288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27B1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63.35pt;margin-top:-8.85pt;width:182.5pt;height:56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" fillcolor="white [3201]" stroked="f" strokeweight=".5pt">
              <v:textbox>
                <w:txbxContent>
                  <w:p w14:paraId="76FC4E04" w14:textId="77777777" w:rsidR="00DC73F7" w:rsidRDefault="00DC73F7">
                    <w:r w:rsidRPr="007F129E">
                      <w:rPr>
                        <w:rFonts w:ascii="Georgia" w:hAnsi="Georgia" w:cs="Arial"/>
                        <w:noProof/>
                        <w:color w:val="44546A" w:themeColor="text2"/>
                      </w:rPr>
                      <w:drawing>
                        <wp:inline distT="0" distB="0" distL="0" distR="0" wp14:anchorId="6E4BFC0A" wp14:editId="7410EB2A">
                          <wp:extent cx="1839432" cy="528288"/>
                          <wp:effectExtent l="0" t="0" r="0" b="5715"/>
                          <wp:docPr id="198" name="Picture 19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VA Seal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1520" cy="5288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F2E9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81DDCCD" wp14:editId="4CAC64C3">
              <wp:simplePos x="0" y="0"/>
              <wp:positionH relativeFrom="column">
                <wp:posOffset>-821528</wp:posOffset>
              </wp:positionH>
              <wp:positionV relativeFrom="paragraph">
                <wp:posOffset>-105410</wp:posOffset>
              </wp:positionV>
              <wp:extent cx="3111500" cy="626745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0" cy="626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F7C329" w14:textId="77777777" w:rsidR="006C388B" w:rsidRDefault="006C388B">
                          <w:r w:rsidRPr="00764553">
                            <w:rPr>
                              <w:noProof/>
                            </w:rPr>
                            <w:drawing>
                              <wp:inline distT="0" distB="0" distL="0" distR="0" wp14:anchorId="481A9AE0" wp14:editId="3FB45D84">
                                <wp:extent cx="2828902" cy="531628"/>
                                <wp:effectExtent l="0" t="0" r="0" b="1905"/>
                                <wp:docPr id="4" name="Picture 4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44E7858C-0984-45ED-9589-32C8DAEE98BB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4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44E7858C-0984-45ED-9589-32C8DAEE98BB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28902" cy="5316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1DDCCD" id="Text Box 2" o:spid="_x0000_s1029" type="#_x0000_t202" style="position:absolute;margin-left:-64.7pt;margin-top:-8.3pt;width:245pt;height:49.3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" fillcolor="white [3201]" stroked="f" strokeweight=".5pt">
              <v:textbox>
                <w:txbxContent>
                  <w:p w14:paraId="55F7C329" w14:textId="77777777" w:rsidR="006C388B" w:rsidRDefault="006C388B">
                    <w:r w:rsidRPr="00764553">
                      <w:rPr>
                        <w:noProof/>
                      </w:rPr>
                      <w:drawing>
                        <wp:inline distT="0" distB="0" distL="0" distR="0" wp14:anchorId="481A9AE0" wp14:editId="3FB45D84">
                          <wp:extent cx="2828902" cy="531628"/>
                          <wp:effectExtent l="0" t="0" r="0" b="1905"/>
                          <wp:docPr id="4" name="Picture 4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44E7858C-0984-45ED-9589-32C8DAEE98BB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4">
                                    <a:extLst>
                                      <a:ext uri="{FF2B5EF4-FFF2-40B4-BE49-F238E27FC236}">
                                        <a16:creationId xmlns:a16="http://schemas.microsoft.com/office/drawing/2014/main" id="{44E7858C-0984-45ED-9589-32C8DAEE98BB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28902" cy="5316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27D2C" w:rsidRPr="00263269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CA260D7" wp14:editId="4C69BCF8">
              <wp:simplePos x="0" y="0"/>
              <wp:positionH relativeFrom="margin">
                <wp:posOffset>-659765</wp:posOffset>
              </wp:positionH>
              <wp:positionV relativeFrom="bottomMargin">
                <wp:posOffset>116840</wp:posOffset>
              </wp:positionV>
              <wp:extent cx="73253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5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336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62663A27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" from="-51.95pt,9.2pt" to="524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" strokecolor="#036">
              <w10:wrap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E930" w14:textId="77777777" w:rsidR="00FD23EC" w:rsidRDefault="00FD23EC" w:rsidP="00D55604">
      <w:r>
        <w:separator/>
      </w:r>
    </w:p>
  </w:footnote>
  <w:footnote w:type="continuationSeparator" w:id="0">
    <w:p w14:paraId="0F13F275" w14:textId="77777777" w:rsidR="00FD23EC" w:rsidRDefault="00FD23EC" w:rsidP="00D55604">
      <w:r>
        <w:continuationSeparator/>
      </w:r>
    </w:p>
  </w:footnote>
  <w:footnote w:type="continuationNotice" w:id="1">
    <w:p w14:paraId="116532CC" w14:textId="77777777" w:rsidR="00FD23EC" w:rsidRDefault="00FD23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B27A" w14:textId="77777777" w:rsidR="00D55604" w:rsidRDefault="00806A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2E3ACD5" wp14:editId="436A2139">
              <wp:simplePos x="0" y="0"/>
              <wp:positionH relativeFrom="column">
                <wp:posOffset>-762000</wp:posOffset>
              </wp:positionH>
              <wp:positionV relativeFrom="paragraph">
                <wp:posOffset>-609600</wp:posOffset>
              </wp:positionV>
              <wp:extent cx="7343775" cy="1386205"/>
              <wp:effectExtent l="0" t="0" r="9525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3775" cy="138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FE330" w14:textId="77777777" w:rsidR="00D55604" w:rsidRPr="00024EC5" w:rsidRDefault="00D55604" w:rsidP="00024EC5">
                          <w:pPr>
                            <w:rPr>
                              <w:rFonts w:ascii="Calibri"/>
                              <w:b/>
                              <w:color w:val="003366"/>
                              <w:spacing w:val="-1"/>
                              <w:sz w:val="44"/>
                              <w:szCs w:val="44"/>
                            </w:rPr>
                          </w:pPr>
                        </w:p>
                        <w:p w14:paraId="572B9BAD" w14:textId="77777777" w:rsidR="006F433E" w:rsidRDefault="006F433E" w:rsidP="006F433E">
                          <w:pPr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</w:p>
                        <w:p w14:paraId="3F0023A0" w14:textId="77777777" w:rsidR="006F433E" w:rsidRDefault="00F11C72" w:rsidP="006F433E">
                          <w:pPr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  <w:t>Office of Administrative Review</w:t>
                          </w:r>
                        </w:p>
                        <w:p w14:paraId="1A6173BA" w14:textId="55AEBABA" w:rsidR="00024EC5" w:rsidRPr="00024EC5" w:rsidRDefault="005603E7" w:rsidP="00E06007">
                          <w:pPr>
                            <w:ind w:left="360"/>
                            <w:rPr>
                              <w:rFonts w:eastAsia="Calibri" w:cs="Arial"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 xml:space="preserve">VBMS-A </w:t>
                          </w:r>
                          <w:r w:rsidR="005D05C7"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Automated</w:t>
                          </w:r>
                          <w:r w:rsidR="00991758"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Fee Calculator Job Aid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3ACD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60pt;margin-top:-48pt;width:578.25pt;height:109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" filled="f" stroked="f">
              <v:textbox inset="0,0,0,0">
                <w:txbxContent>
                  <w:p w14:paraId="5B2FE330" w14:textId="77777777" w:rsidR="00D55604" w:rsidRPr="00024EC5" w:rsidRDefault="00D55604" w:rsidP="00024EC5">
                    <w:pPr>
                      <w:rPr>
                        <w:rFonts w:ascii="Calibri"/>
                        <w:b/>
                        <w:color w:val="003366"/>
                        <w:spacing w:val="-1"/>
                        <w:sz w:val="44"/>
                        <w:szCs w:val="44"/>
                      </w:rPr>
                    </w:pPr>
                  </w:p>
                  <w:p w14:paraId="572B9BAD" w14:textId="77777777" w:rsidR="006F433E" w:rsidRDefault="006F433E" w:rsidP="006F433E">
                    <w:pPr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</w:pPr>
                  </w:p>
                  <w:p w14:paraId="3F0023A0" w14:textId="77777777" w:rsidR="006F433E" w:rsidRDefault="00F11C72" w:rsidP="006F433E">
                    <w:pPr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</w:pPr>
                    <w:r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  <w:t>Office of Administrative Review</w:t>
                    </w:r>
                  </w:p>
                  <w:p w14:paraId="1A6173BA" w14:textId="55AEBABA" w:rsidR="00024EC5" w:rsidRPr="00024EC5" w:rsidRDefault="005603E7" w:rsidP="00E06007">
                    <w:pPr>
                      <w:ind w:left="360"/>
                      <w:rPr>
                        <w:rFonts w:eastAsia="Calibri" w:cs="Arial"/>
                        <w:color w:val="FFFFFF" w:themeColor="background1"/>
                        <w:sz w:val="44"/>
                        <w:szCs w:val="72"/>
                      </w:rPr>
                    </w:pPr>
                    <w:r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 xml:space="preserve">VBMS-A </w:t>
                    </w:r>
                    <w:r w:rsidR="005D05C7"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Automated</w:t>
                    </w:r>
                    <w:r w:rsidR="00991758"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 xml:space="preserve"> </w:t>
                    </w:r>
                    <w:r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Fee Calculator Job Aid</w:t>
                    </w:r>
                  </w:p>
                </w:txbxContent>
              </v:textbox>
            </v:shape>
          </w:pict>
        </mc:Fallback>
      </mc:AlternateContent>
    </w:r>
    <w:r w:rsidR="00D242EA">
      <w:rPr>
        <w:noProof/>
      </w:rPr>
      <w:drawing>
        <wp:anchor distT="0" distB="0" distL="114300" distR="114300" simplePos="0" relativeHeight="251658240" behindDoc="0" locked="0" layoutInCell="1" allowOverlap="1" wp14:anchorId="59896A3D" wp14:editId="07BD7A88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863840" cy="1224421"/>
          <wp:effectExtent l="0" t="0" r="3810" b="0"/>
          <wp:wrapNone/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1025EE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22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073D"/>
    <w:multiLevelType w:val="hybridMultilevel"/>
    <w:tmpl w:val="6AC8FE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6837"/>
    <w:multiLevelType w:val="hybridMultilevel"/>
    <w:tmpl w:val="CA22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11C6"/>
    <w:multiLevelType w:val="hybridMultilevel"/>
    <w:tmpl w:val="2E9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55B2"/>
    <w:multiLevelType w:val="hybridMultilevel"/>
    <w:tmpl w:val="6AC8FE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2E0B"/>
    <w:multiLevelType w:val="hybridMultilevel"/>
    <w:tmpl w:val="D54C69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1D4720"/>
    <w:multiLevelType w:val="hybridMultilevel"/>
    <w:tmpl w:val="9876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D3AA9"/>
    <w:multiLevelType w:val="hybridMultilevel"/>
    <w:tmpl w:val="3A68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208E5"/>
    <w:multiLevelType w:val="hybridMultilevel"/>
    <w:tmpl w:val="B970B6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9359A"/>
    <w:multiLevelType w:val="hybridMultilevel"/>
    <w:tmpl w:val="037C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64680"/>
    <w:multiLevelType w:val="hybridMultilevel"/>
    <w:tmpl w:val="AB26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93CD0"/>
    <w:multiLevelType w:val="hybridMultilevel"/>
    <w:tmpl w:val="72AE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5DF"/>
    <w:multiLevelType w:val="hybridMultilevel"/>
    <w:tmpl w:val="B988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C082D"/>
    <w:multiLevelType w:val="hybridMultilevel"/>
    <w:tmpl w:val="ABE2A4D0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60968"/>
    <w:multiLevelType w:val="hybridMultilevel"/>
    <w:tmpl w:val="13BC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55628"/>
    <w:multiLevelType w:val="hybridMultilevel"/>
    <w:tmpl w:val="03D6722C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A1EE7"/>
    <w:multiLevelType w:val="hybridMultilevel"/>
    <w:tmpl w:val="889C3674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90C79"/>
    <w:multiLevelType w:val="hybridMultilevel"/>
    <w:tmpl w:val="6AC8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94A8D"/>
    <w:multiLevelType w:val="hybridMultilevel"/>
    <w:tmpl w:val="0C5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F520E"/>
    <w:multiLevelType w:val="hybridMultilevel"/>
    <w:tmpl w:val="5BB24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D4AB3"/>
    <w:multiLevelType w:val="hybridMultilevel"/>
    <w:tmpl w:val="6AC8FE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85055">
    <w:abstractNumId w:val="17"/>
  </w:num>
  <w:num w:numId="2" w16cid:durableId="330529028">
    <w:abstractNumId w:val="12"/>
  </w:num>
  <w:num w:numId="3" w16cid:durableId="331882246">
    <w:abstractNumId w:val="7"/>
  </w:num>
  <w:num w:numId="4" w16cid:durableId="387534081">
    <w:abstractNumId w:val="18"/>
  </w:num>
  <w:num w:numId="5" w16cid:durableId="1297027250">
    <w:abstractNumId w:val="10"/>
  </w:num>
  <w:num w:numId="6" w16cid:durableId="5833573">
    <w:abstractNumId w:val="9"/>
  </w:num>
  <w:num w:numId="7" w16cid:durableId="1598446674">
    <w:abstractNumId w:val="8"/>
  </w:num>
  <w:num w:numId="8" w16cid:durableId="1882982354">
    <w:abstractNumId w:val="14"/>
  </w:num>
  <w:num w:numId="9" w16cid:durableId="897864699">
    <w:abstractNumId w:val="15"/>
  </w:num>
  <w:num w:numId="10" w16cid:durableId="630282025">
    <w:abstractNumId w:val="13"/>
  </w:num>
  <w:num w:numId="11" w16cid:durableId="1158233638">
    <w:abstractNumId w:val="11"/>
  </w:num>
  <w:num w:numId="12" w16cid:durableId="1778136427">
    <w:abstractNumId w:val="1"/>
  </w:num>
  <w:num w:numId="13" w16cid:durableId="1108626503">
    <w:abstractNumId w:val="5"/>
  </w:num>
  <w:num w:numId="14" w16cid:durableId="1387684730">
    <w:abstractNumId w:val="6"/>
  </w:num>
  <w:num w:numId="15" w16cid:durableId="1832987265">
    <w:abstractNumId w:val="2"/>
  </w:num>
  <w:num w:numId="16" w16cid:durableId="9600306">
    <w:abstractNumId w:val="16"/>
  </w:num>
  <w:num w:numId="17" w16cid:durableId="1834056882">
    <w:abstractNumId w:val="0"/>
  </w:num>
  <w:num w:numId="18" w16cid:durableId="191190340">
    <w:abstractNumId w:val="19"/>
  </w:num>
  <w:num w:numId="19" w16cid:durableId="1564949154">
    <w:abstractNumId w:val="3"/>
  </w:num>
  <w:num w:numId="20" w16cid:durableId="67381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D0"/>
    <w:rsid w:val="00024EC5"/>
    <w:rsid w:val="000454DB"/>
    <w:rsid w:val="00045877"/>
    <w:rsid w:val="00050D10"/>
    <w:rsid w:val="000606E6"/>
    <w:rsid w:val="00067261"/>
    <w:rsid w:val="00074EC9"/>
    <w:rsid w:val="00081F3C"/>
    <w:rsid w:val="0008206A"/>
    <w:rsid w:val="00092222"/>
    <w:rsid w:val="00097C44"/>
    <w:rsid w:val="000A56CB"/>
    <w:rsid w:val="000C4D0C"/>
    <w:rsid w:val="000E46F3"/>
    <w:rsid w:val="000E562F"/>
    <w:rsid w:val="000E7B6C"/>
    <w:rsid w:val="000F41EF"/>
    <w:rsid w:val="001035C7"/>
    <w:rsid w:val="00112A35"/>
    <w:rsid w:val="001169B4"/>
    <w:rsid w:val="00122B61"/>
    <w:rsid w:val="00136828"/>
    <w:rsid w:val="0015469F"/>
    <w:rsid w:val="00170275"/>
    <w:rsid w:val="00177E6F"/>
    <w:rsid w:val="0018060F"/>
    <w:rsid w:val="00184718"/>
    <w:rsid w:val="00184AC5"/>
    <w:rsid w:val="0019478A"/>
    <w:rsid w:val="001950F5"/>
    <w:rsid w:val="00196C2F"/>
    <w:rsid w:val="00197F8B"/>
    <w:rsid w:val="001A2CFC"/>
    <w:rsid w:val="001B5558"/>
    <w:rsid w:val="001D23CB"/>
    <w:rsid w:val="001D725F"/>
    <w:rsid w:val="001E57B1"/>
    <w:rsid w:val="001F0A68"/>
    <w:rsid w:val="001F2E9A"/>
    <w:rsid w:val="002166A7"/>
    <w:rsid w:val="00226591"/>
    <w:rsid w:val="00227D2C"/>
    <w:rsid w:val="00236F71"/>
    <w:rsid w:val="0024548A"/>
    <w:rsid w:val="002455EA"/>
    <w:rsid w:val="0024631F"/>
    <w:rsid w:val="00250D44"/>
    <w:rsid w:val="002607F6"/>
    <w:rsid w:val="00265521"/>
    <w:rsid w:val="002756AB"/>
    <w:rsid w:val="0027794E"/>
    <w:rsid w:val="00294D84"/>
    <w:rsid w:val="002B32DA"/>
    <w:rsid w:val="002B7926"/>
    <w:rsid w:val="002C7440"/>
    <w:rsid w:val="002D32D8"/>
    <w:rsid w:val="002E0B88"/>
    <w:rsid w:val="002E3DB0"/>
    <w:rsid w:val="002E5634"/>
    <w:rsid w:val="00301AF0"/>
    <w:rsid w:val="00303806"/>
    <w:rsid w:val="00311E01"/>
    <w:rsid w:val="00315456"/>
    <w:rsid w:val="003203D7"/>
    <w:rsid w:val="00326004"/>
    <w:rsid w:val="00326BF7"/>
    <w:rsid w:val="00337411"/>
    <w:rsid w:val="00340B15"/>
    <w:rsid w:val="0035098D"/>
    <w:rsid w:val="00351FFB"/>
    <w:rsid w:val="00352136"/>
    <w:rsid w:val="003659F4"/>
    <w:rsid w:val="003670A9"/>
    <w:rsid w:val="00375993"/>
    <w:rsid w:val="003810DC"/>
    <w:rsid w:val="003A2819"/>
    <w:rsid w:val="003D1034"/>
    <w:rsid w:val="003D28DB"/>
    <w:rsid w:val="003D4692"/>
    <w:rsid w:val="003D50CB"/>
    <w:rsid w:val="003E48A4"/>
    <w:rsid w:val="003E7A0A"/>
    <w:rsid w:val="003F79D0"/>
    <w:rsid w:val="004003FA"/>
    <w:rsid w:val="00405A0E"/>
    <w:rsid w:val="00410147"/>
    <w:rsid w:val="00412AEC"/>
    <w:rsid w:val="00424696"/>
    <w:rsid w:val="00434B04"/>
    <w:rsid w:val="00444309"/>
    <w:rsid w:val="0044782C"/>
    <w:rsid w:val="0046178C"/>
    <w:rsid w:val="00476EEE"/>
    <w:rsid w:val="00496534"/>
    <w:rsid w:val="00497ACE"/>
    <w:rsid w:val="004A404C"/>
    <w:rsid w:val="004A5084"/>
    <w:rsid w:val="004A7B6B"/>
    <w:rsid w:val="004B1515"/>
    <w:rsid w:val="004B2625"/>
    <w:rsid w:val="004B5808"/>
    <w:rsid w:val="004C3E22"/>
    <w:rsid w:val="004E54AF"/>
    <w:rsid w:val="00504E5A"/>
    <w:rsid w:val="00505846"/>
    <w:rsid w:val="00515DC5"/>
    <w:rsid w:val="00525170"/>
    <w:rsid w:val="005254DF"/>
    <w:rsid w:val="00533314"/>
    <w:rsid w:val="00533DDE"/>
    <w:rsid w:val="00542B58"/>
    <w:rsid w:val="005540DF"/>
    <w:rsid w:val="0055786D"/>
    <w:rsid w:val="005603E7"/>
    <w:rsid w:val="00571BD7"/>
    <w:rsid w:val="00572BD2"/>
    <w:rsid w:val="00572D8C"/>
    <w:rsid w:val="00577295"/>
    <w:rsid w:val="00577504"/>
    <w:rsid w:val="00580096"/>
    <w:rsid w:val="0058027C"/>
    <w:rsid w:val="005858AD"/>
    <w:rsid w:val="005A0203"/>
    <w:rsid w:val="005A1946"/>
    <w:rsid w:val="005B73A0"/>
    <w:rsid w:val="005C38C8"/>
    <w:rsid w:val="005C6E2D"/>
    <w:rsid w:val="005D05C7"/>
    <w:rsid w:val="005E0AE1"/>
    <w:rsid w:val="006148FE"/>
    <w:rsid w:val="0062255A"/>
    <w:rsid w:val="00627CF2"/>
    <w:rsid w:val="00630F12"/>
    <w:rsid w:val="00640D80"/>
    <w:rsid w:val="0066460A"/>
    <w:rsid w:val="00683E8E"/>
    <w:rsid w:val="006A1F44"/>
    <w:rsid w:val="006A60FF"/>
    <w:rsid w:val="006B4816"/>
    <w:rsid w:val="006C2510"/>
    <w:rsid w:val="006C388B"/>
    <w:rsid w:val="006D2486"/>
    <w:rsid w:val="006F433E"/>
    <w:rsid w:val="006F7994"/>
    <w:rsid w:val="00707DD9"/>
    <w:rsid w:val="007224C9"/>
    <w:rsid w:val="007260A8"/>
    <w:rsid w:val="0073699E"/>
    <w:rsid w:val="00744162"/>
    <w:rsid w:val="00770B7B"/>
    <w:rsid w:val="0077263C"/>
    <w:rsid w:val="00774B59"/>
    <w:rsid w:val="00774F92"/>
    <w:rsid w:val="0077639F"/>
    <w:rsid w:val="007806EA"/>
    <w:rsid w:val="00781151"/>
    <w:rsid w:val="00781227"/>
    <w:rsid w:val="007909EE"/>
    <w:rsid w:val="00795006"/>
    <w:rsid w:val="007B03B2"/>
    <w:rsid w:val="007B2C04"/>
    <w:rsid w:val="007B38FC"/>
    <w:rsid w:val="007B58E6"/>
    <w:rsid w:val="007D7A86"/>
    <w:rsid w:val="007E06F4"/>
    <w:rsid w:val="008001A2"/>
    <w:rsid w:val="00806AA7"/>
    <w:rsid w:val="00807CA0"/>
    <w:rsid w:val="00811E1B"/>
    <w:rsid w:val="00820230"/>
    <w:rsid w:val="00851AA5"/>
    <w:rsid w:val="008920D5"/>
    <w:rsid w:val="008945D0"/>
    <w:rsid w:val="008B078F"/>
    <w:rsid w:val="008B2C1A"/>
    <w:rsid w:val="008C136A"/>
    <w:rsid w:val="00901080"/>
    <w:rsid w:val="009225DC"/>
    <w:rsid w:val="00922DF9"/>
    <w:rsid w:val="0093195D"/>
    <w:rsid w:val="00936BC1"/>
    <w:rsid w:val="009401BE"/>
    <w:rsid w:val="009422A5"/>
    <w:rsid w:val="00953A04"/>
    <w:rsid w:val="00961A6F"/>
    <w:rsid w:val="00965418"/>
    <w:rsid w:val="00966C1F"/>
    <w:rsid w:val="0097069E"/>
    <w:rsid w:val="009836B1"/>
    <w:rsid w:val="009853FA"/>
    <w:rsid w:val="00991758"/>
    <w:rsid w:val="00995BFF"/>
    <w:rsid w:val="009A27B5"/>
    <w:rsid w:val="009A55A3"/>
    <w:rsid w:val="009D36F2"/>
    <w:rsid w:val="009D6CD2"/>
    <w:rsid w:val="009D6D63"/>
    <w:rsid w:val="009E5A7A"/>
    <w:rsid w:val="009E7BBC"/>
    <w:rsid w:val="009F3853"/>
    <w:rsid w:val="00A14AA6"/>
    <w:rsid w:val="00A54E49"/>
    <w:rsid w:val="00A70771"/>
    <w:rsid w:val="00A97FAE"/>
    <w:rsid w:val="00AC007E"/>
    <w:rsid w:val="00AD116D"/>
    <w:rsid w:val="00AE06AD"/>
    <w:rsid w:val="00AF61FD"/>
    <w:rsid w:val="00AF7D3E"/>
    <w:rsid w:val="00B36259"/>
    <w:rsid w:val="00B44A8D"/>
    <w:rsid w:val="00B7121F"/>
    <w:rsid w:val="00B725FD"/>
    <w:rsid w:val="00B8746C"/>
    <w:rsid w:val="00B90C65"/>
    <w:rsid w:val="00BA2967"/>
    <w:rsid w:val="00BD086A"/>
    <w:rsid w:val="00BD27BB"/>
    <w:rsid w:val="00BD7A0E"/>
    <w:rsid w:val="00C24F60"/>
    <w:rsid w:val="00C34D45"/>
    <w:rsid w:val="00C433F1"/>
    <w:rsid w:val="00C5017D"/>
    <w:rsid w:val="00C53572"/>
    <w:rsid w:val="00C72860"/>
    <w:rsid w:val="00C728EB"/>
    <w:rsid w:val="00C87FD9"/>
    <w:rsid w:val="00C95848"/>
    <w:rsid w:val="00C95B3F"/>
    <w:rsid w:val="00CA2135"/>
    <w:rsid w:val="00CC5741"/>
    <w:rsid w:val="00CF135D"/>
    <w:rsid w:val="00D06013"/>
    <w:rsid w:val="00D072E4"/>
    <w:rsid w:val="00D217D5"/>
    <w:rsid w:val="00D242EA"/>
    <w:rsid w:val="00D24B64"/>
    <w:rsid w:val="00D320C8"/>
    <w:rsid w:val="00D469B7"/>
    <w:rsid w:val="00D524D0"/>
    <w:rsid w:val="00D55604"/>
    <w:rsid w:val="00D57F7C"/>
    <w:rsid w:val="00D627CC"/>
    <w:rsid w:val="00D63CBD"/>
    <w:rsid w:val="00D65BA1"/>
    <w:rsid w:val="00D73B10"/>
    <w:rsid w:val="00D84C44"/>
    <w:rsid w:val="00D866C2"/>
    <w:rsid w:val="00DA2766"/>
    <w:rsid w:val="00DA49DA"/>
    <w:rsid w:val="00DB574E"/>
    <w:rsid w:val="00DC131C"/>
    <w:rsid w:val="00DC73F7"/>
    <w:rsid w:val="00DD09FA"/>
    <w:rsid w:val="00DD5C5F"/>
    <w:rsid w:val="00DE1514"/>
    <w:rsid w:val="00DE6FCC"/>
    <w:rsid w:val="00DE7E68"/>
    <w:rsid w:val="00DF40D1"/>
    <w:rsid w:val="00E0164D"/>
    <w:rsid w:val="00E06007"/>
    <w:rsid w:val="00E120FA"/>
    <w:rsid w:val="00E13DCD"/>
    <w:rsid w:val="00E14CC5"/>
    <w:rsid w:val="00E278CC"/>
    <w:rsid w:val="00E303AF"/>
    <w:rsid w:val="00E51F8B"/>
    <w:rsid w:val="00E77D4C"/>
    <w:rsid w:val="00E9156D"/>
    <w:rsid w:val="00EA1084"/>
    <w:rsid w:val="00EA119A"/>
    <w:rsid w:val="00EA188E"/>
    <w:rsid w:val="00EB69AB"/>
    <w:rsid w:val="00ED0CAB"/>
    <w:rsid w:val="00ED1127"/>
    <w:rsid w:val="00ED5663"/>
    <w:rsid w:val="00ED6811"/>
    <w:rsid w:val="00EF1F44"/>
    <w:rsid w:val="00F11C72"/>
    <w:rsid w:val="00F27739"/>
    <w:rsid w:val="00F35391"/>
    <w:rsid w:val="00F374D6"/>
    <w:rsid w:val="00F55329"/>
    <w:rsid w:val="00F77D63"/>
    <w:rsid w:val="00FA20F4"/>
    <w:rsid w:val="00FC0174"/>
    <w:rsid w:val="00FD23EC"/>
    <w:rsid w:val="00FD4BD0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5FF9E"/>
  <w15:chartTrackingRefBased/>
  <w15:docId w15:val="{F17E265A-8D07-4AE8-BE6B-7A3AE574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6720"/>
    <w:pPr>
      <w:widowControl w:val="0"/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C44"/>
    <w:pPr>
      <w:keepNext/>
      <w:keepLines/>
      <w:widowControl/>
      <w:spacing w:before="12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33E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604"/>
  </w:style>
  <w:style w:type="paragraph" w:styleId="Footer">
    <w:name w:val="footer"/>
    <w:basedOn w:val="Normal"/>
    <w:link w:val="Foot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604"/>
  </w:style>
  <w:style w:type="paragraph" w:customStyle="1" w:styleId="TableParagraph">
    <w:name w:val="Table Paragraph"/>
    <w:basedOn w:val="Normal"/>
    <w:uiPriority w:val="1"/>
    <w:qFormat/>
    <w:rsid w:val="00D55604"/>
  </w:style>
  <w:style w:type="paragraph" w:styleId="BalloonText">
    <w:name w:val="Balloon Text"/>
    <w:basedOn w:val="Normal"/>
    <w:link w:val="BalloonTextChar"/>
    <w:uiPriority w:val="99"/>
    <w:semiHidden/>
    <w:unhideWhenUsed/>
    <w:rsid w:val="009D6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6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D6720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24E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84C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4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433E"/>
    <w:pPr>
      <w:widowControl/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F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28DB"/>
    <w:rPr>
      <w:b/>
      <w:bCs/>
    </w:rPr>
  </w:style>
  <w:style w:type="character" w:styleId="Emphasis">
    <w:name w:val="Emphasis"/>
    <w:basedOn w:val="DefaultParagraphFont"/>
    <w:uiPriority w:val="20"/>
    <w:qFormat/>
    <w:rsid w:val="0046178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17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7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D4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D4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WAS~1\AppData\Local\Temp\1\MicrosoftEdgeDownloads\6f914083-e677-4ada-a134-c5045971ea9c\OAR_JobAi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0CC44647879469C8A2FD3CE79C80D" ma:contentTypeVersion="4" ma:contentTypeDescription="Create a new document." ma:contentTypeScope="" ma:versionID="1b0014d580fa67f6f875b19d8193be2e">
  <xsd:schema xmlns:xsd="http://www.w3.org/2001/XMLSchema" xmlns:xs="http://www.w3.org/2001/XMLSchema" xmlns:p="http://schemas.microsoft.com/office/2006/metadata/properties" xmlns:ns2="94023873-9730-4143-89b0-0bd5410d47b1" xmlns:ns3="643266c2-271b-46e0-a96f-2fa1068c485c" targetNamespace="http://schemas.microsoft.com/office/2006/metadata/properties" ma:root="true" ma:fieldsID="916c73a77689b8e14677cd5207c616da" ns2:_="" ns3:_="">
    <xsd:import namespace="94023873-9730-4143-89b0-0bd5410d47b1"/>
    <xsd:import namespace="643266c2-271b-46e0-a96f-2fa1068c4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23873-9730-4143-89b0-0bd5410d4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266c2-271b-46e0-a96f-2fa1068c4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41178-2D3D-4C9D-B8FD-AE4281985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7E864-4E77-4C1B-A2EA-EB7290E8F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3873-9730-4143-89b0-0bd5410d47b1"/>
    <ds:schemaRef ds:uri="643266c2-271b-46e0-a96f-2fa1068c4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58AA1-30E0-4493-80F4-3B63D6EFA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A864DB-55DF-4A38-9E55-42EEC8DE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OAR_JobAid_Template</Template>
  <TotalTime>603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VBMS-A Automated Fee Calculator Job Aid</vt:lpstr>
    </vt:vector>
  </TitlesOfParts>
  <Company>Veterans Benefits Administration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VBMS-A Automated Fee Calculator Job Aid</dc:title>
  <dc:subject/>
  <dc:creator>Department of Veterans Affairs, Veterans Benefits Administration, Office of Administrative Review, STAFF</dc:creator>
  <cp:keywords/>
  <dc:description/>
  <cp:lastModifiedBy>Kathy Poole</cp:lastModifiedBy>
  <cp:revision>102</cp:revision>
  <dcterms:created xsi:type="dcterms:W3CDTF">2023-04-04T20:54:00Z</dcterms:created>
  <dcterms:modified xsi:type="dcterms:W3CDTF">2023-04-26T18:53:00Z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0x0101006380CC44647879469C8A2FD3CE79C80D</vt:lpwstr>
  </property>
  <property fmtid="{D5CDD505-2E9C-101B-9397-08002B2CF9AE}" pid="3" name="MSIP_Label_40f5b659-45e0-406d-ada9-08e0b284cfc4_Enabled">
    <vt:lpwstr>true</vt:lpwstr>
  </property>
  <property fmtid="{D5CDD505-2E9C-101B-9397-08002B2CF9AE}" pid="4" name="MSIP_Label_40f5b659-45e0-406d-ada9-08e0b284cfc4_SetDate">
    <vt:lpwstr>2023-04-04T17:54:45Z</vt:lpwstr>
  </property>
  <property fmtid="{D5CDD505-2E9C-101B-9397-08002B2CF9AE}" pid="5" name="MSIP_Label_40f5b659-45e0-406d-ada9-08e0b284cfc4_Method">
    <vt:lpwstr>Standard</vt:lpwstr>
  </property>
  <property fmtid="{D5CDD505-2E9C-101B-9397-08002B2CF9AE}" pid="6" name="MSIP_Label_40f5b659-45e0-406d-ada9-08e0b284cfc4_Name">
    <vt:lpwstr>General (Non-CUI)</vt:lpwstr>
  </property>
  <property fmtid="{D5CDD505-2E9C-101B-9397-08002B2CF9AE}" pid="7" name="MSIP_Label_40f5b659-45e0-406d-ada9-08e0b284cfc4_SiteId">
    <vt:lpwstr>e95f1b23-abaf-45ee-821d-b7ab251ab3bf</vt:lpwstr>
  </property>
  <property fmtid="{D5CDD505-2E9C-101B-9397-08002B2CF9AE}" pid="8" name="MSIP_Label_40f5b659-45e0-406d-ada9-08e0b284cfc4_ActionId">
    <vt:lpwstr>b19b8de5-b08f-4c79-81cc-c9209f6b44bf</vt:lpwstr>
  </property>
  <property fmtid="{D5CDD505-2E9C-101B-9397-08002B2CF9AE}" pid="9" name="MSIP_Label_40f5b659-45e0-406d-ada9-08e0b284cfc4_ContentBits">
    <vt:lpwstr>0</vt:lpwstr>
  </property>
  <property fmtid="{D5CDD505-2E9C-101B-9397-08002B2CF9AE}" pid="10" name="Order">
    <vt:r8>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ColorHex">
    <vt:lpwstr/>
  </property>
  <property fmtid="{D5CDD505-2E9C-101B-9397-08002B2CF9AE}" pid="15" name="_Emoji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_ColorTag">
    <vt:lpwstr/>
  </property>
  <property fmtid="{D5CDD505-2E9C-101B-9397-08002B2CF9AE}" pid="20" name="Language">
    <vt:lpwstr>en</vt:lpwstr>
  </property>
  <property fmtid="{D5CDD505-2E9C-101B-9397-08002B2CF9AE}" pid="21" name="Type">
    <vt:lpwstr>Reference</vt:lpwstr>
  </property>
</Properties>
</file>