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8518"/>
      </w:tblGrid>
      <w:tr w:rsidR="00820230" w14:paraId="500D6123" w14:textId="77777777" w:rsidTr="00E14F56">
        <w:trPr>
          <w:trHeight w:val="20"/>
        </w:trPr>
        <w:tc>
          <w:tcPr>
            <w:tcW w:w="1292" w:type="dxa"/>
            <w:vAlign w:val="center"/>
          </w:tcPr>
          <w:p w14:paraId="1BDB09E5" w14:textId="77777777" w:rsidR="009D36F2" w:rsidRDefault="00E14CC5" w:rsidP="001B5558">
            <w:pPr>
              <w:jc w:val="center"/>
            </w:pPr>
            <w:r>
              <w:rPr>
                <w:noProof/>
              </w:rPr>
              <w:drawing>
                <wp:inline distT="0" distB="0" distL="0" distR="0" wp14:anchorId="0CCBB4EE" wp14:editId="0DB279B6">
                  <wp:extent cx="667910" cy="667910"/>
                  <wp:effectExtent l="0" t="0" r="0" b="0"/>
                  <wp:docPr id="206" name="Graphic 206"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Gears.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69234" cy="669234"/>
                          </a:xfrm>
                          <a:prstGeom prst="rect">
                            <a:avLst/>
                          </a:prstGeom>
                        </pic:spPr>
                      </pic:pic>
                    </a:graphicData>
                  </a:graphic>
                </wp:inline>
              </w:drawing>
            </w:r>
          </w:p>
        </w:tc>
        <w:tc>
          <w:tcPr>
            <w:tcW w:w="8518" w:type="dxa"/>
          </w:tcPr>
          <w:p w14:paraId="3D175475" w14:textId="77777777" w:rsidR="009D36F2" w:rsidRPr="001B5558" w:rsidRDefault="009D36F2" w:rsidP="009D36F2">
            <w:pPr>
              <w:pStyle w:val="Heading1"/>
              <w:rPr>
                <w:rFonts w:ascii="Arial" w:hAnsi="Arial" w:cs="Arial"/>
                <w:color w:val="003366"/>
              </w:rPr>
            </w:pPr>
            <w:r w:rsidRPr="001B5558">
              <w:rPr>
                <w:rFonts w:ascii="Arial" w:hAnsi="Arial" w:cs="Arial"/>
                <w:color w:val="003366"/>
              </w:rPr>
              <w:t>Purpose</w:t>
            </w:r>
          </w:p>
          <w:p w14:paraId="53B13364" w14:textId="002FF243" w:rsidR="009D36F2" w:rsidRPr="003D1034" w:rsidRDefault="00EE7B26" w:rsidP="00FD6720">
            <w:pPr>
              <w:pStyle w:val="NoSpacing"/>
            </w:pPr>
            <w:r w:rsidRPr="00EE7B26">
              <w:rPr>
                <w:rFonts w:cs="Arial"/>
                <w:bCs/>
              </w:rPr>
              <w:t>This Tip Sheet provides guidance on the authorization of foreign claims</w:t>
            </w:r>
            <w:r>
              <w:rPr>
                <w:rFonts w:cs="Arial"/>
                <w:bCs/>
              </w:rPr>
              <w:t>.</w:t>
            </w:r>
            <w:r w:rsidRPr="00EE7B26">
              <w:rPr>
                <w:rFonts w:cs="Arial"/>
              </w:rPr>
              <w:t xml:space="preserve"> </w:t>
            </w:r>
            <w:r w:rsidR="00E22F42">
              <w:pict w14:anchorId="65EEDFA6">
                <v:rect id="_x0000_i1025" style="width:0;height:1.5pt" o:hralign="center" o:hrstd="t" o:hr="t" fillcolor="#a0a0a0" stroked="f"/>
              </w:pict>
            </w:r>
          </w:p>
        </w:tc>
      </w:tr>
      <w:tr w:rsidR="00820230" w14:paraId="058CA3DC" w14:textId="77777777" w:rsidTr="00E14F56">
        <w:trPr>
          <w:trHeight w:val="20"/>
        </w:trPr>
        <w:tc>
          <w:tcPr>
            <w:tcW w:w="1292" w:type="dxa"/>
            <w:vAlign w:val="center"/>
          </w:tcPr>
          <w:p w14:paraId="2C546571" w14:textId="77777777" w:rsidR="009D36F2" w:rsidRPr="00315456" w:rsidRDefault="003D1034" w:rsidP="003D1034">
            <w:pPr>
              <w:jc w:val="center"/>
              <w:rPr>
                <w:color w:val="003366"/>
              </w:rPr>
            </w:pPr>
            <w:r>
              <w:rPr>
                <w:noProof/>
                <w:color w:val="003366"/>
              </w:rPr>
              <w:drawing>
                <wp:inline distT="0" distB="0" distL="0" distR="0" wp14:anchorId="1806DD37" wp14:editId="297265E3">
                  <wp:extent cx="675860" cy="675860"/>
                  <wp:effectExtent l="0" t="0" r="0" b="0"/>
                  <wp:docPr id="202" name="Graphic 202"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Meet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77172" cy="677172"/>
                          </a:xfrm>
                          <a:prstGeom prst="rect">
                            <a:avLst/>
                          </a:prstGeom>
                        </pic:spPr>
                      </pic:pic>
                    </a:graphicData>
                  </a:graphic>
                </wp:inline>
              </w:drawing>
            </w:r>
          </w:p>
        </w:tc>
        <w:tc>
          <w:tcPr>
            <w:tcW w:w="8518" w:type="dxa"/>
          </w:tcPr>
          <w:p w14:paraId="3CC45ED7" w14:textId="77777777" w:rsidR="009D36F2" w:rsidRDefault="003D1034" w:rsidP="001B5558">
            <w:pPr>
              <w:pStyle w:val="Heading1"/>
              <w:rPr>
                <w:rFonts w:ascii="Arial" w:hAnsi="Arial" w:cs="Arial"/>
                <w:color w:val="003366"/>
              </w:rPr>
            </w:pPr>
            <w:r>
              <w:rPr>
                <w:rFonts w:ascii="Arial" w:hAnsi="Arial" w:cs="Arial"/>
                <w:color w:val="003366"/>
              </w:rPr>
              <w:t>Audience</w:t>
            </w:r>
          </w:p>
          <w:p w14:paraId="2FA90DB4" w14:textId="77777777" w:rsidR="002D150E" w:rsidRPr="00F96B3A" w:rsidRDefault="002D150E" w:rsidP="002D150E">
            <w:pPr>
              <w:rPr>
                <w:szCs w:val="24"/>
              </w:rPr>
            </w:pPr>
            <w:r w:rsidRPr="00F96B3A">
              <w:rPr>
                <w:szCs w:val="24"/>
              </w:rPr>
              <w:t>Post-determination Veterans Service Representatives (VSR).</w:t>
            </w:r>
          </w:p>
          <w:p w14:paraId="0DDE993A" w14:textId="77777777" w:rsidR="002D150E" w:rsidRPr="002D150E" w:rsidRDefault="002D150E" w:rsidP="002D150E"/>
          <w:p w14:paraId="7DE6425B" w14:textId="77777777" w:rsidR="003D1034" w:rsidRDefault="00E22F42" w:rsidP="009D36F2">
            <w:r>
              <w:rPr>
                <w:rFonts w:cs="Arial"/>
              </w:rPr>
              <w:pict w14:anchorId="62176920">
                <v:rect id="_x0000_i1026" style="width:0;height:1.5pt" o:hralign="center" o:hrstd="t" o:hr="t" fillcolor="#a0a0a0" stroked="f"/>
              </w:pict>
            </w:r>
          </w:p>
        </w:tc>
      </w:tr>
      <w:tr w:rsidR="00820230" w14:paraId="70E56AF2" w14:textId="77777777" w:rsidTr="00E14F56">
        <w:trPr>
          <w:trHeight w:val="20"/>
        </w:trPr>
        <w:tc>
          <w:tcPr>
            <w:tcW w:w="1292" w:type="dxa"/>
            <w:vAlign w:val="center"/>
          </w:tcPr>
          <w:p w14:paraId="7F76D9B4" w14:textId="77777777" w:rsidR="003D1034" w:rsidRPr="00315456" w:rsidRDefault="00E14CC5" w:rsidP="003D1034">
            <w:pPr>
              <w:jc w:val="center"/>
              <w:rPr>
                <w:color w:val="003366"/>
              </w:rPr>
            </w:pPr>
            <w:r>
              <w:rPr>
                <w:noProof/>
                <w:color w:val="003366"/>
              </w:rPr>
              <w:drawing>
                <wp:inline distT="0" distB="0" distL="0" distR="0" wp14:anchorId="3728EC1C" wp14:editId="6D95F6D9">
                  <wp:extent cx="675861" cy="675861"/>
                  <wp:effectExtent l="0" t="0" r="0" b="0"/>
                  <wp:docPr id="207" name="Graphic 207"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BooksOnShelf.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77829" cy="677829"/>
                          </a:xfrm>
                          <a:prstGeom prst="rect">
                            <a:avLst/>
                          </a:prstGeom>
                        </pic:spPr>
                      </pic:pic>
                    </a:graphicData>
                  </a:graphic>
                </wp:inline>
              </w:drawing>
            </w:r>
          </w:p>
        </w:tc>
        <w:tc>
          <w:tcPr>
            <w:tcW w:w="8518" w:type="dxa"/>
          </w:tcPr>
          <w:p w14:paraId="0D8AC3BB" w14:textId="77777777" w:rsidR="003D1034" w:rsidRDefault="003D1034" w:rsidP="003D1034">
            <w:pPr>
              <w:pStyle w:val="Heading1"/>
              <w:rPr>
                <w:rFonts w:ascii="Arial" w:hAnsi="Arial" w:cs="Arial"/>
                <w:color w:val="003366"/>
              </w:rPr>
            </w:pPr>
            <w:r w:rsidRPr="001B5558">
              <w:rPr>
                <w:rFonts w:ascii="Arial" w:hAnsi="Arial" w:cs="Arial"/>
                <w:color w:val="003366"/>
              </w:rPr>
              <w:t>References</w:t>
            </w:r>
          </w:p>
          <w:p w14:paraId="21C3EFB1" w14:textId="38A24305" w:rsidR="008644F0" w:rsidRPr="008644F0" w:rsidRDefault="008644F0" w:rsidP="008644F0">
            <w:pPr>
              <w:numPr>
                <w:ilvl w:val="0"/>
                <w:numId w:val="15"/>
              </w:numPr>
            </w:pPr>
            <w:hyperlink r:id="rId14" w:history="1">
              <w:r w:rsidRPr="008C200B">
                <w:rPr>
                  <w:rStyle w:val="Hyperlink"/>
                </w:rPr>
                <w:t xml:space="preserve">38 C.F.R. § 3.108, </w:t>
              </w:r>
              <w:r w:rsidRPr="008C200B">
                <w:rPr>
                  <w:rStyle w:val="Hyperlink"/>
                  <w:i/>
                  <w:iCs/>
                </w:rPr>
                <w:t>State Department as agent of Department of Veterans Affairs</w:t>
              </w:r>
            </w:hyperlink>
          </w:p>
          <w:p w14:paraId="74CF2101" w14:textId="0C6D5950" w:rsidR="008644F0" w:rsidRPr="008644F0" w:rsidRDefault="008644F0" w:rsidP="008644F0">
            <w:pPr>
              <w:numPr>
                <w:ilvl w:val="0"/>
                <w:numId w:val="15"/>
              </w:numPr>
            </w:pPr>
            <w:hyperlink r:id="rId15" w:history="1">
              <w:r w:rsidRPr="00392FFC">
                <w:rPr>
                  <w:rStyle w:val="Hyperlink"/>
                </w:rPr>
                <w:t xml:space="preserve">M21-1, II.ii.3.1.b, </w:t>
              </w:r>
              <w:r w:rsidRPr="00392FFC">
                <w:rPr>
                  <w:rStyle w:val="Hyperlink"/>
                  <w:i/>
                  <w:iCs/>
                </w:rPr>
                <w:t>Jurisdiction of Claims Involving a Special Mission or Circumstance</w:t>
              </w:r>
            </w:hyperlink>
          </w:p>
          <w:p w14:paraId="49321D0C" w14:textId="331AF7EB" w:rsidR="008644F0" w:rsidRPr="008644F0" w:rsidRDefault="008644F0" w:rsidP="008644F0">
            <w:pPr>
              <w:numPr>
                <w:ilvl w:val="0"/>
                <w:numId w:val="15"/>
              </w:numPr>
            </w:pPr>
            <w:hyperlink r:id="rId16" w:history="1">
              <w:r w:rsidRPr="0095464E">
                <w:rPr>
                  <w:rStyle w:val="Hyperlink"/>
                </w:rPr>
                <w:t xml:space="preserve">M21-1, VII.i.3.B.1.a, </w:t>
              </w:r>
              <w:r w:rsidRPr="0095464E">
                <w:rPr>
                  <w:rStyle w:val="Hyperlink"/>
                  <w:i/>
                  <w:iCs/>
                </w:rPr>
                <w:t>Determining Whether Additional Evidence/ Information Is Necessary</w:t>
              </w:r>
            </w:hyperlink>
          </w:p>
          <w:p w14:paraId="22912E9A" w14:textId="58233113" w:rsidR="008644F0" w:rsidRPr="008644F0" w:rsidRDefault="008644F0" w:rsidP="008644F0">
            <w:pPr>
              <w:numPr>
                <w:ilvl w:val="0"/>
                <w:numId w:val="15"/>
              </w:numPr>
            </w:pPr>
            <w:hyperlink r:id="rId17" w:history="1">
              <w:r w:rsidRPr="0097232D">
                <w:rPr>
                  <w:rStyle w:val="Hyperlink"/>
                </w:rPr>
                <w:t xml:space="preserve">M21-1, VII.ii.1.A.1.d, </w:t>
              </w:r>
              <w:r w:rsidRPr="0097232D">
                <w:rPr>
                  <w:rStyle w:val="Hyperlink"/>
                  <w:i/>
                  <w:iCs/>
                </w:rPr>
                <w:t>Verifying Accreditation of Educational Institutions</w:t>
              </w:r>
            </w:hyperlink>
          </w:p>
          <w:p w14:paraId="36B58A3C" w14:textId="48CB7BD3" w:rsidR="008644F0" w:rsidRDefault="008644F0" w:rsidP="008644F0">
            <w:pPr>
              <w:numPr>
                <w:ilvl w:val="0"/>
                <w:numId w:val="15"/>
              </w:numPr>
            </w:pPr>
            <w:hyperlink r:id="rId18" w:history="1">
              <w:r w:rsidRPr="00766DD3">
                <w:rPr>
                  <w:rStyle w:val="Hyperlink"/>
                </w:rPr>
                <w:t>M21-1, X.i.3.A.2</w:t>
              </w:r>
              <w:r w:rsidR="00766DD3" w:rsidRPr="00766DD3">
                <w:rPr>
                  <w:rStyle w:val="Hyperlink"/>
                </w:rPr>
                <w:t>.a</w:t>
              </w:r>
              <w:r w:rsidRPr="00766DD3">
                <w:rPr>
                  <w:rStyle w:val="Hyperlink"/>
                </w:rPr>
                <w:t xml:space="preserve">, </w:t>
              </w:r>
              <w:r w:rsidRPr="00766DD3">
                <w:rPr>
                  <w:rStyle w:val="Hyperlink"/>
                  <w:i/>
                  <w:iCs/>
                </w:rPr>
                <w:t>Jurisdiction Over Claims Involving Foreign Residence</w:t>
              </w:r>
            </w:hyperlink>
          </w:p>
          <w:p w14:paraId="397E149D" w14:textId="6955305D" w:rsidR="008B0344" w:rsidRPr="008644F0" w:rsidRDefault="00EF3AD6" w:rsidP="008644F0">
            <w:pPr>
              <w:numPr>
                <w:ilvl w:val="0"/>
                <w:numId w:val="15"/>
              </w:numPr>
            </w:pPr>
            <w:hyperlink r:id="rId19" w:history="1">
              <w:r w:rsidRPr="00EF3AD6">
                <w:rPr>
                  <w:rStyle w:val="Hyperlink"/>
                </w:rPr>
                <w:t xml:space="preserve">M21-1, X.i.3.B, </w:t>
              </w:r>
              <w:r w:rsidRPr="006C495E">
                <w:rPr>
                  <w:rStyle w:val="Hyperlink"/>
                  <w:i/>
                  <w:iCs/>
                </w:rPr>
                <w:t>Adjudication</w:t>
              </w:r>
              <w:r w:rsidRPr="00EF3AD6">
                <w:rPr>
                  <w:rStyle w:val="Hyperlink"/>
                </w:rPr>
                <w:t xml:space="preserve"> </w:t>
              </w:r>
              <w:r w:rsidRPr="006C495E">
                <w:rPr>
                  <w:rStyle w:val="Hyperlink"/>
                  <w:i/>
                  <w:iCs/>
                </w:rPr>
                <w:t>Procedures for Foreign Claims</w:t>
              </w:r>
            </w:hyperlink>
          </w:p>
          <w:p w14:paraId="1C19C4A9" w14:textId="77777777" w:rsidR="002D150E" w:rsidRPr="002D150E" w:rsidRDefault="002D150E" w:rsidP="002D150E"/>
          <w:p w14:paraId="17E2BFD1" w14:textId="77777777" w:rsidR="003D1034" w:rsidRDefault="00E22F42" w:rsidP="003D1034">
            <w:r>
              <w:rPr>
                <w:rFonts w:cs="Arial"/>
              </w:rPr>
              <w:pict w14:anchorId="0D9E1838">
                <v:rect id="_x0000_i1027" style="width:0;height:1.5pt" o:hralign="center" o:hrstd="t" o:hr="t" fillcolor="#a0a0a0" stroked="f"/>
              </w:pict>
            </w:r>
          </w:p>
        </w:tc>
      </w:tr>
      <w:tr w:rsidR="00E14F56" w14:paraId="41526F8E" w14:textId="77777777" w:rsidTr="00E14F56">
        <w:trPr>
          <w:trHeight w:val="20"/>
        </w:trPr>
        <w:tc>
          <w:tcPr>
            <w:tcW w:w="1292" w:type="dxa"/>
            <w:vAlign w:val="center"/>
          </w:tcPr>
          <w:p w14:paraId="2C44C4B2" w14:textId="77777777" w:rsidR="00E14F56" w:rsidRDefault="00E14F56" w:rsidP="00E14F56">
            <w:pPr>
              <w:jc w:val="center"/>
            </w:pPr>
            <w:r>
              <w:rPr>
                <w:noProof/>
              </w:rPr>
              <w:drawing>
                <wp:inline distT="0" distB="0" distL="0" distR="0" wp14:anchorId="0513D2F8" wp14:editId="4461D4F4">
                  <wp:extent cx="683812" cy="683812"/>
                  <wp:effectExtent l="0" t="0" r="0" b="0"/>
                  <wp:docPr id="204" name="Graphic 20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Checklist_LTR.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599" cy="685599"/>
                          </a:xfrm>
                          <a:prstGeom prst="rect">
                            <a:avLst/>
                          </a:prstGeom>
                        </pic:spPr>
                      </pic:pic>
                    </a:graphicData>
                  </a:graphic>
                </wp:inline>
              </w:drawing>
            </w:r>
          </w:p>
        </w:tc>
        <w:tc>
          <w:tcPr>
            <w:tcW w:w="8518" w:type="dxa"/>
          </w:tcPr>
          <w:p w14:paraId="260C5F6C" w14:textId="77777777" w:rsidR="00E14F56" w:rsidRPr="0011066E" w:rsidRDefault="00E14F56" w:rsidP="00E14F56">
            <w:pPr>
              <w:pStyle w:val="Heading1"/>
              <w:rPr>
                <w:rFonts w:ascii="Arial" w:hAnsi="Arial" w:cs="Arial"/>
                <w:color w:val="003366"/>
              </w:rPr>
            </w:pPr>
            <w:r w:rsidRPr="0011066E">
              <w:rPr>
                <w:rFonts w:ascii="Arial" w:hAnsi="Arial" w:cs="Arial"/>
                <w:color w:val="003366"/>
              </w:rPr>
              <w:t>Tips</w:t>
            </w:r>
          </w:p>
          <w:p w14:paraId="43B58508" w14:textId="77777777" w:rsidR="00E14F56" w:rsidRPr="00725FE1" w:rsidRDefault="00E14F56" w:rsidP="00E14F56">
            <w:pPr>
              <w:rPr>
                <w:b/>
                <w:bCs/>
                <w:szCs w:val="24"/>
              </w:rPr>
            </w:pPr>
            <w:r w:rsidRPr="00725FE1">
              <w:rPr>
                <w:b/>
                <w:bCs/>
                <w:szCs w:val="24"/>
              </w:rPr>
              <w:t xml:space="preserve">Click on a link to navigate to the desired topic: </w:t>
            </w:r>
          </w:p>
          <w:p w14:paraId="25BD52BC" w14:textId="77777777" w:rsidR="00E14F56" w:rsidRPr="00725FE1" w:rsidRDefault="00E14F56" w:rsidP="00E14F56">
            <w:pPr>
              <w:pStyle w:val="ListParagraph"/>
              <w:numPr>
                <w:ilvl w:val="0"/>
                <w:numId w:val="21"/>
              </w:numPr>
              <w:rPr>
                <w:szCs w:val="24"/>
              </w:rPr>
            </w:pPr>
            <w:hyperlink w:anchor="_Documents_Needed_to" w:history="1">
              <w:r w:rsidRPr="00725FE1">
                <w:rPr>
                  <w:rStyle w:val="Hyperlink"/>
                  <w:szCs w:val="24"/>
                </w:rPr>
                <w:t>Documents Needed to Add Dependents for Foreign Veterans</w:t>
              </w:r>
            </w:hyperlink>
          </w:p>
          <w:p w14:paraId="57B83AAC" w14:textId="77777777" w:rsidR="00E14F56" w:rsidRPr="00725FE1" w:rsidRDefault="00E14F56" w:rsidP="00E14F56">
            <w:pPr>
              <w:pStyle w:val="ListParagraph"/>
              <w:numPr>
                <w:ilvl w:val="0"/>
                <w:numId w:val="21"/>
              </w:numPr>
              <w:rPr>
                <w:szCs w:val="24"/>
              </w:rPr>
            </w:pPr>
            <w:hyperlink w:anchor="_Foreign_Address_More" w:history="1">
              <w:r w:rsidRPr="00725FE1">
                <w:rPr>
                  <w:rStyle w:val="Hyperlink"/>
                  <w:szCs w:val="24"/>
                </w:rPr>
                <w:t>Foreign Address More Than Five Lines</w:t>
              </w:r>
            </w:hyperlink>
          </w:p>
          <w:p w14:paraId="51AFC521" w14:textId="77777777" w:rsidR="00E14F56" w:rsidRPr="00725FE1" w:rsidRDefault="00E14F56" w:rsidP="00E14F56">
            <w:pPr>
              <w:pStyle w:val="ListParagraph"/>
              <w:numPr>
                <w:ilvl w:val="0"/>
                <w:numId w:val="21"/>
              </w:numPr>
              <w:rPr>
                <w:szCs w:val="24"/>
              </w:rPr>
            </w:pPr>
            <w:hyperlink w:anchor="_Adding_School_Children" w:history="1">
              <w:r w:rsidRPr="00725FE1">
                <w:rPr>
                  <w:rStyle w:val="Hyperlink"/>
                  <w:szCs w:val="24"/>
                </w:rPr>
                <w:t>Adding School Children in a Foreign School</w:t>
              </w:r>
            </w:hyperlink>
          </w:p>
          <w:p w14:paraId="5F2A6B5D" w14:textId="77777777" w:rsidR="00E14F56" w:rsidRPr="007254E6" w:rsidRDefault="00E14F56" w:rsidP="00E14F56">
            <w:pPr>
              <w:pStyle w:val="Heading2"/>
              <w:spacing w:before="0" w:after="120" w:line="240" w:lineRule="auto"/>
              <w:rPr>
                <w:rFonts w:ascii="Arial" w:hAnsi="Arial" w:cs="Arial"/>
                <w:b/>
                <w:bCs/>
                <w:sz w:val="24"/>
                <w:szCs w:val="24"/>
              </w:rPr>
            </w:pPr>
            <w:bookmarkStart w:id="0" w:name="_Documents_Needed_to"/>
            <w:bookmarkEnd w:id="0"/>
            <w:r w:rsidRPr="007254E6">
              <w:rPr>
                <w:rFonts w:ascii="Arial" w:hAnsi="Arial" w:cs="Arial"/>
                <w:b/>
                <w:bCs/>
                <w:sz w:val="24"/>
                <w:szCs w:val="24"/>
              </w:rPr>
              <w:t>Documents Needed to Add Dependents for Foreign Veterans</w:t>
            </w:r>
          </w:p>
          <w:p w14:paraId="7965A998" w14:textId="77777777" w:rsidR="00E14F56" w:rsidRPr="00725FE1" w:rsidRDefault="00E14F56" w:rsidP="00E14F56">
            <w:pPr>
              <w:pStyle w:val="ListParagraph"/>
              <w:numPr>
                <w:ilvl w:val="0"/>
                <w:numId w:val="18"/>
              </w:numPr>
              <w:ind w:left="710"/>
              <w:rPr>
                <w:rFonts w:cs="Arial"/>
                <w:szCs w:val="24"/>
              </w:rPr>
            </w:pPr>
            <w:r w:rsidRPr="00725FE1">
              <w:rPr>
                <w:rFonts w:cs="Arial"/>
                <w:szCs w:val="24"/>
              </w:rPr>
              <w:t>Marriage Certificates</w:t>
            </w:r>
          </w:p>
          <w:p w14:paraId="4C28321D" w14:textId="77777777" w:rsidR="00E14F56" w:rsidRPr="00725FE1" w:rsidRDefault="00E14F56" w:rsidP="00E14F56">
            <w:pPr>
              <w:pStyle w:val="ListParagraph"/>
              <w:numPr>
                <w:ilvl w:val="0"/>
                <w:numId w:val="18"/>
              </w:numPr>
              <w:ind w:left="710"/>
              <w:rPr>
                <w:rFonts w:cs="Arial"/>
                <w:szCs w:val="24"/>
              </w:rPr>
            </w:pPr>
            <w:r w:rsidRPr="00725FE1">
              <w:rPr>
                <w:rFonts w:cs="Arial"/>
                <w:szCs w:val="24"/>
              </w:rPr>
              <w:t>Divorce Decrees/ Death Certificates</w:t>
            </w:r>
          </w:p>
          <w:p w14:paraId="3D177327" w14:textId="77777777" w:rsidR="00E14F56" w:rsidRPr="00725FE1" w:rsidRDefault="00E14F56" w:rsidP="00E14F56">
            <w:pPr>
              <w:pStyle w:val="ListParagraph"/>
              <w:numPr>
                <w:ilvl w:val="0"/>
                <w:numId w:val="18"/>
              </w:numPr>
              <w:ind w:left="710"/>
              <w:rPr>
                <w:rFonts w:cs="Arial"/>
                <w:szCs w:val="24"/>
              </w:rPr>
            </w:pPr>
            <w:r w:rsidRPr="00725FE1">
              <w:rPr>
                <w:rFonts w:cs="Arial"/>
                <w:szCs w:val="24"/>
              </w:rPr>
              <w:t>Birth Certificates</w:t>
            </w:r>
          </w:p>
          <w:p w14:paraId="47A9793B" w14:textId="77777777" w:rsidR="00E14F56" w:rsidRPr="00725FE1" w:rsidRDefault="00E14F56" w:rsidP="00E14F56">
            <w:pPr>
              <w:pStyle w:val="ListParagraph"/>
              <w:numPr>
                <w:ilvl w:val="0"/>
                <w:numId w:val="18"/>
              </w:numPr>
              <w:ind w:left="710"/>
              <w:rPr>
                <w:rFonts w:cs="Arial"/>
                <w:szCs w:val="24"/>
              </w:rPr>
            </w:pPr>
            <w:r w:rsidRPr="00725FE1">
              <w:rPr>
                <w:rFonts w:cs="Arial"/>
                <w:szCs w:val="24"/>
              </w:rPr>
              <w:t xml:space="preserve">Adoption Decrees </w:t>
            </w:r>
          </w:p>
          <w:p w14:paraId="1A0CA78E" w14:textId="77777777" w:rsidR="00E14F56" w:rsidRPr="007254E6" w:rsidRDefault="00E14F56" w:rsidP="00E14F56">
            <w:pPr>
              <w:pStyle w:val="Heading2"/>
              <w:spacing w:before="0" w:after="120" w:line="240" w:lineRule="auto"/>
              <w:rPr>
                <w:rFonts w:ascii="Arial" w:hAnsi="Arial" w:cs="Arial"/>
                <w:b/>
                <w:bCs/>
                <w:sz w:val="24"/>
                <w:szCs w:val="24"/>
              </w:rPr>
            </w:pPr>
            <w:bookmarkStart w:id="1" w:name="_Auto-Text_for_Notification"/>
            <w:bookmarkStart w:id="2" w:name="_Foreign_Direct_Deposit"/>
            <w:bookmarkStart w:id="3" w:name="_Foreign_Address_More"/>
            <w:bookmarkEnd w:id="1"/>
            <w:bookmarkEnd w:id="2"/>
            <w:bookmarkEnd w:id="3"/>
            <w:r w:rsidRPr="007254E6">
              <w:rPr>
                <w:rFonts w:ascii="Arial" w:hAnsi="Arial" w:cs="Arial"/>
                <w:b/>
                <w:bCs/>
                <w:sz w:val="24"/>
                <w:szCs w:val="24"/>
              </w:rPr>
              <w:t>Foreign Address More Than Five Lines</w:t>
            </w:r>
          </w:p>
          <w:p w14:paraId="7284B964" w14:textId="77777777" w:rsidR="00E14F56" w:rsidRPr="00725FE1" w:rsidRDefault="00E14F56" w:rsidP="00E14F56">
            <w:pPr>
              <w:rPr>
                <w:rFonts w:cs="Arial"/>
                <w:szCs w:val="24"/>
              </w:rPr>
            </w:pPr>
            <w:r w:rsidRPr="00725FE1">
              <w:rPr>
                <w:rFonts w:cs="Arial"/>
                <w:szCs w:val="24"/>
              </w:rPr>
              <w:t xml:space="preserve">To manually create a foreign address cover letter and associate it                                 with the correspondence package, follow these steps. </w:t>
            </w:r>
            <w:r w:rsidRPr="00725FE1">
              <w:rPr>
                <w:szCs w:val="24"/>
              </w:rPr>
              <w:t>This process is a way to allow a lengthy address to be readable in the envelope window.</w:t>
            </w:r>
          </w:p>
          <w:p w14:paraId="68C9241E" w14:textId="77777777" w:rsidR="00E14F56" w:rsidRPr="00725FE1" w:rsidRDefault="00E14F56" w:rsidP="00E14F56">
            <w:pPr>
              <w:widowControl/>
              <w:numPr>
                <w:ilvl w:val="0"/>
                <w:numId w:val="19"/>
              </w:numPr>
              <w:spacing w:before="120" w:after="100" w:afterAutospacing="1"/>
              <w:rPr>
                <w:rFonts w:eastAsia="Times New Roman" w:cs="Arial"/>
                <w:szCs w:val="24"/>
              </w:rPr>
            </w:pPr>
            <w:r w:rsidRPr="00725FE1">
              <w:rPr>
                <w:rFonts w:eastAsia="Times New Roman" w:cs="Arial"/>
                <w:szCs w:val="24"/>
              </w:rPr>
              <w:t xml:space="preserve">Using the Letter Creator tool, generate a letter to the Veteran/beneficiary using </w:t>
            </w:r>
            <w:r w:rsidRPr="00725FE1">
              <w:rPr>
                <w:rStyle w:val="Emphasis"/>
                <w:rFonts w:eastAsia="Times New Roman" w:cs="Arial"/>
                <w:szCs w:val="24"/>
              </w:rPr>
              <w:t xml:space="preserve">any </w:t>
            </w:r>
            <w:r w:rsidRPr="00725FE1">
              <w:rPr>
                <w:rFonts w:eastAsia="Times New Roman" w:cs="Arial"/>
                <w:szCs w:val="24"/>
              </w:rPr>
              <w:t xml:space="preserve">template.  </w:t>
            </w:r>
          </w:p>
          <w:p w14:paraId="077B773B" w14:textId="77777777" w:rsidR="00E14F56" w:rsidRPr="00725FE1" w:rsidRDefault="00E14F56" w:rsidP="00E14F56">
            <w:pPr>
              <w:widowControl/>
              <w:numPr>
                <w:ilvl w:val="0"/>
                <w:numId w:val="19"/>
              </w:numPr>
              <w:spacing w:before="100" w:beforeAutospacing="1" w:after="100" w:afterAutospacing="1"/>
              <w:rPr>
                <w:rFonts w:eastAsia="Times New Roman" w:cs="Arial"/>
                <w:szCs w:val="24"/>
              </w:rPr>
            </w:pPr>
            <w:r w:rsidRPr="00725FE1">
              <w:rPr>
                <w:rFonts w:eastAsia="Times New Roman" w:cs="Arial"/>
                <w:szCs w:val="24"/>
              </w:rPr>
              <w:lastRenderedPageBreak/>
              <w:t>Delete all content from the letter except for the mailing information.</w:t>
            </w:r>
          </w:p>
          <w:p w14:paraId="2699CE3A" w14:textId="77777777" w:rsidR="00E14F56" w:rsidRPr="00725FE1" w:rsidRDefault="00E14F56" w:rsidP="00E14F56">
            <w:pPr>
              <w:widowControl/>
              <w:numPr>
                <w:ilvl w:val="0"/>
                <w:numId w:val="19"/>
              </w:numPr>
              <w:spacing w:before="100" w:beforeAutospacing="1" w:after="100" w:afterAutospacing="1"/>
              <w:rPr>
                <w:rFonts w:eastAsia="Times New Roman" w:cs="Arial"/>
                <w:szCs w:val="24"/>
              </w:rPr>
            </w:pPr>
            <w:r w:rsidRPr="00725FE1">
              <w:rPr>
                <w:rFonts w:eastAsia="Times New Roman" w:cs="Arial"/>
                <w:szCs w:val="24"/>
              </w:rPr>
              <w:t>Ensure the current and complete foreign address shown in the permanent, Veteran-level note is displayed.  If necessary, manually edit the address.</w:t>
            </w:r>
          </w:p>
          <w:p w14:paraId="75895EF5" w14:textId="77777777" w:rsidR="00E14F56" w:rsidRPr="00725FE1" w:rsidRDefault="00E14F56" w:rsidP="00E14F56">
            <w:pPr>
              <w:widowControl/>
              <w:numPr>
                <w:ilvl w:val="0"/>
                <w:numId w:val="19"/>
              </w:numPr>
              <w:spacing w:before="100" w:beforeAutospacing="1" w:after="100" w:afterAutospacing="1"/>
              <w:rPr>
                <w:rFonts w:eastAsia="Times New Roman" w:cs="Arial"/>
                <w:szCs w:val="24"/>
              </w:rPr>
            </w:pPr>
            <w:r w:rsidRPr="00725FE1">
              <w:rPr>
                <w:rFonts w:eastAsia="Times New Roman" w:cs="Arial"/>
                <w:szCs w:val="24"/>
              </w:rPr>
              <w:t>Manually change the font size of the mailing address to size 10, or in cases with extremely long address lines, size 9.</w:t>
            </w:r>
          </w:p>
          <w:p w14:paraId="320CDFAE" w14:textId="77777777" w:rsidR="00E14F56" w:rsidRPr="00725FE1" w:rsidRDefault="00E14F56" w:rsidP="00E14F56">
            <w:pPr>
              <w:widowControl/>
              <w:numPr>
                <w:ilvl w:val="0"/>
                <w:numId w:val="19"/>
              </w:numPr>
              <w:spacing w:before="100" w:beforeAutospacing="1" w:after="100" w:afterAutospacing="1"/>
              <w:rPr>
                <w:rFonts w:eastAsia="Times New Roman" w:cs="Arial"/>
                <w:szCs w:val="24"/>
              </w:rPr>
            </w:pPr>
            <w:r w:rsidRPr="00725FE1">
              <w:rPr>
                <w:rFonts w:eastAsia="Times New Roman" w:cs="Arial"/>
                <w:szCs w:val="24"/>
              </w:rPr>
              <w:t>Save the PDF file and upload to the eFolder with the following properties:</w:t>
            </w:r>
          </w:p>
          <w:p w14:paraId="32EDE7A9" w14:textId="77777777" w:rsidR="00E14F56" w:rsidRPr="00725FE1" w:rsidRDefault="00E14F56" w:rsidP="00E14F56">
            <w:pPr>
              <w:widowControl/>
              <w:numPr>
                <w:ilvl w:val="1"/>
                <w:numId w:val="19"/>
              </w:numPr>
              <w:spacing w:before="100" w:beforeAutospacing="1" w:after="100" w:afterAutospacing="1"/>
              <w:rPr>
                <w:rFonts w:eastAsia="Times New Roman" w:cs="Arial"/>
                <w:szCs w:val="24"/>
              </w:rPr>
            </w:pPr>
            <w:r w:rsidRPr="00725FE1">
              <w:rPr>
                <w:rFonts w:eastAsia="Times New Roman" w:cs="Arial"/>
                <w:szCs w:val="24"/>
              </w:rPr>
              <w:t xml:space="preserve">Subject:  </w:t>
            </w:r>
            <w:r w:rsidRPr="00725FE1">
              <w:rPr>
                <w:rStyle w:val="Emphasis"/>
                <w:rFonts w:eastAsia="Times New Roman" w:cs="Arial"/>
                <w:szCs w:val="24"/>
              </w:rPr>
              <w:t>FOREIGN ADDRESS COVER LETTER</w:t>
            </w:r>
          </w:p>
          <w:p w14:paraId="6BDD02E0" w14:textId="77777777" w:rsidR="00E14F56" w:rsidRPr="00725FE1" w:rsidRDefault="00E14F56" w:rsidP="00E14F56">
            <w:pPr>
              <w:widowControl/>
              <w:numPr>
                <w:ilvl w:val="1"/>
                <w:numId w:val="19"/>
              </w:numPr>
              <w:spacing w:before="100" w:beforeAutospacing="1" w:after="100" w:afterAutospacing="1"/>
              <w:rPr>
                <w:rFonts w:eastAsia="Times New Roman" w:cs="Arial"/>
                <w:szCs w:val="24"/>
              </w:rPr>
            </w:pPr>
            <w:r w:rsidRPr="00725FE1">
              <w:rPr>
                <w:rFonts w:eastAsia="Times New Roman" w:cs="Arial"/>
                <w:szCs w:val="24"/>
              </w:rPr>
              <w:t xml:space="preserve">Category – Type:  </w:t>
            </w:r>
            <w:r w:rsidRPr="00725FE1">
              <w:rPr>
                <w:rStyle w:val="Emphasis"/>
                <w:rFonts w:eastAsia="Times New Roman" w:cs="Arial"/>
                <w:szCs w:val="24"/>
              </w:rPr>
              <w:t>Correspondence: Correspondence</w:t>
            </w:r>
          </w:p>
          <w:p w14:paraId="18C44C54" w14:textId="77777777" w:rsidR="00E14F56" w:rsidRPr="00725FE1" w:rsidRDefault="00E14F56" w:rsidP="00E14F56">
            <w:pPr>
              <w:widowControl/>
              <w:numPr>
                <w:ilvl w:val="1"/>
                <w:numId w:val="19"/>
              </w:numPr>
              <w:spacing w:before="100" w:beforeAutospacing="1" w:after="100" w:afterAutospacing="1"/>
              <w:rPr>
                <w:rFonts w:eastAsia="Times New Roman" w:cs="Arial"/>
                <w:szCs w:val="24"/>
              </w:rPr>
            </w:pPr>
            <w:r w:rsidRPr="00725FE1">
              <w:rPr>
                <w:rFonts w:eastAsia="Times New Roman" w:cs="Arial"/>
                <w:szCs w:val="24"/>
              </w:rPr>
              <w:t xml:space="preserve">Content Source: </w:t>
            </w:r>
            <w:r w:rsidRPr="00725FE1">
              <w:rPr>
                <w:rStyle w:val="Emphasis"/>
                <w:rFonts w:eastAsia="Times New Roman" w:cs="Arial"/>
                <w:szCs w:val="24"/>
              </w:rPr>
              <w:t> VBMS</w:t>
            </w:r>
          </w:p>
          <w:p w14:paraId="3DB0FD38" w14:textId="77777777" w:rsidR="00E14F56" w:rsidRPr="00725FE1" w:rsidRDefault="00E14F56" w:rsidP="00E14F56">
            <w:pPr>
              <w:widowControl/>
              <w:numPr>
                <w:ilvl w:val="1"/>
                <w:numId w:val="19"/>
              </w:numPr>
              <w:spacing w:before="100" w:beforeAutospacing="1" w:after="100" w:afterAutospacing="1"/>
              <w:rPr>
                <w:rFonts w:eastAsia="Times New Roman" w:cs="Arial"/>
                <w:szCs w:val="24"/>
              </w:rPr>
            </w:pPr>
            <w:r w:rsidRPr="00725FE1">
              <w:rPr>
                <w:rFonts w:eastAsia="Times New Roman" w:cs="Arial"/>
                <w:szCs w:val="24"/>
              </w:rPr>
              <w:t>Date of Receipt: (date the correspondence is being generated)</w:t>
            </w:r>
          </w:p>
          <w:p w14:paraId="49EF2ADB" w14:textId="77777777" w:rsidR="00E14F56" w:rsidRPr="00725FE1" w:rsidRDefault="00E14F56" w:rsidP="00E14F56">
            <w:pPr>
              <w:widowControl/>
              <w:numPr>
                <w:ilvl w:val="0"/>
                <w:numId w:val="19"/>
              </w:numPr>
              <w:spacing w:before="100" w:beforeAutospacing="1" w:after="100" w:afterAutospacing="1"/>
              <w:rPr>
                <w:rFonts w:eastAsia="Times New Roman" w:cs="Arial"/>
                <w:szCs w:val="24"/>
              </w:rPr>
            </w:pPr>
            <w:r w:rsidRPr="00725FE1">
              <w:rPr>
                <w:rFonts w:eastAsia="Calibri" w:cs="Arial"/>
                <w:szCs w:val="24"/>
              </w:rPr>
              <w:t xml:space="preserve">Upload the cover letter to the Veteran’s eFolder in VBMS Core.   </w:t>
            </w:r>
          </w:p>
          <w:p w14:paraId="774BE168" w14:textId="77777777" w:rsidR="00E14F56" w:rsidRPr="00725FE1" w:rsidRDefault="00E14F56" w:rsidP="00E14F56">
            <w:pPr>
              <w:widowControl/>
              <w:numPr>
                <w:ilvl w:val="0"/>
                <w:numId w:val="19"/>
              </w:numPr>
              <w:spacing w:before="100" w:beforeAutospacing="1" w:after="100" w:afterAutospacing="1"/>
              <w:rPr>
                <w:rFonts w:eastAsia="Times New Roman" w:cs="Arial"/>
                <w:szCs w:val="24"/>
              </w:rPr>
            </w:pPr>
            <w:r w:rsidRPr="00725FE1">
              <w:rPr>
                <w:rFonts w:eastAsia="Times New Roman" w:cs="Arial"/>
                <w:szCs w:val="24"/>
              </w:rPr>
              <w:t>Add the document to the correspondence package in the Package Manager.</w:t>
            </w:r>
          </w:p>
          <w:p w14:paraId="3513486B" w14:textId="77777777" w:rsidR="00E14F56" w:rsidRPr="007254E6" w:rsidRDefault="00E14F56" w:rsidP="00E14F56">
            <w:pPr>
              <w:pStyle w:val="Heading2"/>
              <w:spacing w:before="0" w:after="120" w:line="240" w:lineRule="auto"/>
              <w:rPr>
                <w:rFonts w:ascii="Arial" w:hAnsi="Arial" w:cs="Arial"/>
                <w:b/>
                <w:bCs/>
                <w:sz w:val="24"/>
                <w:szCs w:val="24"/>
              </w:rPr>
            </w:pPr>
            <w:bookmarkStart w:id="4" w:name="_Adding_School_Children"/>
            <w:bookmarkEnd w:id="4"/>
            <w:r w:rsidRPr="007254E6">
              <w:rPr>
                <w:rFonts w:ascii="Arial" w:hAnsi="Arial" w:cs="Arial"/>
                <w:b/>
                <w:bCs/>
                <w:sz w:val="24"/>
                <w:szCs w:val="24"/>
              </w:rPr>
              <w:t>Adding School Children in a Foreign School</w:t>
            </w:r>
          </w:p>
          <w:p w14:paraId="49E7E123" w14:textId="03F7CB24" w:rsidR="009E1353" w:rsidRPr="009E1353" w:rsidRDefault="00E14F56" w:rsidP="00596D3E">
            <w:pPr>
              <w:tabs>
                <w:tab w:val="num" w:pos="1440"/>
              </w:tabs>
              <w:rPr>
                <w:rFonts w:eastAsia="Calibri" w:cs="Arial"/>
                <w:color w:val="000000" w:themeColor="text1"/>
                <w:szCs w:val="24"/>
              </w:rPr>
            </w:pPr>
            <w:r w:rsidRPr="00725FE1">
              <w:rPr>
                <w:rFonts w:cs="Arial"/>
                <w:color w:val="000000"/>
                <w:szCs w:val="24"/>
                <w:shd w:val="clear" w:color="auto" w:fill="FFFFFF"/>
              </w:rPr>
              <w:t>A foreign school is accredited for VA purposes if the school is recognized as standard and accredited for the student’s specific course of instruction by the authority established within the country for determining educational standards.</w:t>
            </w:r>
            <w:r w:rsidR="00943F77">
              <w:rPr>
                <w:rFonts w:cs="Arial"/>
                <w:color w:val="000000"/>
                <w:szCs w:val="24"/>
                <w:shd w:val="clear" w:color="auto" w:fill="FFFFFF"/>
              </w:rPr>
              <w:t xml:space="preserve"> </w:t>
            </w:r>
            <w:r w:rsidR="00A331E5">
              <w:rPr>
                <w:rFonts w:cs="Arial"/>
                <w:color w:val="000000"/>
                <w:szCs w:val="24"/>
                <w:shd w:val="clear" w:color="auto" w:fill="FFFFFF"/>
              </w:rPr>
              <w:t>Accreditation</w:t>
            </w:r>
            <w:r w:rsidR="00943F77">
              <w:rPr>
                <w:rFonts w:cs="Arial"/>
                <w:color w:val="000000"/>
                <w:szCs w:val="24"/>
                <w:shd w:val="clear" w:color="auto" w:fill="FFFFFF"/>
              </w:rPr>
              <w:t xml:space="preserve"> status </w:t>
            </w:r>
            <w:r w:rsidR="00A331E5">
              <w:rPr>
                <w:rFonts w:cs="Arial"/>
                <w:color w:val="000000"/>
                <w:szCs w:val="24"/>
                <w:shd w:val="clear" w:color="auto" w:fill="FFFFFF"/>
              </w:rPr>
              <w:t xml:space="preserve">can be verified by </w:t>
            </w:r>
            <w:r w:rsidR="00A331E5" w:rsidRPr="00725FE1">
              <w:rPr>
                <w:rFonts w:eastAsia="Calibri" w:cs="Arial"/>
                <w:color w:val="000000" w:themeColor="text1"/>
                <w:szCs w:val="24"/>
              </w:rPr>
              <w:t xml:space="preserve">the in-country Minister of Education, Minister of Cultural Affairs or </w:t>
            </w:r>
            <w:r w:rsidR="009E1353" w:rsidRPr="009E1353">
              <w:rPr>
                <w:rFonts w:eastAsia="Calibri" w:cs="Arial"/>
                <w:color w:val="000000" w:themeColor="text1"/>
                <w:szCs w:val="24"/>
              </w:rPr>
              <w:t>an institution VA recognizes as an authority in determining whether a foreign school is accredited for the purpose of determining entitlement to educational assistance under</w:t>
            </w:r>
            <w:r w:rsidR="009E1353">
              <w:rPr>
                <w:rFonts w:eastAsia="Calibri" w:cs="Arial"/>
                <w:color w:val="000000" w:themeColor="text1"/>
                <w:szCs w:val="24"/>
              </w:rPr>
              <w:t xml:space="preserve"> </w:t>
            </w:r>
            <w:hyperlink r:id="rId22" w:tgtFrame="_blank" w:history="1">
              <w:r w:rsidR="009E1353" w:rsidRPr="009E1353">
                <w:rPr>
                  <w:rStyle w:val="Hyperlink"/>
                  <w:rFonts w:eastAsia="Calibri" w:cs="Arial"/>
                  <w:b/>
                  <w:bCs/>
                  <w:szCs w:val="24"/>
                </w:rPr>
                <w:t>38 U.S.C. Chapter 30</w:t>
              </w:r>
            </w:hyperlink>
            <w:r w:rsidR="009E1353">
              <w:rPr>
                <w:rFonts w:eastAsia="Calibri" w:cs="Arial"/>
                <w:color w:val="000000" w:themeColor="text1"/>
                <w:szCs w:val="24"/>
              </w:rPr>
              <w:t xml:space="preserve">, </w:t>
            </w:r>
            <w:hyperlink r:id="rId23" w:tgtFrame="_blank" w:history="1">
              <w:r w:rsidR="009E1353" w:rsidRPr="009E1353">
                <w:rPr>
                  <w:rStyle w:val="Hyperlink"/>
                  <w:rFonts w:eastAsia="Calibri" w:cs="Arial"/>
                  <w:b/>
                  <w:bCs/>
                  <w:szCs w:val="24"/>
                </w:rPr>
                <w:t>38 U.S.C. Chapter 31</w:t>
              </w:r>
            </w:hyperlink>
            <w:r w:rsidR="00596D3E">
              <w:rPr>
                <w:rFonts w:eastAsia="Calibri" w:cs="Arial"/>
                <w:color w:val="000000" w:themeColor="text1"/>
                <w:szCs w:val="24"/>
              </w:rPr>
              <w:t xml:space="preserve">, </w:t>
            </w:r>
            <w:hyperlink r:id="rId24" w:tgtFrame="_blank" w:history="1">
              <w:r w:rsidR="009E1353" w:rsidRPr="009E1353">
                <w:rPr>
                  <w:rStyle w:val="Hyperlink"/>
                  <w:rFonts w:eastAsia="Calibri" w:cs="Arial"/>
                  <w:b/>
                  <w:bCs/>
                  <w:szCs w:val="24"/>
                </w:rPr>
                <w:t>38 U.S.C. Chapter 33</w:t>
              </w:r>
            </w:hyperlink>
            <w:r w:rsidR="009E1353" w:rsidRPr="009E1353">
              <w:rPr>
                <w:rFonts w:eastAsia="Calibri" w:cs="Arial"/>
                <w:color w:val="000000" w:themeColor="text1"/>
                <w:szCs w:val="24"/>
              </w:rPr>
              <w:t>, and</w:t>
            </w:r>
            <w:r w:rsidR="00596D3E">
              <w:rPr>
                <w:rFonts w:eastAsia="Calibri" w:cs="Arial"/>
                <w:color w:val="000000" w:themeColor="text1"/>
                <w:szCs w:val="24"/>
              </w:rPr>
              <w:t xml:space="preserve"> </w:t>
            </w:r>
            <w:hyperlink r:id="rId25" w:tgtFrame="_blank" w:history="1">
              <w:r w:rsidR="009E1353" w:rsidRPr="009E1353">
                <w:rPr>
                  <w:rStyle w:val="Hyperlink"/>
                  <w:rFonts w:eastAsia="Calibri" w:cs="Arial"/>
                  <w:b/>
                  <w:bCs/>
                  <w:szCs w:val="24"/>
                </w:rPr>
                <w:t>38 U.S.C. Chapter 35</w:t>
              </w:r>
            </w:hyperlink>
            <w:r w:rsidR="009E1353" w:rsidRPr="009E1353">
              <w:rPr>
                <w:rFonts w:eastAsia="Calibri" w:cs="Arial"/>
                <w:color w:val="000000" w:themeColor="text1"/>
                <w:szCs w:val="24"/>
              </w:rPr>
              <w:t>.</w:t>
            </w:r>
          </w:p>
          <w:p w14:paraId="5F862DE4" w14:textId="5FB4D27B" w:rsidR="00E14F56" w:rsidRPr="00725FE1" w:rsidRDefault="00E14F56" w:rsidP="00E14F56">
            <w:pPr>
              <w:rPr>
                <w:rFonts w:eastAsia="Calibri" w:cs="Arial"/>
                <w:color w:val="000000" w:themeColor="text1"/>
                <w:szCs w:val="24"/>
              </w:rPr>
            </w:pPr>
          </w:p>
          <w:p w14:paraId="513335C8" w14:textId="39A6DF4B" w:rsidR="00D305BE" w:rsidRDefault="00E14F56" w:rsidP="00E14F56">
            <w:pPr>
              <w:rPr>
                <w:rFonts w:eastAsia="Calibri" w:cs="Arial"/>
                <w:color w:val="000000" w:themeColor="text1"/>
                <w:szCs w:val="24"/>
              </w:rPr>
            </w:pPr>
            <w:r w:rsidRPr="00725FE1">
              <w:rPr>
                <w:rFonts w:eastAsia="Calibri" w:cs="Arial"/>
                <w:color w:val="000000" w:themeColor="text1"/>
                <w:szCs w:val="24"/>
              </w:rPr>
              <w:t xml:space="preserve">If </w:t>
            </w:r>
            <w:r w:rsidR="00596D3E">
              <w:rPr>
                <w:rFonts w:eastAsia="Calibri" w:cs="Arial"/>
                <w:color w:val="000000" w:themeColor="text1"/>
                <w:szCs w:val="24"/>
              </w:rPr>
              <w:t xml:space="preserve">the School Child is </w:t>
            </w:r>
            <w:r w:rsidR="00B7055B">
              <w:rPr>
                <w:rFonts w:eastAsia="Calibri" w:cs="Arial"/>
                <w:color w:val="000000" w:themeColor="text1"/>
                <w:szCs w:val="24"/>
              </w:rPr>
              <w:t xml:space="preserve">enrolled in a foreign program or </w:t>
            </w:r>
            <w:r w:rsidR="00692088">
              <w:rPr>
                <w:rFonts w:eastAsia="Calibri" w:cs="Arial"/>
                <w:color w:val="000000" w:themeColor="text1"/>
                <w:szCs w:val="24"/>
              </w:rPr>
              <w:t>institution</w:t>
            </w:r>
            <w:r w:rsidR="00B7055B">
              <w:rPr>
                <w:rFonts w:eastAsia="Calibri" w:cs="Arial"/>
                <w:color w:val="000000" w:themeColor="text1"/>
                <w:szCs w:val="24"/>
              </w:rPr>
              <w:t xml:space="preserve"> from a country without established accreditation standards, </w:t>
            </w:r>
            <w:r w:rsidR="000C469B" w:rsidRPr="000C469B">
              <w:rPr>
                <w:rFonts w:eastAsia="Calibri" w:cs="Arial"/>
                <w:color w:val="000000" w:themeColor="text1"/>
                <w:szCs w:val="24"/>
              </w:rPr>
              <w:t>the determination as to accreditation for VA purposes</w:t>
            </w:r>
            <w:r w:rsidR="000C469B">
              <w:rPr>
                <w:rFonts w:eastAsia="Calibri" w:cs="Arial"/>
                <w:color w:val="000000" w:themeColor="text1"/>
                <w:szCs w:val="24"/>
              </w:rPr>
              <w:t xml:space="preserve"> </w:t>
            </w:r>
            <w:r w:rsidR="00D305BE">
              <w:rPr>
                <w:rFonts w:eastAsia="Calibri" w:cs="Arial"/>
                <w:color w:val="000000" w:themeColor="text1"/>
                <w:szCs w:val="24"/>
              </w:rPr>
              <w:t>is made as follows:</w:t>
            </w:r>
          </w:p>
          <w:p w14:paraId="48DA80A8" w14:textId="51D10002" w:rsidR="00D305BE" w:rsidRPr="00D305BE" w:rsidRDefault="00D305BE" w:rsidP="00D305BE">
            <w:pPr>
              <w:numPr>
                <w:ilvl w:val="0"/>
                <w:numId w:val="23"/>
              </w:numPr>
              <w:rPr>
                <w:rFonts w:eastAsia="Calibri" w:cs="Arial"/>
                <w:i/>
                <w:iCs/>
                <w:color w:val="000000" w:themeColor="text1"/>
                <w:szCs w:val="24"/>
              </w:rPr>
            </w:pPr>
            <w:r w:rsidRPr="003352E7">
              <w:rPr>
                <w:rFonts w:eastAsia="Calibri" w:cs="Arial"/>
                <w:color w:val="000000" w:themeColor="text1"/>
                <w:szCs w:val="24"/>
              </w:rPr>
              <w:t>In the Philippines, the Manila Regional Office (RO) Education Liaison Representative makes the determination</w:t>
            </w:r>
            <w:r w:rsidRPr="00D305BE">
              <w:rPr>
                <w:rFonts w:eastAsia="Calibri" w:cs="Arial"/>
                <w:i/>
                <w:iCs/>
                <w:color w:val="000000" w:themeColor="text1"/>
                <w:szCs w:val="24"/>
              </w:rPr>
              <w:t>.</w:t>
            </w:r>
          </w:p>
          <w:p w14:paraId="01869449" w14:textId="717AB24B" w:rsidR="00D305BE" w:rsidRPr="00D305BE" w:rsidRDefault="00D305BE" w:rsidP="00D305BE">
            <w:pPr>
              <w:numPr>
                <w:ilvl w:val="0"/>
                <w:numId w:val="23"/>
              </w:numPr>
              <w:rPr>
                <w:rFonts w:eastAsia="Calibri" w:cs="Arial"/>
                <w:color w:val="000000" w:themeColor="text1"/>
                <w:szCs w:val="24"/>
              </w:rPr>
            </w:pPr>
            <w:r w:rsidRPr="00D305BE">
              <w:rPr>
                <w:rFonts w:eastAsia="Calibri" w:cs="Arial"/>
                <w:color w:val="000000" w:themeColor="text1"/>
                <w:szCs w:val="24"/>
              </w:rPr>
              <w:t>When a beneficiary submits </w:t>
            </w:r>
            <w:hyperlink r:id="rId26" w:tgtFrame="_blank" w:history="1">
              <w:r w:rsidRPr="00D305BE">
                <w:rPr>
                  <w:rStyle w:val="Hyperlink"/>
                  <w:rFonts w:eastAsia="Calibri" w:cs="Arial"/>
                  <w:b/>
                  <w:bCs/>
                  <w:i/>
                  <w:iCs/>
                  <w:szCs w:val="24"/>
                </w:rPr>
                <w:t>VA Form 21-674</w:t>
              </w:r>
            </w:hyperlink>
            <w:r w:rsidRPr="00D305BE">
              <w:rPr>
                <w:rFonts w:eastAsia="Calibri" w:cs="Arial"/>
                <w:color w:val="000000" w:themeColor="text1"/>
                <w:szCs w:val="24"/>
              </w:rPr>
              <w:t> through the local U.S. embassy or consulate in a foreign country other than the Philippines, the American Consular Officer makes the determination as the approving official.</w:t>
            </w:r>
          </w:p>
          <w:p w14:paraId="22F37389" w14:textId="77777777" w:rsidR="00D305BE" w:rsidRPr="00D305BE" w:rsidRDefault="00D305BE" w:rsidP="00D305BE">
            <w:pPr>
              <w:numPr>
                <w:ilvl w:val="0"/>
                <w:numId w:val="23"/>
              </w:numPr>
              <w:rPr>
                <w:rFonts w:eastAsia="Calibri" w:cs="Arial"/>
                <w:color w:val="000000" w:themeColor="text1"/>
                <w:szCs w:val="24"/>
              </w:rPr>
            </w:pPr>
            <w:r w:rsidRPr="00D305BE">
              <w:rPr>
                <w:rFonts w:eastAsia="Calibri" w:cs="Arial"/>
                <w:color w:val="000000" w:themeColor="text1"/>
                <w:szCs w:val="24"/>
              </w:rPr>
              <w:t>In all other cases, the Veterans Service Center (VSC) Manager of the Pittsburgh RO who maintains information concerning the accreditation status of foreign schools, makes the determination.</w:t>
            </w:r>
          </w:p>
          <w:p w14:paraId="399B61B7" w14:textId="70A41F64" w:rsidR="00E14F56" w:rsidRPr="00725FE1" w:rsidRDefault="00E14F56" w:rsidP="00E14F56">
            <w:pPr>
              <w:rPr>
                <w:rFonts w:eastAsia="Arial" w:cs="Arial"/>
                <w:szCs w:val="24"/>
              </w:rPr>
            </w:pPr>
          </w:p>
          <w:p w14:paraId="1500232F" w14:textId="190073D0" w:rsidR="00E14F56" w:rsidRPr="00725FE1" w:rsidRDefault="00E22F42" w:rsidP="00E14F56">
            <w:pPr>
              <w:rPr>
                <w:rFonts w:cs="Arial"/>
                <w:szCs w:val="24"/>
              </w:rPr>
            </w:pPr>
            <w:r>
              <w:rPr>
                <w:rFonts w:cs="Arial"/>
                <w:szCs w:val="24"/>
              </w:rPr>
              <w:pict w14:anchorId="63469699">
                <v:rect id="_x0000_i1028" style="width:0;height:1.5pt" o:hralign="center" o:hrstd="t" o:hr="t" fillcolor="#a0a0a0" stroked="f"/>
              </w:pict>
            </w:r>
          </w:p>
        </w:tc>
      </w:tr>
      <w:tr w:rsidR="00E14F56" w14:paraId="3FCEB44B" w14:textId="77777777" w:rsidTr="00E14F56">
        <w:trPr>
          <w:trHeight w:val="20"/>
        </w:trPr>
        <w:tc>
          <w:tcPr>
            <w:tcW w:w="1292" w:type="dxa"/>
            <w:vAlign w:val="center"/>
          </w:tcPr>
          <w:p w14:paraId="128E7E3E" w14:textId="77777777" w:rsidR="00E14F56" w:rsidRDefault="00E14F56" w:rsidP="00E14F56">
            <w:pPr>
              <w:jc w:val="center"/>
              <w:rPr>
                <w:noProof/>
              </w:rPr>
            </w:pPr>
            <w:r>
              <w:rPr>
                <w:noProof/>
              </w:rPr>
              <w:lastRenderedPageBreak/>
              <w:drawing>
                <wp:inline distT="0" distB="0" distL="0" distR="0" wp14:anchorId="16878339" wp14:editId="7A9DE3B3">
                  <wp:extent cx="659959" cy="659959"/>
                  <wp:effectExtent l="0" t="0" r="0" b="6985"/>
                  <wp:docPr id="205" name="Graphic 205"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Lightbulb.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62020" cy="662020"/>
                          </a:xfrm>
                          <a:prstGeom prst="rect">
                            <a:avLst/>
                          </a:prstGeom>
                          <a:effectLst/>
                        </pic:spPr>
                      </pic:pic>
                    </a:graphicData>
                  </a:graphic>
                </wp:inline>
              </w:drawing>
            </w:r>
          </w:p>
        </w:tc>
        <w:tc>
          <w:tcPr>
            <w:tcW w:w="8518" w:type="dxa"/>
          </w:tcPr>
          <w:p w14:paraId="7F8DDA53" w14:textId="77777777" w:rsidR="00E14F56" w:rsidRDefault="00E14F56" w:rsidP="00E14F56">
            <w:pPr>
              <w:pStyle w:val="Heading1"/>
              <w:rPr>
                <w:rFonts w:ascii="Arial" w:hAnsi="Arial" w:cs="Arial"/>
                <w:color w:val="003366"/>
              </w:rPr>
            </w:pPr>
            <w:r w:rsidRPr="00E14CC5">
              <w:rPr>
                <w:rFonts w:ascii="Arial" w:hAnsi="Arial" w:cs="Arial"/>
                <w:color w:val="003366"/>
              </w:rPr>
              <w:t>Important Reminders</w:t>
            </w:r>
          </w:p>
          <w:p w14:paraId="159E1098" w14:textId="77777777" w:rsidR="00725FE1" w:rsidRPr="00725FE1" w:rsidRDefault="00725FE1" w:rsidP="00725FE1">
            <w:pPr>
              <w:numPr>
                <w:ilvl w:val="0"/>
                <w:numId w:val="15"/>
              </w:numPr>
            </w:pPr>
            <w:r w:rsidRPr="00725FE1">
              <w:t>VA can use evidence within the last eight years to add dependents.</w:t>
            </w:r>
          </w:p>
          <w:p w14:paraId="6BEF4FA3" w14:textId="77777777" w:rsidR="00725FE1" w:rsidRPr="00725FE1" w:rsidRDefault="00725FE1" w:rsidP="00725FE1">
            <w:pPr>
              <w:numPr>
                <w:ilvl w:val="0"/>
                <w:numId w:val="15"/>
              </w:numPr>
            </w:pPr>
            <w:r w:rsidRPr="00725FE1">
              <w:t xml:space="preserve">Ensure to add the </w:t>
            </w:r>
            <w:r w:rsidRPr="00725FE1">
              <w:rPr>
                <w:i/>
                <w:iCs/>
              </w:rPr>
              <w:t>Foreign Corporate</w:t>
            </w:r>
            <w:r w:rsidRPr="00725FE1">
              <w:t xml:space="preserve"> flash</w:t>
            </w:r>
          </w:p>
          <w:p w14:paraId="56CF17CD" w14:textId="77777777" w:rsidR="00725FE1" w:rsidRPr="00725FE1" w:rsidRDefault="00725FE1" w:rsidP="00725FE1">
            <w:pPr>
              <w:numPr>
                <w:ilvl w:val="0"/>
                <w:numId w:val="15"/>
              </w:numPr>
            </w:pPr>
            <w:r w:rsidRPr="00725FE1">
              <w:t xml:space="preserve">Diplomatic and consular officers of the Department of State (State Department) are authorized to act as agents of the Department of Veterans Affairs and therefore a complete claim as set forth in </w:t>
            </w:r>
            <w:hyperlink r:id="rId29" w:anchor="p-3.160(a)">
              <w:r w:rsidRPr="00725FE1">
                <w:rPr>
                  <w:rStyle w:val="Hyperlink"/>
                </w:rPr>
                <w:t>§ 3.160(a)</w:t>
              </w:r>
            </w:hyperlink>
            <w:r w:rsidRPr="00725FE1">
              <w:t xml:space="preserve"> or an intent to file a claim as set forth in </w:t>
            </w:r>
            <w:hyperlink r:id="rId30" w:anchor="p-3.155(b)">
              <w:r w:rsidRPr="00725FE1">
                <w:rPr>
                  <w:rStyle w:val="Hyperlink"/>
                </w:rPr>
                <w:t>§ 3.155(b)</w:t>
              </w:r>
            </w:hyperlink>
            <w:r w:rsidRPr="00725FE1">
              <w:t xml:space="preserve"> or evidence submitted in support of a claim filed in a foreign country will be considered as filed in the Department of Veterans Affairs as of the date of receipt by the State Department representative.</w:t>
            </w:r>
          </w:p>
          <w:p w14:paraId="0B568BC8" w14:textId="77777777" w:rsidR="00725FE1" w:rsidRPr="00725FE1" w:rsidRDefault="00725FE1" w:rsidP="00725FE1"/>
          <w:p w14:paraId="7FFD9F21" w14:textId="77777777" w:rsidR="00E14F56" w:rsidRDefault="00E22F42" w:rsidP="00E14F56">
            <w:pPr>
              <w:pStyle w:val="Heading1"/>
              <w:rPr>
                <w:rFonts w:ascii="Arial" w:hAnsi="Arial" w:cs="Arial"/>
                <w:color w:val="003366"/>
              </w:rPr>
            </w:pPr>
            <w:r>
              <w:rPr>
                <w:rFonts w:ascii="Arial" w:hAnsi="Arial" w:cs="Arial"/>
                <w:sz w:val="24"/>
                <w:szCs w:val="24"/>
              </w:rPr>
              <w:pict w14:anchorId="10D48C7E">
                <v:rect id="_x0000_i1029" style="width:0;height:1.5pt" o:hralign="center" o:hrstd="t" o:hr="t" fillcolor="#a0a0a0" stroked="f"/>
              </w:pict>
            </w:r>
          </w:p>
        </w:tc>
      </w:tr>
      <w:tr w:rsidR="00E14F56" w14:paraId="6D64EA37" w14:textId="77777777" w:rsidTr="00E14F56">
        <w:trPr>
          <w:trHeight w:val="20"/>
        </w:trPr>
        <w:tc>
          <w:tcPr>
            <w:tcW w:w="1292" w:type="dxa"/>
            <w:vAlign w:val="center"/>
          </w:tcPr>
          <w:p w14:paraId="77E76C19" w14:textId="77777777" w:rsidR="00E14F56" w:rsidRDefault="00E14F56" w:rsidP="00E14F56">
            <w:pPr>
              <w:jc w:val="center"/>
              <w:rPr>
                <w:noProof/>
              </w:rPr>
            </w:pPr>
            <w:r>
              <w:rPr>
                <w:noProof/>
              </w:rPr>
              <w:drawing>
                <wp:inline distT="0" distB="0" distL="0" distR="0" wp14:anchorId="451E7A3E" wp14:editId="05973AD1">
                  <wp:extent cx="513471" cy="513471"/>
                  <wp:effectExtent l="0" t="0" r="0" b="1270"/>
                  <wp:docPr id="208" name="Graphic 20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encil.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19668" cy="519668"/>
                          </a:xfrm>
                          <a:prstGeom prst="rect">
                            <a:avLst/>
                          </a:prstGeom>
                        </pic:spPr>
                      </pic:pic>
                    </a:graphicData>
                  </a:graphic>
                </wp:inline>
              </w:drawing>
            </w:r>
          </w:p>
        </w:tc>
        <w:tc>
          <w:tcPr>
            <w:tcW w:w="8518" w:type="dxa"/>
          </w:tcPr>
          <w:p w14:paraId="042AE688" w14:textId="77777777" w:rsidR="00E14F56" w:rsidRDefault="00E14F56" w:rsidP="00E14F56">
            <w:pPr>
              <w:pStyle w:val="Heading1"/>
              <w:rPr>
                <w:rFonts w:ascii="Arial" w:hAnsi="Arial" w:cs="Arial"/>
                <w:color w:val="003366"/>
              </w:rPr>
            </w:pPr>
            <w:r>
              <w:rPr>
                <w:rFonts w:ascii="Arial" w:hAnsi="Arial" w:cs="Arial"/>
                <w:color w:val="003366"/>
              </w:rPr>
              <w:t>Other Resources</w:t>
            </w:r>
          </w:p>
          <w:p w14:paraId="153B38D9" w14:textId="5129F215" w:rsidR="002E6C10" w:rsidRPr="006426B2" w:rsidRDefault="002E6C10" w:rsidP="002E6C10">
            <w:pPr>
              <w:pStyle w:val="ListParagraph"/>
              <w:numPr>
                <w:ilvl w:val="0"/>
                <w:numId w:val="10"/>
              </w:numPr>
              <w:rPr>
                <w:rFonts w:cs="Arial"/>
                <w:i/>
                <w:szCs w:val="24"/>
              </w:rPr>
            </w:pPr>
            <w:hyperlink r:id="rId33" w:history="1">
              <w:r w:rsidRPr="006426B2">
                <w:rPr>
                  <w:rStyle w:val="Hyperlink"/>
                  <w:szCs w:val="24"/>
                </w:rPr>
                <w:t>Calendar Service Calendar - August 2021</w:t>
              </w:r>
            </w:hyperlink>
            <w:r w:rsidRPr="006426B2">
              <w:rPr>
                <w:color w:val="0000FF"/>
                <w:szCs w:val="24"/>
                <w:u w:val="single"/>
              </w:rPr>
              <w:t xml:space="preserve"> </w:t>
            </w:r>
          </w:p>
          <w:p w14:paraId="518F02C1" w14:textId="77777777" w:rsidR="00FA6BB3" w:rsidRPr="00FA6BB3" w:rsidRDefault="002E6C10" w:rsidP="00FA6BB3">
            <w:pPr>
              <w:pStyle w:val="ListParagraph"/>
              <w:numPr>
                <w:ilvl w:val="1"/>
                <w:numId w:val="10"/>
              </w:numPr>
              <w:rPr>
                <w:rFonts w:cs="Arial"/>
                <w:i/>
                <w:szCs w:val="24"/>
              </w:rPr>
            </w:pPr>
            <w:r w:rsidRPr="006426B2">
              <w:rPr>
                <w:rFonts w:eastAsia="Times New Roman" w:cs="Arial"/>
                <w:color w:val="000000"/>
                <w:szCs w:val="24"/>
              </w:rPr>
              <w:t>Thursday 19</w:t>
            </w:r>
            <w:r w:rsidRPr="006426B2">
              <w:rPr>
                <w:rFonts w:eastAsia="Times New Roman" w:cs="Arial"/>
                <w:color w:val="000000"/>
                <w:szCs w:val="24"/>
                <w:vertAlign w:val="superscript"/>
              </w:rPr>
              <w:t>th</w:t>
            </w:r>
            <w:r w:rsidRPr="006426B2">
              <w:rPr>
                <w:rFonts w:eastAsia="Times New Roman" w:cs="Arial"/>
                <w:color w:val="000000"/>
                <w:szCs w:val="24"/>
              </w:rPr>
              <w:t xml:space="preserve">: </w:t>
            </w:r>
            <w:r w:rsidRPr="006426B2">
              <w:rPr>
                <w:rFonts w:cs="Arial"/>
                <w:color w:val="000000"/>
                <w:szCs w:val="24"/>
                <w:shd w:val="clear" w:color="auto" w:fill="FFFFFF"/>
              </w:rPr>
              <w:t>In certain circumstances, correspondence letters sent to Veterans and beneficiaries with foreign addresses will have the complete address truncated to fit the address window on envelopes. (Steps outlined for Letter Creator)</w:t>
            </w:r>
          </w:p>
          <w:p w14:paraId="51967CB6" w14:textId="08918459" w:rsidR="002E6C10" w:rsidRPr="00FA6BB3" w:rsidRDefault="00D75F76" w:rsidP="00FA6BB3">
            <w:pPr>
              <w:pStyle w:val="ListParagraph"/>
              <w:numPr>
                <w:ilvl w:val="0"/>
                <w:numId w:val="10"/>
              </w:numPr>
              <w:rPr>
                <w:rStyle w:val="Hyperlink"/>
                <w:rFonts w:cs="Arial"/>
                <w:i/>
                <w:color w:val="auto"/>
                <w:szCs w:val="24"/>
                <w:u w:val="none"/>
              </w:rPr>
            </w:pPr>
            <w:r w:rsidRPr="006426B2">
              <w:rPr>
                <w:rFonts w:eastAsia="Times New Roman" w:cs="Arial"/>
                <w:szCs w:val="24"/>
              </w:rPr>
              <w:fldChar w:fldCharType="begin"/>
            </w:r>
            <w:r w:rsidRPr="00FA6BB3">
              <w:rPr>
                <w:rFonts w:eastAsia="Times New Roman" w:cs="Arial"/>
                <w:szCs w:val="24"/>
              </w:rPr>
              <w:instrText>HYPERLINK "https://vbaw.vba.va.gov/bl/20/cio/20s5/forms/VBA-21-686c-ARE.pdf"</w:instrText>
            </w:r>
            <w:r w:rsidRPr="006426B2">
              <w:rPr>
                <w:rFonts w:eastAsia="Times New Roman" w:cs="Arial"/>
                <w:szCs w:val="24"/>
              </w:rPr>
            </w:r>
            <w:r w:rsidRPr="006426B2">
              <w:rPr>
                <w:rFonts w:eastAsia="Times New Roman" w:cs="Arial"/>
                <w:szCs w:val="24"/>
              </w:rPr>
              <w:fldChar w:fldCharType="separate"/>
            </w:r>
            <w:r w:rsidR="002E6C10" w:rsidRPr="00FA6BB3">
              <w:rPr>
                <w:rStyle w:val="Hyperlink"/>
                <w:rFonts w:eastAsia="Times New Roman" w:cs="Arial"/>
                <w:szCs w:val="24"/>
              </w:rPr>
              <w:t xml:space="preserve">VA Form 21-686c, </w:t>
            </w:r>
            <w:r w:rsidR="002E6C10" w:rsidRPr="00FA6BB3">
              <w:rPr>
                <w:rStyle w:val="Hyperlink"/>
                <w:rFonts w:eastAsia="Times New Roman" w:cs="Arial"/>
                <w:i/>
                <w:iCs/>
                <w:szCs w:val="24"/>
              </w:rPr>
              <w:t>Application Request to Add and/or Remove Dependents</w:t>
            </w:r>
          </w:p>
          <w:p w14:paraId="7CDAB529" w14:textId="5787A175" w:rsidR="00E14F56" w:rsidRPr="0022568F" w:rsidRDefault="00D75F76" w:rsidP="00E14F56">
            <w:pPr>
              <w:rPr>
                <w:rFonts w:cs="Arial"/>
                <w:i/>
                <w:szCs w:val="24"/>
              </w:rPr>
            </w:pPr>
            <w:r w:rsidRPr="006426B2">
              <w:rPr>
                <w:rFonts w:eastAsia="Times New Roman" w:cs="Arial"/>
                <w:szCs w:val="24"/>
              </w:rPr>
              <w:fldChar w:fldCharType="end"/>
            </w:r>
            <w:r w:rsidR="00E22F42">
              <w:rPr>
                <w:rFonts w:cs="Arial"/>
                <w:szCs w:val="24"/>
              </w:rPr>
              <w:pict w14:anchorId="56F4FDF7">
                <v:rect id="_x0000_i1030" style="width:0;height:1.5pt" o:hralign="center" o:hrstd="t" o:hr="t" fillcolor="#a0a0a0" stroked="f"/>
              </w:pict>
            </w:r>
          </w:p>
        </w:tc>
      </w:tr>
      <w:tr w:rsidR="00E14F56" w14:paraId="2A06C390" w14:textId="77777777" w:rsidTr="00E14F56">
        <w:trPr>
          <w:trHeight w:val="20"/>
        </w:trPr>
        <w:tc>
          <w:tcPr>
            <w:tcW w:w="1292" w:type="dxa"/>
            <w:vAlign w:val="center"/>
          </w:tcPr>
          <w:p w14:paraId="12A27E0B" w14:textId="0E146AF4" w:rsidR="00E14F56" w:rsidRDefault="00E14F56" w:rsidP="00E14F56">
            <w:pPr>
              <w:jc w:val="center"/>
              <w:rPr>
                <w:noProof/>
              </w:rPr>
            </w:pPr>
            <w:r>
              <w:rPr>
                <w:noProof/>
              </w:rPr>
              <w:drawing>
                <wp:inline distT="0" distB="0" distL="0" distR="0" wp14:anchorId="4057D507" wp14:editId="64D6220C">
                  <wp:extent cx="667909" cy="667909"/>
                  <wp:effectExtent l="0" t="0" r="0" b="0"/>
                  <wp:docPr id="1" name="Graphic 1"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Question Mark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671415" cy="671415"/>
                          </a:xfrm>
                          <a:prstGeom prst="rect">
                            <a:avLst/>
                          </a:prstGeom>
                        </pic:spPr>
                      </pic:pic>
                    </a:graphicData>
                  </a:graphic>
                </wp:inline>
              </w:drawing>
            </w:r>
          </w:p>
        </w:tc>
        <w:tc>
          <w:tcPr>
            <w:tcW w:w="8518" w:type="dxa"/>
          </w:tcPr>
          <w:p w14:paraId="0B4735DF" w14:textId="051029E7" w:rsidR="00E14F56" w:rsidRPr="003C532A" w:rsidRDefault="00E14F56" w:rsidP="00E14F56">
            <w:pPr>
              <w:pStyle w:val="Heading1"/>
              <w:rPr>
                <w:rFonts w:ascii="Arial" w:hAnsi="Arial" w:cs="Arial"/>
                <w:color w:val="003366"/>
              </w:rPr>
            </w:pPr>
            <w:r w:rsidRPr="003C532A">
              <w:rPr>
                <w:rFonts w:ascii="Arial" w:hAnsi="Arial" w:cs="Arial"/>
                <w:color w:val="003366"/>
              </w:rPr>
              <w:t>Questions</w:t>
            </w:r>
          </w:p>
          <w:p w14:paraId="7ECA17FA" w14:textId="65659B02" w:rsidR="00E14F56" w:rsidRPr="003C532A" w:rsidRDefault="00E14F56" w:rsidP="00E14F56">
            <w:r>
              <w:t xml:space="preserve">Discuss any questions on this Job Aid locally with peers, experts, quality staff, and/or management. </w:t>
            </w:r>
            <w:r w:rsidRPr="00AA034B">
              <w:t xml:space="preserve">Management may route any questions requiring OAR assistance to </w:t>
            </w:r>
            <w:hyperlink r:id="rId36" w:history="1">
              <w:hyperlink r:id="rId37" w:history="1">
                <w:r w:rsidRPr="00165F24">
                  <w:rPr>
                    <w:rStyle w:val="Hyperlink"/>
                  </w:rPr>
                  <w:t>VBAWASOARQUALITYTRN@va.gov</w:t>
                </w:r>
              </w:hyperlink>
            </w:hyperlink>
            <w:r>
              <w:t>.</w:t>
            </w:r>
          </w:p>
        </w:tc>
      </w:tr>
    </w:tbl>
    <w:p w14:paraId="537A37CA" w14:textId="5E117C63" w:rsidR="00B36259" w:rsidRDefault="00B36259" w:rsidP="00B725FD"/>
    <w:p w14:paraId="12BB2B4F" w14:textId="77777777" w:rsidR="00D627CC" w:rsidRPr="00D627CC" w:rsidRDefault="00D627CC" w:rsidP="00D627CC"/>
    <w:p w14:paraId="317930E5" w14:textId="77777777" w:rsidR="00D627CC" w:rsidRPr="00D627CC" w:rsidRDefault="00D627CC" w:rsidP="00D627CC"/>
    <w:p w14:paraId="115587B4" w14:textId="77777777" w:rsidR="00D627CC" w:rsidRPr="00D627CC" w:rsidRDefault="00D627CC" w:rsidP="00D627CC"/>
    <w:p w14:paraId="1943B4F2" w14:textId="00B236A2" w:rsidR="00D627CC" w:rsidRPr="00D627CC" w:rsidRDefault="00D627CC" w:rsidP="00D627CC"/>
    <w:p w14:paraId="5581765D" w14:textId="77777777" w:rsidR="00D627CC" w:rsidRPr="00D627CC" w:rsidRDefault="00D627CC" w:rsidP="00D627CC"/>
    <w:p w14:paraId="62A6AE71" w14:textId="77777777" w:rsidR="00D627CC" w:rsidRPr="00D627CC" w:rsidRDefault="00D627CC" w:rsidP="00D627CC"/>
    <w:p w14:paraId="2F7F0B08" w14:textId="77777777" w:rsidR="00D627CC" w:rsidRPr="00D627CC" w:rsidRDefault="00D627CC" w:rsidP="00D627CC"/>
    <w:p w14:paraId="37D6ED8D" w14:textId="77777777" w:rsidR="00D627CC" w:rsidRPr="00D627CC" w:rsidRDefault="00D627CC" w:rsidP="00D627CC"/>
    <w:p w14:paraId="4B64042D" w14:textId="77777777" w:rsidR="00D627CC" w:rsidRPr="00D627CC" w:rsidRDefault="00D627CC" w:rsidP="00D627CC"/>
    <w:p w14:paraId="570116E6" w14:textId="77777777" w:rsidR="00D627CC" w:rsidRDefault="00D627CC" w:rsidP="00D627CC"/>
    <w:p w14:paraId="5FD86C9D" w14:textId="0D8AADA8" w:rsidR="00D627CC" w:rsidRPr="00D627CC" w:rsidRDefault="00D627CC" w:rsidP="00D627CC">
      <w:pPr>
        <w:jc w:val="center"/>
      </w:pPr>
    </w:p>
    <w:sectPr w:rsidR="00D627CC" w:rsidRPr="00D627CC" w:rsidSect="00D242EA">
      <w:headerReference w:type="default" r:id="rId38"/>
      <w:footerReference w:type="default" r:id="rId39"/>
      <w:pgSz w:w="12240" w:h="15840"/>
      <w:pgMar w:top="22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A20FC" w14:textId="77777777" w:rsidR="00654D53" w:rsidRDefault="00654D53" w:rsidP="00D55604">
      <w:r>
        <w:separator/>
      </w:r>
    </w:p>
  </w:endnote>
  <w:endnote w:type="continuationSeparator" w:id="0">
    <w:p w14:paraId="55CC8F58" w14:textId="77777777" w:rsidR="00654D53" w:rsidRDefault="00654D53" w:rsidP="00D5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86037"/>
      <w:docPartObj>
        <w:docPartGallery w:val="Page Numbers (Bottom of Page)"/>
        <w:docPartUnique/>
      </w:docPartObj>
    </w:sdtPr>
    <w:sdtEndPr/>
    <w:sdtContent>
      <w:sdt>
        <w:sdtPr>
          <w:id w:val="1728636285"/>
          <w:docPartObj>
            <w:docPartGallery w:val="Page Numbers (Top of Page)"/>
            <w:docPartUnique/>
          </w:docPartObj>
        </w:sdtPr>
        <w:sdtEndPr/>
        <w:sdtContent>
          <w:p w14:paraId="76DF85A4" w14:textId="38053EB2" w:rsidR="006E1840" w:rsidRDefault="00F96B3A">
            <w:pPr>
              <w:pStyle w:val="Footer"/>
              <w:jc w:val="center"/>
            </w:pPr>
            <w:r>
              <w:rPr>
                <w:noProof/>
              </w:rPr>
              <mc:AlternateContent>
                <mc:Choice Requires="wps">
                  <w:drawing>
                    <wp:anchor distT="0" distB="0" distL="114300" distR="114300" simplePos="0" relativeHeight="251665408" behindDoc="0" locked="0" layoutInCell="1" allowOverlap="1" wp14:anchorId="70408410" wp14:editId="0054B21C">
                      <wp:simplePos x="0" y="0"/>
                      <wp:positionH relativeFrom="column">
                        <wp:posOffset>-209550</wp:posOffset>
                      </wp:positionH>
                      <wp:positionV relativeFrom="paragraph">
                        <wp:posOffset>182880</wp:posOffset>
                      </wp:positionV>
                      <wp:extent cx="1409700" cy="52006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09700" cy="520065"/>
                              </a:xfrm>
                              <a:prstGeom prst="rect">
                                <a:avLst/>
                              </a:prstGeom>
                              <a:solidFill>
                                <a:schemeClr val="lt1"/>
                              </a:solidFill>
                              <a:ln w="6350">
                                <a:noFill/>
                              </a:ln>
                            </wps:spPr>
                            <wps:txbx>
                              <w:txbxContent>
                                <w:p w14:paraId="2F81B07E" w14:textId="42C8C8DE" w:rsidR="00F96B3A" w:rsidRPr="003C532A" w:rsidRDefault="00F96B3A" w:rsidP="00F96B3A">
                                  <w:pPr>
                                    <w:rPr>
                                      <w:rFonts w:cs="Arial"/>
                                      <w:color w:val="595959" w:themeColor="text1" w:themeTint="A6"/>
                                      <w:szCs w:val="24"/>
                                    </w:rPr>
                                  </w:pPr>
                                  <w:r w:rsidRPr="003C532A">
                                    <w:rPr>
                                      <w:rFonts w:cs="Arial"/>
                                      <w:color w:val="595959" w:themeColor="text1" w:themeTint="A6"/>
                                      <w:szCs w:val="24"/>
                                    </w:rPr>
                                    <w:t>Last Updated:</w:t>
                                  </w:r>
                                </w:p>
                                <w:p w14:paraId="1D5C906A" w14:textId="0460E720" w:rsidR="00F96B3A" w:rsidRPr="003C532A" w:rsidRDefault="00F96B3A" w:rsidP="00F96B3A">
                                  <w:pPr>
                                    <w:rPr>
                                      <w:rFonts w:cs="Arial"/>
                                      <w:color w:val="595959" w:themeColor="text1" w:themeTint="A6"/>
                                      <w:szCs w:val="24"/>
                                    </w:rPr>
                                  </w:pPr>
                                  <w:r>
                                    <w:rPr>
                                      <w:rFonts w:cs="Arial"/>
                                      <w:color w:val="595959" w:themeColor="text1" w:themeTint="A6"/>
                                      <w:szCs w:val="24"/>
                                    </w:rPr>
                                    <w:t>November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08410" id="_x0000_t202" coordsize="21600,21600" o:spt="202" path="m,l,21600r21600,l21600,xe">
                      <v:stroke joinstyle="miter"/>
                      <v:path gradientshapeok="t" o:connecttype="rect"/>
                    </v:shapetype>
                    <v:shape id="Text Box 7" o:spid="_x0000_s1027" type="#_x0000_t202" alt="&quot;&quot;" style="position:absolute;left:0;text-align:left;margin-left:-16.5pt;margin-top:14.4pt;width:111pt;height: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" fillcolor="white [3201]" stroked="f" strokeweight=".5pt">
                      <v:textbox>
                        <w:txbxContent>
                          <w:p w14:paraId="2F81B07E" w14:textId="42C8C8DE" w:rsidR="00F96B3A" w:rsidRPr="003C532A" w:rsidRDefault="00F96B3A" w:rsidP="00F96B3A">
                            <w:pPr>
                              <w:rPr>
                                <w:rFonts w:cs="Arial"/>
                                <w:color w:val="595959" w:themeColor="text1" w:themeTint="A6"/>
                                <w:szCs w:val="24"/>
                              </w:rPr>
                            </w:pPr>
                            <w:r w:rsidRPr="003C532A">
                              <w:rPr>
                                <w:rFonts w:cs="Arial"/>
                                <w:color w:val="595959" w:themeColor="text1" w:themeTint="A6"/>
                                <w:szCs w:val="24"/>
                              </w:rPr>
                              <w:t>Last Updated:</w:t>
                            </w:r>
                          </w:p>
                          <w:p w14:paraId="1D5C906A" w14:textId="0460E720" w:rsidR="00F96B3A" w:rsidRPr="003C532A" w:rsidRDefault="00F96B3A" w:rsidP="00F96B3A">
                            <w:pPr>
                              <w:rPr>
                                <w:rFonts w:cs="Arial"/>
                                <w:color w:val="595959" w:themeColor="text1" w:themeTint="A6"/>
                                <w:szCs w:val="24"/>
                              </w:rPr>
                            </w:pPr>
                            <w:r>
                              <w:rPr>
                                <w:rFonts w:cs="Arial"/>
                                <w:color w:val="595959" w:themeColor="text1" w:themeTint="A6"/>
                                <w:szCs w:val="24"/>
                              </w:rPr>
                              <w:t>November 2024</w:t>
                            </w:r>
                          </w:p>
                        </w:txbxContent>
                      </v:textbox>
                    </v:shape>
                  </w:pict>
                </mc:Fallback>
              </mc:AlternateContent>
            </w:r>
            <w:r w:rsidR="006E1840">
              <w:rPr>
                <w:rFonts w:eastAsiaTheme="minorEastAsia" w:cs="Calibri"/>
                <w:noProof/>
                <w:color w:val="000000"/>
                <w:sz w:val="20"/>
              </w:rPr>
              <mc:AlternateContent>
                <mc:Choice Requires="wps">
                  <w:drawing>
                    <wp:anchor distT="0" distB="0" distL="114300" distR="114300" simplePos="0" relativeHeight="251661312" behindDoc="0" locked="0" layoutInCell="1" allowOverlap="1" wp14:anchorId="0792AF65" wp14:editId="5D5D680C">
                      <wp:simplePos x="0" y="0"/>
                      <wp:positionH relativeFrom="column">
                        <wp:posOffset>3903785</wp:posOffset>
                      </wp:positionH>
                      <wp:positionV relativeFrom="paragraph">
                        <wp:posOffset>61547</wp:posOffset>
                      </wp:positionV>
                      <wp:extent cx="2900045" cy="661182"/>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900045" cy="661182"/>
                              </a:xfrm>
                              <a:prstGeom prst="rect">
                                <a:avLst/>
                              </a:prstGeom>
                              <a:solidFill>
                                <a:schemeClr val="lt1"/>
                              </a:solidFill>
                              <a:ln w="6350">
                                <a:noFill/>
                              </a:ln>
                            </wps:spPr>
                            <wps:txbx>
                              <w:txbxContent>
                                <w:p w14:paraId="738771FD" w14:textId="77777777" w:rsidR="006E1840" w:rsidRDefault="006E1840" w:rsidP="006E1840">
                                  <w:r>
                                    <w:rPr>
                                      <w:noProof/>
                                    </w:rPr>
                                    <w:drawing>
                                      <wp:inline distT="0" distB="0" distL="0" distR="0" wp14:anchorId="2E2CF2D8" wp14:editId="0D6D0CBB">
                                        <wp:extent cx="2726726" cy="564543"/>
                                        <wp:effectExtent l="0" t="0" r="0" b="6985"/>
                                        <wp:docPr id="4" name="Picture 4" descr="U.S. Department of Veterans Affairs logo for the Veterans Benefits Administration Office of Administrativ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U.S. Department of Veterans Affairs logo for the Veterans Benefits Administration Office of Administrative Review"/>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830" cy="5742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2AF65" id="_x0000_s1028" type="#_x0000_t202" style="position:absolute;left:0;text-align:left;margin-left:307.4pt;margin-top:4.85pt;width:228.3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" fillcolor="white [3201]" stroked="f" strokeweight=".5pt">
                      <v:textbox>
                        <w:txbxContent>
                          <w:p w14:paraId="738771FD" w14:textId="77777777" w:rsidR="006E1840" w:rsidRDefault="006E1840" w:rsidP="006E1840">
                            <w:r>
                              <w:rPr>
                                <w:noProof/>
                              </w:rPr>
                              <w:drawing>
                                <wp:inline distT="0" distB="0" distL="0" distR="0" wp14:anchorId="2E2CF2D8" wp14:editId="0D6D0CBB">
                                  <wp:extent cx="2726726" cy="564543"/>
                                  <wp:effectExtent l="0" t="0" r="0" b="6985"/>
                                  <wp:docPr id="4" name="Picture 4" descr="U.S. Department of Veterans Affairs logo for the Veterans Benefits Administration Office of Administrativ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U.S. Department of Veterans Affairs logo for the Veterans Benefits Administration Office of Administrative Revie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3830" cy="574295"/>
                                          </a:xfrm>
                                          <a:prstGeom prst="rect">
                                            <a:avLst/>
                                          </a:prstGeom>
                                          <a:noFill/>
                                          <a:ln>
                                            <a:noFill/>
                                          </a:ln>
                                        </pic:spPr>
                                      </pic:pic>
                                    </a:graphicData>
                                  </a:graphic>
                                </wp:inline>
                              </w:drawing>
                            </w:r>
                          </w:p>
                        </w:txbxContent>
                      </v:textbox>
                    </v:shape>
                  </w:pict>
                </mc:Fallback>
              </mc:AlternateContent>
            </w:r>
            <w:r w:rsidR="006E1840" w:rsidRPr="00263269">
              <w:rPr>
                <w:rFonts w:eastAsiaTheme="minorEastAsia" w:cs="Calibri"/>
                <w:noProof/>
                <w:color w:val="000000"/>
                <w:sz w:val="20"/>
              </w:rPr>
              <mc:AlternateContent>
                <mc:Choice Requires="wps">
                  <w:drawing>
                    <wp:anchor distT="0" distB="0" distL="114300" distR="114300" simplePos="0" relativeHeight="251663360" behindDoc="0" locked="0" layoutInCell="1" allowOverlap="1" wp14:anchorId="41B0C154" wp14:editId="1C3E204A">
                      <wp:simplePos x="0" y="0"/>
                      <wp:positionH relativeFrom="margin">
                        <wp:align>center</wp:align>
                      </wp:positionH>
                      <wp:positionV relativeFrom="bottomMargin">
                        <wp:align>top</wp:align>
                      </wp:positionV>
                      <wp:extent cx="73253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25360"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794BF3F4" id="Straight Connector 3" o:spid="_x0000_s1026" alt="&quot;&quot;" style="position:absolute;z-index:251663360;visibility:visible;mso-wrap-style:square;mso-width-percent:0;mso-wrap-distance-left:9pt;mso-wrap-distance-top:0;mso-wrap-distance-right:9pt;mso-wrap-distance-bottom:0;mso-position-horizontal:center;mso-position-horizontal-relative:margin;mso-position-vertical:top;mso-position-vertical-relative:bottom-margin-area;mso-width-percent:0;mso-width-relative:margin" from="0,0" to="57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" strokecolor="#036">
                      <w10:wrap anchorx="margin" anchory="margin"/>
                    </v:line>
                  </w:pict>
                </mc:Fallback>
              </mc:AlternateContent>
            </w:r>
          </w:p>
          <w:p w14:paraId="3A0EE924" w14:textId="65C7C5D1" w:rsidR="006E1840" w:rsidRDefault="006E184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4FB4668" w14:textId="43268691" w:rsidR="00024EC5" w:rsidRDefault="00024EC5" w:rsidP="0058027C">
    <w:pPr>
      <w:ind w:right="-630"/>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39ABD" w14:textId="77777777" w:rsidR="00654D53" w:rsidRDefault="00654D53" w:rsidP="00D55604">
      <w:r>
        <w:separator/>
      </w:r>
    </w:p>
  </w:footnote>
  <w:footnote w:type="continuationSeparator" w:id="0">
    <w:p w14:paraId="59CB70FA" w14:textId="77777777" w:rsidR="00654D53" w:rsidRDefault="00654D53" w:rsidP="00D5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F6D7E" w14:textId="19DBCEDC" w:rsidR="00D55604" w:rsidRDefault="00806AA7">
    <w:pPr>
      <w:pStyle w:val="Header"/>
    </w:pPr>
    <w:r>
      <w:rPr>
        <w:noProof/>
      </w:rPr>
      <mc:AlternateContent>
        <mc:Choice Requires="wps">
          <w:drawing>
            <wp:anchor distT="0" distB="0" distL="114300" distR="114300" simplePos="0" relativeHeight="251659264" behindDoc="0" locked="0" layoutInCell="1" allowOverlap="1" wp14:anchorId="421D7546" wp14:editId="5A81D285">
              <wp:simplePos x="0" y="0"/>
              <wp:positionH relativeFrom="column">
                <wp:posOffset>-762000</wp:posOffset>
              </wp:positionH>
              <wp:positionV relativeFrom="paragraph">
                <wp:posOffset>-609600</wp:posOffset>
              </wp:positionV>
              <wp:extent cx="7343775" cy="1386205"/>
              <wp:effectExtent l="0" t="0" r="9525" b="4445"/>
              <wp:wrapNone/>
              <wp:docPr id="1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386205"/>
                      </a:xfrm>
                      <a:prstGeom prst="rect">
                        <a:avLst/>
                      </a:prstGeom>
                      <a:noFill/>
                      <a:ln>
                        <a:noFill/>
                      </a:ln>
                    </wps:spPr>
                    <wps:txbx>
                      <w:txbxContent>
                        <w:p w14:paraId="51486D68" w14:textId="77777777" w:rsidR="00D55604" w:rsidRPr="00024EC5" w:rsidRDefault="00D55604" w:rsidP="00024EC5">
                          <w:pPr>
                            <w:rPr>
                              <w:rFonts w:ascii="Calibri"/>
                              <w:b/>
                              <w:color w:val="003366"/>
                              <w:spacing w:val="-1"/>
                              <w:sz w:val="44"/>
                              <w:szCs w:val="44"/>
                            </w:rPr>
                          </w:pPr>
                        </w:p>
                        <w:p w14:paraId="629A14E8" w14:textId="77777777" w:rsidR="006F433E" w:rsidRDefault="006F433E" w:rsidP="006F433E">
                          <w:pPr>
                            <w:ind w:left="360"/>
                            <w:rPr>
                              <w:rFonts w:eastAsia="Calibri" w:cs="Arial"/>
                              <w:b/>
                              <w:color w:val="FFFFFF" w:themeColor="background1"/>
                              <w:sz w:val="44"/>
                              <w:szCs w:val="72"/>
                            </w:rPr>
                          </w:pPr>
                        </w:p>
                        <w:p w14:paraId="4C20F839" w14:textId="77777777" w:rsidR="006F433E" w:rsidRDefault="00F11C72" w:rsidP="006F433E">
                          <w:pPr>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220EDB55" w14:textId="77777777" w:rsidR="002973F1" w:rsidRPr="002973F1" w:rsidRDefault="002973F1" w:rsidP="002973F1">
                          <w:pPr>
                            <w:ind w:left="360"/>
                            <w:rPr>
                              <w:rFonts w:eastAsia="Calibri" w:cs="Arial"/>
                              <w:color w:val="FFFFFF" w:themeColor="background1"/>
                              <w:sz w:val="40"/>
                              <w:szCs w:val="72"/>
                            </w:rPr>
                          </w:pPr>
                          <w:r w:rsidRPr="002973F1">
                            <w:rPr>
                              <w:rFonts w:eastAsia="Calibri" w:cs="Arial"/>
                              <w:color w:val="FFFFFF" w:themeColor="background1"/>
                              <w:sz w:val="40"/>
                              <w:szCs w:val="72"/>
                            </w:rPr>
                            <w:t>Post-Determination Actions for Foreign Claims</w:t>
                          </w:r>
                        </w:p>
                        <w:p w14:paraId="45DBFFF6" w14:textId="4E620962" w:rsidR="00024EC5" w:rsidRPr="00024EC5" w:rsidRDefault="00024EC5" w:rsidP="002973F1">
                          <w:pPr>
                            <w:ind w:left="360"/>
                            <w:rPr>
                              <w:rFonts w:eastAsia="Calibri" w:cs="Arial"/>
                              <w:color w:val="FFFFFF" w:themeColor="background1"/>
                              <w:sz w:val="44"/>
                              <w:szCs w:val="7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1D7546" id="_x0000_t202" coordsize="21600,21600" o:spt="202" path="m,l,21600r21600,l21600,xe">
              <v:stroke joinstyle="miter"/>
              <v:path gradientshapeok="t" o:connecttype="rect"/>
            </v:shapetype>
            <v:shape id="Text Box 6" o:spid="_x0000_s1026" type="#_x0000_t202" alt="&quot;&quot;" style="position:absolute;margin-left:-60pt;margin-top:-48pt;width:578.2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" filled="f" stroked="f">
              <v:textbox inset="0,0,0,0">
                <w:txbxContent>
                  <w:p w14:paraId="51486D68" w14:textId="77777777" w:rsidR="00D55604" w:rsidRPr="00024EC5" w:rsidRDefault="00D55604" w:rsidP="00024EC5">
                    <w:pPr>
                      <w:rPr>
                        <w:rFonts w:ascii="Calibri"/>
                        <w:b/>
                        <w:color w:val="003366"/>
                        <w:spacing w:val="-1"/>
                        <w:sz w:val="44"/>
                        <w:szCs w:val="44"/>
                      </w:rPr>
                    </w:pPr>
                  </w:p>
                  <w:p w14:paraId="629A14E8" w14:textId="77777777" w:rsidR="006F433E" w:rsidRDefault="006F433E" w:rsidP="006F433E">
                    <w:pPr>
                      <w:ind w:left="360"/>
                      <w:rPr>
                        <w:rFonts w:eastAsia="Calibri" w:cs="Arial"/>
                        <w:b/>
                        <w:color w:val="FFFFFF" w:themeColor="background1"/>
                        <w:sz w:val="44"/>
                        <w:szCs w:val="72"/>
                      </w:rPr>
                    </w:pPr>
                  </w:p>
                  <w:p w14:paraId="4C20F839" w14:textId="77777777" w:rsidR="006F433E" w:rsidRDefault="00F11C72" w:rsidP="006F433E">
                    <w:pPr>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220EDB55" w14:textId="77777777" w:rsidR="002973F1" w:rsidRPr="002973F1" w:rsidRDefault="002973F1" w:rsidP="002973F1">
                    <w:pPr>
                      <w:ind w:left="360"/>
                      <w:rPr>
                        <w:rFonts w:eastAsia="Calibri" w:cs="Arial"/>
                        <w:color w:val="FFFFFF" w:themeColor="background1"/>
                        <w:sz w:val="40"/>
                        <w:szCs w:val="72"/>
                      </w:rPr>
                    </w:pPr>
                    <w:r w:rsidRPr="002973F1">
                      <w:rPr>
                        <w:rFonts w:eastAsia="Calibri" w:cs="Arial"/>
                        <w:color w:val="FFFFFF" w:themeColor="background1"/>
                        <w:sz w:val="40"/>
                        <w:szCs w:val="72"/>
                      </w:rPr>
                      <w:t>Post-Determination Actions for Foreign Claims</w:t>
                    </w:r>
                  </w:p>
                  <w:p w14:paraId="45DBFFF6" w14:textId="4E620962" w:rsidR="00024EC5" w:rsidRPr="00024EC5" w:rsidRDefault="00024EC5" w:rsidP="002973F1">
                    <w:pPr>
                      <w:ind w:left="360"/>
                      <w:rPr>
                        <w:rFonts w:eastAsia="Calibri" w:cs="Arial"/>
                        <w:color w:val="FFFFFF" w:themeColor="background1"/>
                        <w:sz w:val="44"/>
                        <w:szCs w:val="72"/>
                      </w:rPr>
                    </w:pPr>
                  </w:p>
                </w:txbxContent>
              </v:textbox>
            </v:shape>
          </w:pict>
        </mc:Fallback>
      </mc:AlternateContent>
    </w:r>
    <w:r w:rsidR="00D242EA">
      <w:rPr>
        <w:noProof/>
      </w:rPr>
      <w:drawing>
        <wp:anchor distT="0" distB="0" distL="114300" distR="114300" simplePos="0" relativeHeight="251658239" behindDoc="0" locked="0" layoutInCell="1" allowOverlap="1" wp14:anchorId="5D95F9E2" wp14:editId="18945C5C">
          <wp:simplePos x="0" y="0"/>
          <wp:positionH relativeFrom="column">
            <wp:posOffset>-914400</wp:posOffset>
          </wp:positionH>
          <wp:positionV relativeFrom="paragraph">
            <wp:posOffset>-447675</wp:posOffset>
          </wp:positionV>
          <wp:extent cx="7863840" cy="1224421"/>
          <wp:effectExtent l="0" t="0" r="3810" b="0"/>
          <wp:wrapNone/>
          <wp:docPr id="19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7">
                    <a:extLst>
                      <a:ext uri="{C183D7F6-B498-43B3-948B-1728B52AA6E4}">
                        <adec:decorative xmlns:adec="http://schemas.microsoft.com/office/drawing/2017/decorative" val="1"/>
                      </a:ext>
                    </a:extLst>
                  </pic:cNvPr>
                  <pic:cNvPicPr>
                    <a:picLocks noChangeAspect="1" noChangeArrowheads="1"/>
                  </pic:cNvPicPr>
                </pic:nvPicPr>
                <pic:blipFill>
                  <a:blip r:embed="rId1">
                    <a:duotone>
                      <a:prstClr val="black"/>
                      <a:srgbClr val="1025EE">
                        <a:tint val="45000"/>
                        <a:satMod val="400000"/>
                      </a:srgbClr>
                    </a:duotone>
                    <a:extLst>
                      <a:ext uri="{BEBA8EAE-BF5A-486C-A8C5-ECC9F3942E4B}">
                        <a14:imgProps xmlns:a14="http://schemas.microsoft.com/office/drawing/2010/main">
                          <a14:imgLayer r:embed="rId2">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63840" cy="1224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93E"/>
    <w:multiLevelType w:val="multilevel"/>
    <w:tmpl w:val="991AF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E0E21"/>
    <w:multiLevelType w:val="multilevel"/>
    <w:tmpl w:val="99722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56837"/>
    <w:multiLevelType w:val="hybridMultilevel"/>
    <w:tmpl w:val="CA221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5707"/>
    <w:multiLevelType w:val="hybridMultilevel"/>
    <w:tmpl w:val="CBA61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6E6DD8"/>
    <w:multiLevelType w:val="hybridMultilevel"/>
    <w:tmpl w:val="7B6E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811C6"/>
    <w:multiLevelType w:val="hybridMultilevel"/>
    <w:tmpl w:val="36BA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4720"/>
    <w:multiLevelType w:val="hybridMultilevel"/>
    <w:tmpl w:val="987663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D3AA9"/>
    <w:multiLevelType w:val="hybridMultilevel"/>
    <w:tmpl w:val="3A6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6236E"/>
    <w:multiLevelType w:val="multilevel"/>
    <w:tmpl w:val="BCDE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7208E5"/>
    <w:multiLevelType w:val="hybridMultilevel"/>
    <w:tmpl w:val="B970B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9359A"/>
    <w:multiLevelType w:val="hybridMultilevel"/>
    <w:tmpl w:val="037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64680"/>
    <w:multiLevelType w:val="hybridMultilevel"/>
    <w:tmpl w:val="AB26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93CD0"/>
    <w:multiLevelType w:val="hybridMultilevel"/>
    <w:tmpl w:val="72AE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B35DF"/>
    <w:multiLevelType w:val="hybridMultilevel"/>
    <w:tmpl w:val="B988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C082D"/>
    <w:multiLevelType w:val="hybridMultilevel"/>
    <w:tmpl w:val="ABE2A4D0"/>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60968"/>
    <w:multiLevelType w:val="hybridMultilevel"/>
    <w:tmpl w:val="1AB05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55628"/>
    <w:multiLevelType w:val="hybridMultilevel"/>
    <w:tmpl w:val="03D6722C"/>
    <w:lvl w:ilvl="0" w:tplc="97FC3B6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A1EE7"/>
    <w:multiLevelType w:val="hybridMultilevel"/>
    <w:tmpl w:val="889C3674"/>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27B21"/>
    <w:multiLevelType w:val="hybridMultilevel"/>
    <w:tmpl w:val="9B44E6F8"/>
    <w:lvl w:ilvl="0" w:tplc="BA82B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190C79"/>
    <w:multiLevelType w:val="hybridMultilevel"/>
    <w:tmpl w:val="6AC8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94A8D"/>
    <w:multiLevelType w:val="hybridMultilevel"/>
    <w:tmpl w:val="0C5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85BDD"/>
    <w:multiLevelType w:val="hybridMultilevel"/>
    <w:tmpl w:val="8F16A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F520E"/>
    <w:multiLevelType w:val="hybridMultilevel"/>
    <w:tmpl w:val="5BB24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933163">
    <w:abstractNumId w:val="20"/>
  </w:num>
  <w:num w:numId="2" w16cid:durableId="913705945">
    <w:abstractNumId w:val="14"/>
  </w:num>
  <w:num w:numId="3" w16cid:durableId="1111510637">
    <w:abstractNumId w:val="9"/>
  </w:num>
  <w:num w:numId="4" w16cid:durableId="1371807758">
    <w:abstractNumId w:val="22"/>
  </w:num>
  <w:num w:numId="5" w16cid:durableId="1192574241">
    <w:abstractNumId w:val="12"/>
  </w:num>
  <w:num w:numId="6" w16cid:durableId="1668705567">
    <w:abstractNumId w:val="11"/>
  </w:num>
  <w:num w:numId="7" w16cid:durableId="807433861">
    <w:abstractNumId w:val="10"/>
  </w:num>
  <w:num w:numId="8" w16cid:durableId="677774286">
    <w:abstractNumId w:val="16"/>
  </w:num>
  <w:num w:numId="9" w16cid:durableId="200485498">
    <w:abstractNumId w:val="17"/>
  </w:num>
  <w:num w:numId="10" w16cid:durableId="1862353444">
    <w:abstractNumId w:val="15"/>
  </w:num>
  <w:num w:numId="11" w16cid:durableId="491608720">
    <w:abstractNumId w:val="13"/>
  </w:num>
  <w:num w:numId="12" w16cid:durableId="1318650316">
    <w:abstractNumId w:val="2"/>
  </w:num>
  <w:num w:numId="13" w16cid:durableId="972098201">
    <w:abstractNumId w:val="6"/>
  </w:num>
  <w:num w:numId="14" w16cid:durableId="650136577">
    <w:abstractNumId w:val="7"/>
  </w:num>
  <w:num w:numId="15" w16cid:durableId="1488399465">
    <w:abstractNumId w:val="5"/>
  </w:num>
  <w:num w:numId="16" w16cid:durableId="282418701">
    <w:abstractNumId w:val="19"/>
  </w:num>
  <w:num w:numId="17" w16cid:durableId="710151032">
    <w:abstractNumId w:val="21"/>
  </w:num>
  <w:num w:numId="18" w16cid:durableId="364446763">
    <w:abstractNumId w:val="3"/>
  </w:num>
  <w:num w:numId="19" w16cid:durableId="882710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2810216">
    <w:abstractNumId w:val="18"/>
  </w:num>
  <w:num w:numId="21" w16cid:durableId="1526868812">
    <w:abstractNumId w:val="4"/>
  </w:num>
  <w:num w:numId="22" w16cid:durableId="572816306">
    <w:abstractNumId w:val="1"/>
  </w:num>
  <w:num w:numId="23" w16cid:durableId="479158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04"/>
    <w:rsid w:val="00024EC5"/>
    <w:rsid w:val="00031306"/>
    <w:rsid w:val="000454DB"/>
    <w:rsid w:val="00045877"/>
    <w:rsid w:val="000606E6"/>
    <w:rsid w:val="00074EC9"/>
    <w:rsid w:val="00092222"/>
    <w:rsid w:val="00097C44"/>
    <w:rsid w:val="000C469B"/>
    <w:rsid w:val="000E46F3"/>
    <w:rsid w:val="000E7B6C"/>
    <w:rsid w:val="000F41EF"/>
    <w:rsid w:val="001035C7"/>
    <w:rsid w:val="0011066E"/>
    <w:rsid w:val="001169B4"/>
    <w:rsid w:val="00122B61"/>
    <w:rsid w:val="00165F24"/>
    <w:rsid w:val="00177E6F"/>
    <w:rsid w:val="0019478A"/>
    <w:rsid w:val="001950F5"/>
    <w:rsid w:val="00197F8B"/>
    <w:rsid w:val="001A1360"/>
    <w:rsid w:val="001B5558"/>
    <w:rsid w:val="001F2E9A"/>
    <w:rsid w:val="002166A7"/>
    <w:rsid w:val="0022568F"/>
    <w:rsid w:val="00227D2C"/>
    <w:rsid w:val="00236F71"/>
    <w:rsid w:val="002455EA"/>
    <w:rsid w:val="00263D07"/>
    <w:rsid w:val="002973F1"/>
    <w:rsid w:val="002D150E"/>
    <w:rsid w:val="002E5634"/>
    <w:rsid w:val="002E6C10"/>
    <w:rsid w:val="00315456"/>
    <w:rsid w:val="00315496"/>
    <w:rsid w:val="00326BF7"/>
    <w:rsid w:val="003352E7"/>
    <w:rsid w:val="00337411"/>
    <w:rsid w:val="0035098D"/>
    <w:rsid w:val="00351FFB"/>
    <w:rsid w:val="003810DC"/>
    <w:rsid w:val="00392FFC"/>
    <w:rsid w:val="003C532A"/>
    <w:rsid w:val="003D1034"/>
    <w:rsid w:val="003D28DB"/>
    <w:rsid w:val="003D4692"/>
    <w:rsid w:val="003D50CB"/>
    <w:rsid w:val="003E7A0A"/>
    <w:rsid w:val="00402251"/>
    <w:rsid w:val="00410147"/>
    <w:rsid w:val="0046178C"/>
    <w:rsid w:val="00476EEE"/>
    <w:rsid w:val="004A404C"/>
    <w:rsid w:val="004A4097"/>
    <w:rsid w:val="004B5808"/>
    <w:rsid w:val="004C3E22"/>
    <w:rsid w:val="004F140D"/>
    <w:rsid w:val="00504E5A"/>
    <w:rsid w:val="00512C88"/>
    <w:rsid w:val="00525170"/>
    <w:rsid w:val="00542B58"/>
    <w:rsid w:val="005540DF"/>
    <w:rsid w:val="00572BD2"/>
    <w:rsid w:val="00572D8C"/>
    <w:rsid w:val="00577504"/>
    <w:rsid w:val="0058027C"/>
    <w:rsid w:val="005858AD"/>
    <w:rsid w:val="00596D3E"/>
    <w:rsid w:val="00630F12"/>
    <w:rsid w:val="00640D80"/>
    <w:rsid w:val="006426B2"/>
    <w:rsid w:val="00654D53"/>
    <w:rsid w:val="00683E8E"/>
    <w:rsid w:val="00685C38"/>
    <w:rsid w:val="00692088"/>
    <w:rsid w:val="006B4816"/>
    <w:rsid w:val="006C388B"/>
    <w:rsid w:val="006C495E"/>
    <w:rsid w:val="006E1840"/>
    <w:rsid w:val="006F433E"/>
    <w:rsid w:val="006F77F4"/>
    <w:rsid w:val="00707DD9"/>
    <w:rsid w:val="007224C9"/>
    <w:rsid w:val="007254E6"/>
    <w:rsid w:val="00725FE1"/>
    <w:rsid w:val="00744162"/>
    <w:rsid w:val="00766DD3"/>
    <w:rsid w:val="00770B7B"/>
    <w:rsid w:val="00774F92"/>
    <w:rsid w:val="00781151"/>
    <w:rsid w:val="007909EE"/>
    <w:rsid w:val="007A16F5"/>
    <w:rsid w:val="007B58E6"/>
    <w:rsid w:val="007F57BB"/>
    <w:rsid w:val="00806AA7"/>
    <w:rsid w:val="00807CA0"/>
    <w:rsid w:val="00811E1B"/>
    <w:rsid w:val="00820230"/>
    <w:rsid w:val="00851AA5"/>
    <w:rsid w:val="008644F0"/>
    <w:rsid w:val="0089136A"/>
    <w:rsid w:val="008920D5"/>
    <w:rsid w:val="008B0344"/>
    <w:rsid w:val="008B2C1A"/>
    <w:rsid w:val="008C200B"/>
    <w:rsid w:val="008C3382"/>
    <w:rsid w:val="009422A5"/>
    <w:rsid w:val="00943F77"/>
    <w:rsid w:val="0095464E"/>
    <w:rsid w:val="00961A6F"/>
    <w:rsid w:val="00965418"/>
    <w:rsid w:val="0097232D"/>
    <w:rsid w:val="0098054D"/>
    <w:rsid w:val="009836B1"/>
    <w:rsid w:val="009A27B5"/>
    <w:rsid w:val="009A55A3"/>
    <w:rsid w:val="009C6109"/>
    <w:rsid w:val="009D36F2"/>
    <w:rsid w:val="009D6D63"/>
    <w:rsid w:val="009E1353"/>
    <w:rsid w:val="009E7BBC"/>
    <w:rsid w:val="009F6593"/>
    <w:rsid w:val="00A331E5"/>
    <w:rsid w:val="00A356C9"/>
    <w:rsid w:val="00A70771"/>
    <w:rsid w:val="00AF61FD"/>
    <w:rsid w:val="00AF6643"/>
    <w:rsid w:val="00AF7D3E"/>
    <w:rsid w:val="00B36259"/>
    <w:rsid w:val="00B7055B"/>
    <w:rsid w:val="00B725FD"/>
    <w:rsid w:val="00B8746C"/>
    <w:rsid w:val="00BA2967"/>
    <w:rsid w:val="00BB4B5D"/>
    <w:rsid w:val="00BD27BB"/>
    <w:rsid w:val="00BD7A0E"/>
    <w:rsid w:val="00C24F60"/>
    <w:rsid w:val="00C53572"/>
    <w:rsid w:val="00C62E7A"/>
    <w:rsid w:val="00C6784B"/>
    <w:rsid w:val="00C95B3F"/>
    <w:rsid w:val="00C9635C"/>
    <w:rsid w:val="00D06013"/>
    <w:rsid w:val="00D242EA"/>
    <w:rsid w:val="00D305BE"/>
    <w:rsid w:val="00D512C9"/>
    <w:rsid w:val="00D524D0"/>
    <w:rsid w:val="00D55604"/>
    <w:rsid w:val="00D627CC"/>
    <w:rsid w:val="00D63CBD"/>
    <w:rsid w:val="00D75F76"/>
    <w:rsid w:val="00D84C44"/>
    <w:rsid w:val="00DC131C"/>
    <w:rsid w:val="00DC73F7"/>
    <w:rsid w:val="00DD5C5F"/>
    <w:rsid w:val="00DE1514"/>
    <w:rsid w:val="00E03453"/>
    <w:rsid w:val="00E06007"/>
    <w:rsid w:val="00E14CC5"/>
    <w:rsid w:val="00E14F56"/>
    <w:rsid w:val="00E278CC"/>
    <w:rsid w:val="00E47184"/>
    <w:rsid w:val="00EA188E"/>
    <w:rsid w:val="00EB69AB"/>
    <w:rsid w:val="00ED1127"/>
    <w:rsid w:val="00EE7B26"/>
    <w:rsid w:val="00EF38C5"/>
    <w:rsid w:val="00EF392F"/>
    <w:rsid w:val="00EF3AD6"/>
    <w:rsid w:val="00EF3F99"/>
    <w:rsid w:val="00F11C72"/>
    <w:rsid w:val="00F27739"/>
    <w:rsid w:val="00F374D6"/>
    <w:rsid w:val="00F5652D"/>
    <w:rsid w:val="00F77D63"/>
    <w:rsid w:val="00F96B3A"/>
    <w:rsid w:val="00FA6BB3"/>
    <w:rsid w:val="00FC0174"/>
    <w:rsid w:val="00FD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AD496B9"/>
  <w15:chartTrackingRefBased/>
  <w15:docId w15:val="{3FAC49DE-8426-4647-98CB-93B84405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6720"/>
    <w:pPr>
      <w:widowControl w:val="0"/>
      <w:spacing w:after="0" w:line="240" w:lineRule="auto"/>
    </w:pPr>
    <w:rPr>
      <w:rFonts w:ascii="Arial" w:hAnsi="Arial"/>
      <w:sz w:val="24"/>
    </w:rPr>
  </w:style>
  <w:style w:type="paragraph" w:styleId="Heading1">
    <w:name w:val="heading 1"/>
    <w:basedOn w:val="Normal"/>
    <w:next w:val="Normal"/>
    <w:link w:val="Heading1Char"/>
    <w:uiPriority w:val="9"/>
    <w:qFormat/>
    <w:rsid w:val="00D84C44"/>
    <w:pPr>
      <w:keepNext/>
      <w:keepLines/>
      <w:widowControl/>
      <w:spacing w:before="12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F433E"/>
    <w:pPr>
      <w:keepNext/>
      <w:keepLines/>
      <w:widowControl/>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664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04"/>
    <w:pPr>
      <w:tabs>
        <w:tab w:val="center" w:pos="4680"/>
        <w:tab w:val="right" w:pos="9360"/>
      </w:tabs>
    </w:pPr>
  </w:style>
  <w:style w:type="character" w:customStyle="1" w:styleId="HeaderChar">
    <w:name w:val="Header Char"/>
    <w:basedOn w:val="DefaultParagraphFont"/>
    <w:link w:val="Header"/>
    <w:uiPriority w:val="99"/>
    <w:rsid w:val="00D55604"/>
  </w:style>
  <w:style w:type="paragraph" w:styleId="Footer">
    <w:name w:val="footer"/>
    <w:basedOn w:val="Normal"/>
    <w:link w:val="FooterChar"/>
    <w:uiPriority w:val="99"/>
    <w:unhideWhenUsed/>
    <w:rsid w:val="00D55604"/>
    <w:pPr>
      <w:tabs>
        <w:tab w:val="center" w:pos="4680"/>
        <w:tab w:val="right" w:pos="9360"/>
      </w:tabs>
    </w:pPr>
  </w:style>
  <w:style w:type="character" w:customStyle="1" w:styleId="FooterChar">
    <w:name w:val="Footer Char"/>
    <w:basedOn w:val="DefaultParagraphFont"/>
    <w:link w:val="Footer"/>
    <w:uiPriority w:val="99"/>
    <w:rsid w:val="00D55604"/>
  </w:style>
  <w:style w:type="paragraph" w:customStyle="1" w:styleId="TableParagraph">
    <w:name w:val="Table Paragraph"/>
    <w:basedOn w:val="Normal"/>
    <w:uiPriority w:val="1"/>
    <w:qFormat/>
    <w:rsid w:val="00D55604"/>
  </w:style>
  <w:style w:type="paragraph" w:styleId="BalloonText">
    <w:name w:val="Balloon Text"/>
    <w:basedOn w:val="Normal"/>
    <w:link w:val="BalloonTextChar"/>
    <w:uiPriority w:val="99"/>
    <w:semiHidden/>
    <w:unhideWhenUsed/>
    <w:rsid w:val="009D6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D63"/>
    <w:rPr>
      <w:rFonts w:ascii="Segoe UI" w:hAnsi="Segoe UI" w:cs="Segoe UI"/>
      <w:sz w:val="18"/>
      <w:szCs w:val="18"/>
    </w:rPr>
  </w:style>
  <w:style w:type="paragraph" w:styleId="NoSpacing">
    <w:name w:val="No Spacing"/>
    <w:uiPriority w:val="1"/>
    <w:qFormat/>
    <w:rsid w:val="00FD6720"/>
    <w:pPr>
      <w:spacing w:after="0" w:line="240" w:lineRule="auto"/>
    </w:pPr>
    <w:rPr>
      <w:rFonts w:ascii="Arial" w:hAnsi="Arial"/>
      <w:sz w:val="24"/>
    </w:rPr>
  </w:style>
  <w:style w:type="paragraph" w:styleId="Title">
    <w:name w:val="Title"/>
    <w:basedOn w:val="Normal"/>
    <w:next w:val="Normal"/>
    <w:link w:val="TitleChar"/>
    <w:uiPriority w:val="10"/>
    <w:qFormat/>
    <w:rsid w:val="00024E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84C4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F433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F433E"/>
    <w:pPr>
      <w:widowControl/>
      <w:spacing w:after="200" w:line="276" w:lineRule="auto"/>
      <w:ind w:left="720"/>
      <w:contextualSpacing/>
    </w:pPr>
  </w:style>
  <w:style w:type="table" w:styleId="TableGrid">
    <w:name w:val="Table Grid"/>
    <w:basedOn w:val="TableNormal"/>
    <w:uiPriority w:val="59"/>
    <w:rsid w:val="006F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8DB"/>
    <w:rPr>
      <w:b/>
      <w:bCs/>
    </w:rPr>
  </w:style>
  <w:style w:type="character" w:styleId="Emphasis">
    <w:name w:val="Emphasis"/>
    <w:basedOn w:val="DefaultParagraphFont"/>
    <w:uiPriority w:val="20"/>
    <w:qFormat/>
    <w:rsid w:val="0046178C"/>
    <w:rPr>
      <w:i/>
      <w:iCs/>
    </w:rPr>
  </w:style>
  <w:style w:type="character" w:styleId="Hyperlink">
    <w:name w:val="Hyperlink"/>
    <w:basedOn w:val="DefaultParagraphFont"/>
    <w:uiPriority w:val="99"/>
    <w:unhideWhenUsed/>
    <w:rsid w:val="0046178C"/>
    <w:rPr>
      <w:color w:val="0000FF"/>
      <w:u w:val="single"/>
    </w:rPr>
  </w:style>
  <w:style w:type="character" w:styleId="UnresolvedMention">
    <w:name w:val="Unresolved Mention"/>
    <w:basedOn w:val="DefaultParagraphFont"/>
    <w:uiPriority w:val="99"/>
    <w:semiHidden/>
    <w:unhideWhenUsed/>
    <w:rsid w:val="00402251"/>
    <w:rPr>
      <w:color w:val="605E5C"/>
      <w:shd w:val="clear" w:color="auto" w:fill="E1DFDD"/>
    </w:rPr>
  </w:style>
  <w:style w:type="character" w:customStyle="1" w:styleId="Heading3Char">
    <w:name w:val="Heading 3 Char"/>
    <w:basedOn w:val="DefaultParagraphFont"/>
    <w:link w:val="Heading3"/>
    <w:uiPriority w:val="9"/>
    <w:rsid w:val="00AF6643"/>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basedOn w:val="DefaultParagraphFont"/>
    <w:link w:val="ListParagraph"/>
    <w:uiPriority w:val="34"/>
    <w:rsid w:val="00E14F56"/>
    <w:rPr>
      <w:rFonts w:ascii="Arial" w:hAnsi="Arial"/>
      <w:sz w:val="24"/>
    </w:rPr>
  </w:style>
  <w:style w:type="character" w:styleId="FollowedHyperlink">
    <w:name w:val="FollowedHyperlink"/>
    <w:basedOn w:val="DefaultParagraphFont"/>
    <w:uiPriority w:val="99"/>
    <w:semiHidden/>
    <w:unhideWhenUsed/>
    <w:rsid w:val="00E03453"/>
    <w:rPr>
      <w:color w:val="954F72" w:themeColor="followedHyperlink"/>
      <w:u w:val="single"/>
    </w:rPr>
  </w:style>
  <w:style w:type="paragraph" w:styleId="BlockText">
    <w:name w:val="Block Text"/>
    <w:basedOn w:val="Normal"/>
    <w:uiPriority w:val="99"/>
    <w:semiHidden/>
    <w:unhideWhenUsed/>
    <w:rsid w:val="00D305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3107">
      <w:bodyDiv w:val="1"/>
      <w:marLeft w:val="0"/>
      <w:marRight w:val="0"/>
      <w:marTop w:val="0"/>
      <w:marBottom w:val="0"/>
      <w:divBdr>
        <w:top w:val="none" w:sz="0" w:space="0" w:color="auto"/>
        <w:left w:val="none" w:sz="0" w:space="0" w:color="auto"/>
        <w:bottom w:val="none" w:sz="0" w:space="0" w:color="auto"/>
        <w:right w:val="none" w:sz="0" w:space="0" w:color="auto"/>
      </w:divBdr>
      <w:divsChild>
        <w:div w:id="132064848">
          <w:marLeft w:val="0"/>
          <w:marRight w:val="0"/>
          <w:marTop w:val="0"/>
          <w:marBottom w:val="0"/>
          <w:divBdr>
            <w:top w:val="none" w:sz="0" w:space="0" w:color="auto"/>
            <w:left w:val="none" w:sz="0" w:space="0" w:color="auto"/>
            <w:bottom w:val="none" w:sz="0" w:space="0" w:color="auto"/>
            <w:right w:val="none" w:sz="0" w:space="0" w:color="auto"/>
          </w:divBdr>
        </w:div>
        <w:div w:id="1758476268">
          <w:marLeft w:val="0"/>
          <w:marRight w:val="0"/>
          <w:marTop w:val="0"/>
          <w:marBottom w:val="0"/>
          <w:divBdr>
            <w:top w:val="none" w:sz="0" w:space="0" w:color="auto"/>
            <w:left w:val="none" w:sz="0" w:space="0" w:color="auto"/>
            <w:bottom w:val="none" w:sz="0" w:space="0" w:color="auto"/>
            <w:right w:val="none" w:sz="0" w:space="0" w:color="auto"/>
          </w:divBdr>
        </w:div>
        <w:div w:id="1760101729">
          <w:marLeft w:val="0"/>
          <w:marRight w:val="0"/>
          <w:marTop w:val="0"/>
          <w:marBottom w:val="0"/>
          <w:divBdr>
            <w:top w:val="none" w:sz="0" w:space="0" w:color="auto"/>
            <w:left w:val="none" w:sz="0" w:space="0" w:color="auto"/>
            <w:bottom w:val="none" w:sz="0" w:space="0" w:color="auto"/>
            <w:right w:val="none" w:sz="0" w:space="0" w:color="auto"/>
          </w:divBdr>
        </w:div>
        <w:div w:id="1744796643">
          <w:marLeft w:val="0"/>
          <w:marRight w:val="0"/>
          <w:marTop w:val="0"/>
          <w:marBottom w:val="0"/>
          <w:divBdr>
            <w:top w:val="none" w:sz="0" w:space="0" w:color="auto"/>
            <w:left w:val="none" w:sz="0" w:space="0" w:color="auto"/>
            <w:bottom w:val="none" w:sz="0" w:space="0" w:color="auto"/>
            <w:right w:val="none" w:sz="0" w:space="0" w:color="auto"/>
          </w:divBdr>
        </w:div>
        <w:div w:id="1611009829">
          <w:marLeft w:val="0"/>
          <w:marRight w:val="0"/>
          <w:marTop w:val="0"/>
          <w:marBottom w:val="0"/>
          <w:divBdr>
            <w:top w:val="none" w:sz="0" w:space="0" w:color="auto"/>
            <w:left w:val="none" w:sz="0" w:space="0" w:color="auto"/>
            <w:bottom w:val="none" w:sz="0" w:space="0" w:color="auto"/>
            <w:right w:val="none" w:sz="0" w:space="0" w:color="auto"/>
          </w:divBdr>
        </w:div>
      </w:divsChild>
    </w:div>
    <w:div w:id="955453642">
      <w:bodyDiv w:val="1"/>
      <w:marLeft w:val="0"/>
      <w:marRight w:val="0"/>
      <w:marTop w:val="0"/>
      <w:marBottom w:val="0"/>
      <w:divBdr>
        <w:top w:val="none" w:sz="0" w:space="0" w:color="auto"/>
        <w:left w:val="none" w:sz="0" w:space="0" w:color="auto"/>
        <w:bottom w:val="none" w:sz="0" w:space="0" w:color="auto"/>
        <w:right w:val="none" w:sz="0" w:space="0" w:color="auto"/>
      </w:divBdr>
    </w:div>
    <w:div w:id="1519661819">
      <w:bodyDiv w:val="1"/>
      <w:marLeft w:val="0"/>
      <w:marRight w:val="0"/>
      <w:marTop w:val="0"/>
      <w:marBottom w:val="0"/>
      <w:divBdr>
        <w:top w:val="none" w:sz="0" w:space="0" w:color="auto"/>
        <w:left w:val="none" w:sz="0" w:space="0" w:color="auto"/>
        <w:bottom w:val="none" w:sz="0" w:space="0" w:color="auto"/>
        <w:right w:val="none" w:sz="0" w:space="0" w:color="auto"/>
      </w:divBdr>
      <w:divsChild>
        <w:div w:id="1009134711">
          <w:marLeft w:val="0"/>
          <w:marRight w:val="0"/>
          <w:marTop w:val="0"/>
          <w:marBottom w:val="0"/>
          <w:divBdr>
            <w:top w:val="none" w:sz="0" w:space="0" w:color="auto"/>
            <w:left w:val="none" w:sz="0" w:space="0" w:color="auto"/>
            <w:bottom w:val="none" w:sz="0" w:space="0" w:color="auto"/>
            <w:right w:val="none" w:sz="0" w:space="0" w:color="auto"/>
          </w:divBdr>
        </w:div>
        <w:div w:id="2002853201">
          <w:marLeft w:val="0"/>
          <w:marRight w:val="0"/>
          <w:marTop w:val="0"/>
          <w:marBottom w:val="0"/>
          <w:divBdr>
            <w:top w:val="none" w:sz="0" w:space="0" w:color="auto"/>
            <w:left w:val="none" w:sz="0" w:space="0" w:color="auto"/>
            <w:bottom w:val="none" w:sz="0" w:space="0" w:color="auto"/>
            <w:right w:val="none" w:sz="0" w:space="0" w:color="auto"/>
          </w:divBdr>
        </w:div>
        <w:div w:id="1131249631">
          <w:marLeft w:val="0"/>
          <w:marRight w:val="0"/>
          <w:marTop w:val="0"/>
          <w:marBottom w:val="0"/>
          <w:divBdr>
            <w:top w:val="none" w:sz="0" w:space="0" w:color="auto"/>
            <w:left w:val="none" w:sz="0" w:space="0" w:color="auto"/>
            <w:bottom w:val="none" w:sz="0" w:space="0" w:color="auto"/>
            <w:right w:val="none" w:sz="0" w:space="0" w:color="auto"/>
          </w:divBdr>
        </w:div>
        <w:div w:id="811484173">
          <w:marLeft w:val="0"/>
          <w:marRight w:val="0"/>
          <w:marTop w:val="0"/>
          <w:marBottom w:val="0"/>
          <w:divBdr>
            <w:top w:val="none" w:sz="0" w:space="0" w:color="auto"/>
            <w:left w:val="none" w:sz="0" w:space="0" w:color="auto"/>
            <w:bottom w:val="none" w:sz="0" w:space="0" w:color="auto"/>
            <w:right w:val="none" w:sz="0" w:space="0" w:color="auto"/>
          </w:divBdr>
        </w:div>
        <w:div w:id="1382707000">
          <w:marLeft w:val="0"/>
          <w:marRight w:val="0"/>
          <w:marTop w:val="0"/>
          <w:marBottom w:val="0"/>
          <w:divBdr>
            <w:top w:val="none" w:sz="0" w:space="0" w:color="auto"/>
            <w:left w:val="none" w:sz="0" w:space="0" w:color="auto"/>
            <w:bottom w:val="none" w:sz="0" w:space="0" w:color="auto"/>
            <w:right w:val="none" w:sz="0" w:space="0" w:color="auto"/>
          </w:divBdr>
        </w:div>
      </w:divsChild>
    </w:div>
    <w:div w:id="1543983546">
      <w:bodyDiv w:val="1"/>
      <w:marLeft w:val="0"/>
      <w:marRight w:val="0"/>
      <w:marTop w:val="0"/>
      <w:marBottom w:val="0"/>
      <w:divBdr>
        <w:top w:val="none" w:sz="0" w:space="0" w:color="auto"/>
        <w:left w:val="none" w:sz="0" w:space="0" w:color="auto"/>
        <w:bottom w:val="none" w:sz="0" w:space="0" w:color="auto"/>
        <w:right w:val="none" w:sz="0" w:space="0" w:color="auto"/>
      </w:divBdr>
      <w:divsChild>
        <w:div w:id="525096590">
          <w:marLeft w:val="0"/>
          <w:marRight w:val="0"/>
          <w:marTop w:val="0"/>
          <w:marBottom w:val="0"/>
          <w:divBdr>
            <w:top w:val="none" w:sz="0" w:space="0" w:color="auto"/>
            <w:left w:val="none" w:sz="0" w:space="0" w:color="auto"/>
            <w:bottom w:val="none" w:sz="0" w:space="0" w:color="auto"/>
            <w:right w:val="none" w:sz="0" w:space="0" w:color="auto"/>
          </w:divBdr>
        </w:div>
        <w:div w:id="739015527">
          <w:marLeft w:val="0"/>
          <w:marRight w:val="0"/>
          <w:marTop w:val="0"/>
          <w:marBottom w:val="0"/>
          <w:divBdr>
            <w:top w:val="none" w:sz="0" w:space="0" w:color="auto"/>
            <w:left w:val="none" w:sz="0" w:space="0" w:color="auto"/>
            <w:bottom w:val="none" w:sz="0" w:space="0" w:color="auto"/>
            <w:right w:val="none" w:sz="0" w:space="0" w:color="auto"/>
          </w:divBdr>
        </w:div>
      </w:divsChild>
    </w:div>
    <w:div w:id="2080705853">
      <w:bodyDiv w:val="1"/>
      <w:marLeft w:val="0"/>
      <w:marRight w:val="0"/>
      <w:marTop w:val="0"/>
      <w:marBottom w:val="0"/>
      <w:divBdr>
        <w:top w:val="none" w:sz="0" w:space="0" w:color="auto"/>
        <w:left w:val="none" w:sz="0" w:space="0" w:color="auto"/>
        <w:bottom w:val="none" w:sz="0" w:space="0" w:color="auto"/>
        <w:right w:val="none" w:sz="0" w:space="0" w:color="auto"/>
      </w:divBdr>
      <w:divsChild>
        <w:div w:id="1878657263">
          <w:marLeft w:val="0"/>
          <w:marRight w:val="0"/>
          <w:marTop w:val="0"/>
          <w:marBottom w:val="0"/>
          <w:divBdr>
            <w:top w:val="none" w:sz="0" w:space="0" w:color="auto"/>
            <w:left w:val="none" w:sz="0" w:space="0" w:color="auto"/>
            <w:bottom w:val="none" w:sz="0" w:space="0" w:color="auto"/>
            <w:right w:val="none" w:sz="0" w:space="0" w:color="auto"/>
          </w:divBdr>
        </w:div>
        <w:div w:id="1346325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hyperlink" Target="https://vaww.vrm.km.va.gov/system/templates/selfservice/va_kanew/help/agent/locale/en-US/portal/554400000001034/content/554400000177942/M21-1-Part-X-Subpart-i-Chapter-3-Section-A-Jurisdiction-for-Special-Act-and-Foreign-Residency-Claims" TargetMode="External"/><Relationship Id="rId26" Type="http://schemas.openxmlformats.org/officeDocument/2006/relationships/hyperlink" Target="https://vbaw.vba.va.gov/bl/20/cio/20s5/forms/VBA-21-674-ARE.pdf" TargetMode="External"/><Relationship Id="rId39" Type="http://schemas.openxmlformats.org/officeDocument/2006/relationships/footer" Target="footer1.xml"/><Relationship Id="rId21" Type="http://schemas.openxmlformats.org/officeDocument/2006/relationships/image" Target="media/image8.svg"/><Relationship Id="rId34" Type="http://schemas.openxmlformats.org/officeDocument/2006/relationships/image" Target="media/image1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ww.vrm.km.va.gov/system/templates/selfservice/va_kanew/help/agent/locale/en-US/portal/554400000001034/content/554400000176624/M21-1-Part-VII-Subpart-i-Chapter-3-Section-B-Biological-Children-Adopted-Children-and-Stepchildren" TargetMode="External"/><Relationship Id="rId20" Type="http://schemas.openxmlformats.org/officeDocument/2006/relationships/image" Target="media/image7.png"/><Relationship Id="rId29" Type="http://schemas.openxmlformats.org/officeDocument/2006/relationships/hyperlink" Target="https://www.ecfr.gov/current/title-38/section-3.16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law.cornell.edu/uscode/text/38/part-III/chapter-33" TargetMode="External"/><Relationship Id="rId32" Type="http://schemas.openxmlformats.org/officeDocument/2006/relationships/image" Target="media/image12.svg"/><Relationship Id="rId37" Type="http://schemas.openxmlformats.org/officeDocument/2006/relationships/hyperlink" Target="mailto:VBAWASOARQUALITYTRN@va.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aww.vrm.km.va.gov/system/templates/selfservice/va_kanew/help/agent/locale/en-US/portal/554400000001034/content/554400000174868/M21-1-Part-II-Subpart-ii-Chapter-3-Claims-Jurisdiction-and-Transfer" TargetMode="External"/><Relationship Id="rId23" Type="http://schemas.openxmlformats.org/officeDocument/2006/relationships/hyperlink" Target="https://www.law.cornell.edu/uscode/text/38/part-III/chapter-31" TargetMode="External"/><Relationship Id="rId28" Type="http://schemas.openxmlformats.org/officeDocument/2006/relationships/image" Target="media/image10.svg"/><Relationship Id="rId36" Type="http://schemas.openxmlformats.org/officeDocument/2006/relationships/hyperlink" Target="mailto:VBAWASOARQUALITYTRN@va.gov" TargetMode="External"/><Relationship Id="rId10" Type="http://schemas.openxmlformats.org/officeDocument/2006/relationships/image" Target="media/image3.png"/><Relationship Id="rId19" Type="http://schemas.openxmlformats.org/officeDocument/2006/relationships/hyperlink" Target="https://vaww.vrm.km.va.gov/system/templates/selfservice/va_kanew/help/agent/locale/en-US/portal/554400000001034/content/554400000177943/M21-1-Part-X-Subpart-i-Chapter-3-Section-B-Adjudication-Procedures-for-Foreign-Claims%3FarticleViewContext=article_view_related_articl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ecfr.gov/current/title-38/chapter-I/part-3/subpart-A/subject-group-ECFR63da83ba671b92b/section-3.108" TargetMode="External"/><Relationship Id="rId22" Type="http://schemas.openxmlformats.org/officeDocument/2006/relationships/hyperlink" Target="https://www.law.cornell.edu/uscode/text/38/part-III/chapter-30" TargetMode="External"/><Relationship Id="rId27" Type="http://schemas.openxmlformats.org/officeDocument/2006/relationships/image" Target="media/image9.png"/><Relationship Id="rId30" Type="http://schemas.openxmlformats.org/officeDocument/2006/relationships/hyperlink" Target="https://www.ecfr.gov/current/title-38/section-3.155" TargetMode="External"/><Relationship Id="rId35" Type="http://schemas.openxmlformats.org/officeDocument/2006/relationships/image" Target="media/image14.sv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vaww.vrm.km.va.gov/system/templates/selfservice/va_kanew/help/agent/locale/en-US/portal/554400000001034/content/554400000176630/M21-1-Part-VII-Subpart-ii-Chapter-1-Section-A-Benefit-Entitlement-for-School-Children" TargetMode="External"/><Relationship Id="rId25" Type="http://schemas.openxmlformats.org/officeDocument/2006/relationships/hyperlink" Target="https://www.law.cornell.edu/uscode/text/38/part-III/chapter-35" TargetMode="External"/><Relationship Id="rId33" Type="http://schemas.openxmlformats.org/officeDocument/2006/relationships/hyperlink" Target="http://vbacoweba5.vba.va.gov/bl/21/Calendar/cal_Search.asp?SearchBy=2&amp;SearchYear=2021&amp;SearchMonth=8&amp;cmdSearch=Search"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60.pn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9747-0978-4FB0-8768-C61BE68EF65F}">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contentBits="0" removed="0"/>
</clbl:labelList>
</file>

<file path=docProps/app.xml><?xml version="1.0" encoding="utf-8"?>
<Properties xmlns="http://schemas.openxmlformats.org/officeDocument/2006/extended-properties" xmlns:vt="http://schemas.openxmlformats.org/officeDocument/2006/docPropsVTypes">
  <Template>Normal</Template>
  <TotalTime>1398</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Post-Determination Actions for Foreign Claims Tip Sheet</vt:lpstr>
    </vt:vector>
  </TitlesOfParts>
  <Company>Veterans Benefits Administration</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Post-Determination Actions for Foreign Claims Tip Sheet</dc:title>
  <dc:subject/>
  <dc:creator>Department of Veterans Affairs, Veterans Benefits Administration, Office of Administrative Review, STAFF</dc:creator>
  <cp:keywords/>
  <dc:description/>
  <cp:lastModifiedBy>Kathy Poole</cp:lastModifiedBy>
  <cp:revision>43</cp:revision>
  <dcterms:created xsi:type="dcterms:W3CDTF">2024-11-04T21:45:00Z</dcterms:created>
  <dcterms:modified xsi:type="dcterms:W3CDTF">2024-12-18T15:18:00Z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