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1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8518"/>
      </w:tblGrid>
      <w:tr w:rsidR="00820230" w14:paraId="500D6123" w14:textId="77777777" w:rsidTr="003C532A">
        <w:trPr>
          <w:trHeight w:val="20"/>
        </w:trPr>
        <w:tc>
          <w:tcPr>
            <w:tcW w:w="1260" w:type="dxa"/>
            <w:vAlign w:val="center"/>
          </w:tcPr>
          <w:p w14:paraId="1BDB09E5" w14:textId="77777777" w:rsidR="009D36F2" w:rsidRDefault="00E14CC5" w:rsidP="001B55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CBB4EE" wp14:editId="0DB279B6">
                  <wp:extent cx="667910" cy="667910"/>
                  <wp:effectExtent l="0" t="0" r="0" b="0"/>
                  <wp:docPr id="206" name="Graphic 206" descr="G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Gears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34" cy="669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</w:tcPr>
          <w:p w14:paraId="3D175475" w14:textId="77777777" w:rsidR="009D36F2" w:rsidRPr="001B5558" w:rsidRDefault="009D36F2" w:rsidP="009D36F2">
            <w:pPr>
              <w:pStyle w:val="Heading1"/>
              <w:rPr>
                <w:rFonts w:ascii="Arial" w:hAnsi="Arial" w:cs="Arial"/>
                <w:color w:val="003366"/>
              </w:rPr>
            </w:pPr>
            <w:r w:rsidRPr="001B5558">
              <w:rPr>
                <w:rFonts w:ascii="Arial" w:hAnsi="Arial" w:cs="Arial"/>
                <w:color w:val="003366"/>
              </w:rPr>
              <w:t>Purpose</w:t>
            </w:r>
          </w:p>
          <w:p w14:paraId="53B13364" w14:textId="6E900E2D" w:rsidR="009D36F2" w:rsidRPr="003D1034" w:rsidRDefault="009E55ED" w:rsidP="00FD6720">
            <w:pPr>
              <w:pStyle w:val="NoSpacing"/>
            </w:pPr>
            <w:r w:rsidRPr="009E55ED">
              <w:rPr>
                <w:rFonts w:cs="Arial"/>
              </w:rPr>
              <w:t xml:space="preserve">This Tip Sheet provides guidance on ordering and determining examination sufficiency for foreign cases. </w:t>
            </w:r>
          </w:p>
        </w:tc>
      </w:tr>
      <w:tr w:rsidR="00820230" w14:paraId="058CA3DC" w14:textId="77777777" w:rsidTr="003C532A">
        <w:trPr>
          <w:trHeight w:val="20"/>
        </w:trPr>
        <w:tc>
          <w:tcPr>
            <w:tcW w:w="1260" w:type="dxa"/>
            <w:vAlign w:val="center"/>
          </w:tcPr>
          <w:p w14:paraId="2C546571" w14:textId="77777777" w:rsidR="009D36F2" w:rsidRPr="00315456" w:rsidRDefault="003D1034" w:rsidP="003D1034">
            <w:pPr>
              <w:jc w:val="center"/>
              <w:rPr>
                <w:color w:val="003366"/>
              </w:rPr>
            </w:pPr>
            <w:r>
              <w:rPr>
                <w:noProof/>
                <w:color w:val="003366"/>
              </w:rPr>
              <w:drawing>
                <wp:inline distT="0" distB="0" distL="0" distR="0" wp14:anchorId="1806DD37" wp14:editId="297265E3">
                  <wp:extent cx="675860" cy="675860"/>
                  <wp:effectExtent l="0" t="0" r="0" b="0"/>
                  <wp:docPr id="202" name="Graphic 202" descr="Me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Meeting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172" cy="677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</w:tcPr>
          <w:p w14:paraId="3CC45ED7" w14:textId="77777777" w:rsidR="009D36F2" w:rsidRDefault="003D1034" w:rsidP="001B5558">
            <w:pPr>
              <w:pStyle w:val="Heading1"/>
              <w:rPr>
                <w:rFonts w:ascii="Arial" w:hAnsi="Arial" w:cs="Arial"/>
                <w:color w:val="003366"/>
              </w:rPr>
            </w:pPr>
            <w:r>
              <w:rPr>
                <w:rFonts w:ascii="Arial" w:hAnsi="Arial" w:cs="Arial"/>
                <w:color w:val="003366"/>
              </w:rPr>
              <w:t>Audience</w:t>
            </w:r>
          </w:p>
          <w:p w14:paraId="56DD2334" w14:textId="4DA83C91" w:rsidR="009E55ED" w:rsidRPr="009E55ED" w:rsidRDefault="009E55ED" w:rsidP="009E55ED">
            <w:r w:rsidRPr="009E55ED">
              <w:t>Veterans Service Representatives (VSR), Rating Veterans Service Representatives (RVSR), and Decision Review Officers (DRO).</w:t>
            </w:r>
          </w:p>
          <w:p w14:paraId="7DE6425B" w14:textId="5AD31316" w:rsidR="003D1034" w:rsidRDefault="003D1034" w:rsidP="009D36F2"/>
        </w:tc>
      </w:tr>
      <w:tr w:rsidR="00820230" w14:paraId="70E56AF2" w14:textId="77777777" w:rsidTr="003C532A">
        <w:trPr>
          <w:trHeight w:val="20"/>
        </w:trPr>
        <w:tc>
          <w:tcPr>
            <w:tcW w:w="1260" w:type="dxa"/>
            <w:vAlign w:val="center"/>
          </w:tcPr>
          <w:p w14:paraId="7F76D9B4" w14:textId="77777777" w:rsidR="003D1034" w:rsidRPr="00315456" w:rsidRDefault="00E14CC5" w:rsidP="003D1034">
            <w:pPr>
              <w:jc w:val="center"/>
              <w:rPr>
                <w:color w:val="003366"/>
              </w:rPr>
            </w:pPr>
            <w:r>
              <w:rPr>
                <w:noProof/>
                <w:color w:val="003366"/>
              </w:rPr>
              <w:drawing>
                <wp:inline distT="0" distB="0" distL="0" distR="0" wp14:anchorId="3728EC1C" wp14:editId="6D95F6D9">
                  <wp:extent cx="675861" cy="675861"/>
                  <wp:effectExtent l="0" t="0" r="0" b="0"/>
                  <wp:docPr id="207" name="Graphic 207" descr="Books on she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BooksOnShelf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829" cy="677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</w:tcPr>
          <w:p w14:paraId="0D8AC3BB" w14:textId="77777777" w:rsidR="003D1034" w:rsidRDefault="003D1034" w:rsidP="003D1034">
            <w:pPr>
              <w:pStyle w:val="Heading1"/>
              <w:rPr>
                <w:rFonts w:ascii="Arial" w:hAnsi="Arial" w:cs="Arial"/>
                <w:color w:val="003366"/>
              </w:rPr>
            </w:pPr>
            <w:r w:rsidRPr="001B5558">
              <w:rPr>
                <w:rFonts w:ascii="Arial" w:hAnsi="Arial" w:cs="Arial"/>
                <w:color w:val="003366"/>
              </w:rPr>
              <w:t>References</w:t>
            </w:r>
          </w:p>
          <w:p w14:paraId="473A4917" w14:textId="20B489C9" w:rsidR="00B85DDE" w:rsidRDefault="00B85DDE" w:rsidP="00FD1478">
            <w:pPr>
              <w:pStyle w:val="ListParagraph"/>
              <w:numPr>
                <w:ilvl w:val="0"/>
                <w:numId w:val="21"/>
              </w:numPr>
            </w:pPr>
            <w:hyperlink r:id="rId14" w:history="1">
              <w:r w:rsidRPr="009B373D">
                <w:rPr>
                  <w:rStyle w:val="Hyperlink"/>
                </w:rPr>
                <w:t>38 C.F.R. § 3.202, Evidence from foreign countries</w:t>
              </w:r>
            </w:hyperlink>
          </w:p>
          <w:p w14:paraId="2212DADD" w14:textId="2D3BC585" w:rsidR="00B85DDE" w:rsidRDefault="00B85DDE" w:rsidP="00FD1478">
            <w:pPr>
              <w:pStyle w:val="ListParagraph"/>
              <w:numPr>
                <w:ilvl w:val="0"/>
                <w:numId w:val="21"/>
              </w:numPr>
            </w:pPr>
            <w:hyperlink r:id="rId15" w:history="1">
              <w:r w:rsidRPr="00781303">
                <w:rPr>
                  <w:rStyle w:val="Hyperlink"/>
                </w:rPr>
                <w:t>38 C.F.R. § 3.653, Foreign Residence</w:t>
              </w:r>
            </w:hyperlink>
          </w:p>
          <w:p w14:paraId="48630C27" w14:textId="5A3F3188" w:rsidR="00B85DDE" w:rsidRDefault="00B85DDE" w:rsidP="00FD1478">
            <w:pPr>
              <w:pStyle w:val="ListParagraph"/>
              <w:numPr>
                <w:ilvl w:val="0"/>
                <w:numId w:val="21"/>
              </w:numPr>
            </w:pPr>
            <w:hyperlink r:id="rId16" w:history="1">
              <w:r w:rsidRPr="002E5CE4">
                <w:rPr>
                  <w:rStyle w:val="Hyperlink"/>
                </w:rPr>
                <w:t>M21-1, X.i.3.B, Adjudication Procedures for Foreign Claims</w:t>
              </w:r>
            </w:hyperlink>
          </w:p>
          <w:p w14:paraId="17E2BFD1" w14:textId="623AF70C" w:rsidR="003D1034" w:rsidRDefault="00B85DDE" w:rsidP="00754A39">
            <w:pPr>
              <w:pStyle w:val="ListParagraph"/>
              <w:numPr>
                <w:ilvl w:val="0"/>
                <w:numId w:val="21"/>
              </w:numPr>
            </w:pPr>
            <w:hyperlink r:id="rId17" w:history="1">
              <w:r w:rsidRPr="003444B3">
                <w:rPr>
                  <w:rStyle w:val="Hyperlink"/>
                </w:rPr>
                <w:t>M21-5, Appeals and Reviews</w:t>
              </w:r>
            </w:hyperlink>
          </w:p>
        </w:tc>
      </w:tr>
      <w:tr w:rsidR="00820230" w14:paraId="41526F8E" w14:textId="77777777" w:rsidTr="003C532A">
        <w:trPr>
          <w:trHeight w:val="20"/>
        </w:trPr>
        <w:tc>
          <w:tcPr>
            <w:tcW w:w="1260" w:type="dxa"/>
            <w:vAlign w:val="center"/>
          </w:tcPr>
          <w:p w14:paraId="2C44C4B2" w14:textId="77777777" w:rsidR="003D1034" w:rsidRDefault="00E14CC5" w:rsidP="00E14CC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13D2F8" wp14:editId="4461D4F4">
                  <wp:extent cx="683812" cy="683812"/>
                  <wp:effectExtent l="0" t="0" r="0" b="0"/>
                  <wp:docPr id="204" name="Graphic 204" descr="Check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Checklist_LTR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599" cy="685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</w:tcPr>
          <w:p w14:paraId="43876F49" w14:textId="347820E9" w:rsidR="00031306" w:rsidRPr="00754A39" w:rsidRDefault="00263D07" w:rsidP="00A356C9">
            <w:pPr>
              <w:pStyle w:val="Heading1"/>
              <w:rPr>
                <w:rFonts w:ascii="Arial" w:hAnsi="Arial" w:cs="Arial"/>
                <w:color w:val="003366"/>
              </w:rPr>
            </w:pPr>
            <w:r w:rsidRPr="00754A39">
              <w:rPr>
                <w:rFonts w:ascii="Arial" w:hAnsi="Arial" w:cs="Arial"/>
                <w:color w:val="003366"/>
              </w:rPr>
              <w:t>Tips</w:t>
            </w:r>
          </w:p>
          <w:p w14:paraId="677D6822" w14:textId="39F5E7E6" w:rsidR="00B85DDE" w:rsidRPr="00F74287" w:rsidRDefault="00B85DDE" w:rsidP="00B85DDE">
            <w:pPr>
              <w:rPr>
                <w:b/>
                <w:bCs/>
                <w:szCs w:val="24"/>
              </w:rPr>
            </w:pPr>
            <w:r w:rsidRPr="00F74287">
              <w:rPr>
                <w:b/>
                <w:bCs/>
                <w:szCs w:val="24"/>
              </w:rPr>
              <w:t>Click on a link to navigate to the desired topic:</w:t>
            </w:r>
          </w:p>
          <w:p w14:paraId="096C4115" w14:textId="10BB98F5" w:rsidR="00DC5342" w:rsidRPr="00F74287" w:rsidRDefault="00DC5342" w:rsidP="00FD1478">
            <w:pPr>
              <w:pStyle w:val="ListParagraph"/>
              <w:numPr>
                <w:ilvl w:val="0"/>
                <w:numId w:val="23"/>
              </w:numPr>
              <w:rPr>
                <w:szCs w:val="24"/>
              </w:rPr>
            </w:pPr>
            <w:hyperlink w:anchor="Foreign_Exam_Procedures" w:history="1">
              <w:r w:rsidRPr="000355C7">
                <w:rPr>
                  <w:rStyle w:val="Hyperlink"/>
                  <w:szCs w:val="24"/>
                </w:rPr>
                <w:t>Foreign Examination Procedures</w:t>
              </w:r>
            </w:hyperlink>
          </w:p>
          <w:p w14:paraId="190987DE" w14:textId="78B9A345" w:rsidR="00DC5342" w:rsidRPr="00F74287" w:rsidRDefault="00DC5342" w:rsidP="00FD1478">
            <w:pPr>
              <w:pStyle w:val="ListParagraph"/>
              <w:numPr>
                <w:ilvl w:val="0"/>
                <w:numId w:val="23"/>
              </w:numPr>
              <w:rPr>
                <w:szCs w:val="24"/>
              </w:rPr>
            </w:pPr>
            <w:hyperlink w:anchor="VES_Contracted_Countries" w:history="1">
              <w:r w:rsidRPr="000355C7">
                <w:rPr>
                  <w:rStyle w:val="Hyperlink"/>
                  <w:szCs w:val="24"/>
                </w:rPr>
                <w:t>VES Contracted Countries</w:t>
              </w:r>
            </w:hyperlink>
          </w:p>
          <w:p w14:paraId="1DADFCD5" w14:textId="44C8A61A" w:rsidR="00DC5342" w:rsidRPr="00F74287" w:rsidRDefault="00DC5342" w:rsidP="00FD1478">
            <w:pPr>
              <w:pStyle w:val="ListParagraph"/>
              <w:numPr>
                <w:ilvl w:val="0"/>
                <w:numId w:val="23"/>
              </w:numPr>
              <w:rPr>
                <w:szCs w:val="24"/>
              </w:rPr>
            </w:pPr>
            <w:hyperlink w:anchor="Non_VES_Contracted_Countries" w:history="1">
              <w:r w:rsidRPr="00F50291">
                <w:rPr>
                  <w:rStyle w:val="Hyperlink"/>
                  <w:szCs w:val="24"/>
                </w:rPr>
                <w:t>Non-VES Contracted Countries (SSSCE-Single and AME-Alternate)</w:t>
              </w:r>
            </w:hyperlink>
          </w:p>
          <w:p w14:paraId="36C93F29" w14:textId="174C5E7A" w:rsidR="00DC5342" w:rsidRPr="00F74287" w:rsidRDefault="00DC5342" w:rsidP="00FD1478">
            <w:pPr>
              <w:pStyle w:val="ListParagraph"/>
              <w:numPr>
                <w:ilvl w:val="0"/>
                <w:numId w:val="23"/>
              </w:numPr>
              <w:rPr>
                <w:szCs w:val="24"/>
              </w:rPr>
            </w:pPr>
            <w:hyperlink w:anchor="Disability_Benefits_Questionnaire" w:history="1">
              <w:r w:rsidRPr="00F50291">
                <w:rPr>
                  <w:rStyle w:val="Hyperlink"/>
                  <w:szCs w:val="24"/>
                </w:rPr>
                <w:t>Disability Benefits Questionnaire Sufficiency</w:t>
              </w:r>
            </w:hyperlink>
          </w:p>
          <w:p w14:paraId="6568FD76" w14:textId="4E6727AA" w:rsidR="00B85DDE" w:rsidRPr="00F74287" w:rsidRDefault="00DC5342" w:rsidP="00FD1478">
            <w:pPr>
              <w:pStyle w:val="ListParagraph"/>
              <w:numPr>
                <w:ilvl w:val="0"/>
                <w:numId w:val="23"/>
              </w:numPr>
              <w:rPr>
                <w:szCs w:val="24"/>
              </w:rPr>
            </w:pPr>
            <w:hyperlink w:anchor="Insufficient_Private_DBQ" w:history="1">
              <w:r w:rsidRPr="00F50291">
                <w:rPr>
                  <w:rStyle w:val="Hyperlink"/>
                  <w:szCs w:val="24"/>
                </w:rPr>
                <w:t>Insufficient Private Disability Benefits Questionnaire</w:t>
              </w:r>
            </w:hyperlink>
          </w:p>
          <w:p w14:paraId="2579F3AF" w14:textId="77777777" w:rsidR="00C17441" w:rsidRPr="00F74287" w:rsidRDefault="00C17441" w:rsidP="00DC5342">
            <w:pPr>
              <w:rPr>
                <w:szCs w:val="24"/>
              </w:rPr>
            </w:pPr>
          </w:p>
          <w:p w14:paraId="04142B0B" w14:textId="0CB5CDB2" w:rsidR="00C17441" w:rsidRPr="00754A39" w:rsidRDefault="00536F6E" w:rsidP="00DC5342">
            <w:pPr>
              <w:rPr>
                <w:b/>
                <w:bCs/>
                <w:color w:val="003366"/>
                <w:sz w:val="28"/>
                <w:szCs w:val="28"/>
              </w:rPr>
            </w:pPr>
            <w:bookmarkStart w:id="0" w:name="Foreign_Exam_Procedures"/>
            <w:r w:rsidRPr="00754A39">
              <w:rPr>
                <w:b/>
                <w:bCs/>
                <w:color w:val="003366"/>
                <w:sz w:val="28"/>
                <w:szCs w:val="28"/>
              </w:rPr>
              <w:t>Foreign Examination Procedures</w:t>
            </w:r>
          </w:p>
          <w:bookmarkEnd w:id="0"/>
          <w:p w14:paraId="7769856A" w14:textId="565472C1" w:rsidR="001972F2" w:rsidRPr="00F74287" w:rsidRDefault="001972F2" w:rsidP="00FD1478">
            <w:pPr>
              <w:pStyle w:val="ListParagraph"/>
              <w:numPr>
                <w:ilvl w:val="0"/>
                <w:numId w:val="24"/>
              </w:numPr>
              <w:rPr>
                <w:rFonts w:cs="Arial"/>
                <w:szCs w:val="24"/>
              </w:rPr>
            </w:pPr>
            <w:r w:rsidRPr="00F74287">
              <w:rPr>
                <w:rFonts w:cs="Arial"/>
                <w:szCs w:val="24"/>
              </w:rPr>
              <w:t>Tab all medical evidence with Medical Bookmark Icon in the Veterans Benefits Management System (VBMS).</w:t>
            </w:r>
          </w:p>
          <w:p w14:paraId="26302121" w14:textId="08606117" w:rsidR="001972F2" w:rsidRPr="00F74287" w:rsidRDefault="001972F2" w:rsidP="00FD1478">
            <w:pPr>
              <w:pStyle w:val="ListParagraph"/>
              <w:numPr>
                <w:ilvl w:val="0"/>
                <w:numId w:val="24"/>
              </w:numPr>
              <w:rPr>
                <w:rFonts w:cs="Arial"/>
                <w:szCs w:val="24"/>
              </w:rPr>
            </w:pPr>
            <w:r w:rsidRPr="00F74287">
              <w:rPr>
                <w:rFonts w:cs="Arial"/>
                <w:szCs w:val="24"/>
              </w:rPr>
              <w:t>VSRs send a foreign examination notification to Veterans who will have an in-person or telehealth examination via VBMS Subsequent Development Letter</w:t>
            </w:r>
          </w:p>
          <w:p w14:paraId="1F73BEF0" w14:textId="4F37AD41" w:rsidR="001972F2" w:rsidRPr="00F74287" w:rsidRDefault="001972F2" w:rsidP="00FD1478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4"/>
              </w:rPr>
            </w:pPr>
            <w:r w:rsidRPr="00F74287">
              <w:rPr>
                <w:rFonts w:cs="Arial"/>
                <w:szCs w:val="24"/>
              </w:rPr>
              <w:t>Verify the letter package was sent, especially if examinations were not received or a no-show notification was received.</w:t>
            </w:r>
          </w:p>
          <w:p w14:paraId="3670CFC2" w14:textId="21AF0278" w:rsidR="001972F2" w:rsidRPr="00F74287" w:rsidRDefault="001972F2" w:rsidP="00FD1478">
            <w:pPr>
              <w:pStyle w:val="ListParagraph"/>
              <w:numPr>
                <w:ilvl w:val="0"/>
                <w:numId w:val="24"/>
              </w:numPr>
              <w:rPr>
                <w:rFonts w:cs="Arial"/>
                <w:szCs w:val="24"/>
              </w:rPr>
            </w:pPr>
            <w:r w:rsidRPr="00F74287">
              <w:rPr>
                <w:rFonts w:cs="Arial"/>
                <w:szCs w:val="24"/>
              </w:rPr>
              <w:t>Options if Veterans Evaluation Services (VES) is not available in Veteran’s country of residence:</w:t>
            </w:r>
          </w:p>
          <w:p w14:paraId="625C9655" w14:textId="779B4C79" w:rsidR="00744162" w:rsidRPr="00F74287" w:rsidRDefault="001972F2" w:rsidP="00FD1478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4"/>
              </w:rPr>
            </w:pPr>
            <w:r w:rsidRPr="00F74287">
              <w:rPr>
                <w:rFonts w:cs="Arial"/>
                <w:szCs w:val="24"/>
              </w:rPr>
              <w:t>Veterans can travel to a country with VES facilities, Acceptable Clinical Evidence (ACE)/Telehealth, Single Source Subcontracted Examination (SSSCE) process, Alternative Medical Evidence (AME) process, Private Provider Disability Benefits Questionnaire (DBQ) (non-reimbursable).</w:t>
            </w:r>
          </w:p>
          <w:p w14:paraId="4F0FA777" w14:textId="5AAF0732" w:rsidR="00FD1478" w:rsidRPr="00F74287" w:rsidRDefault="00A0383A" w:rsidP="00FD1478">
            <w:pPr>
              <w:pStyle w:val="ListParagraph"/>
              <w:numPr>
                <w:ilvl w:val="1"/>
                <w:numId w:val="24"/>
              </w:numPr>
              <w:rPr>
                <w:rFonts w:cs="Arial"/>
                <w:szCs w:val="24"/>
              </w:rPr>
            </w:pPr>
            <w:r w:rsidRPr="00F74287">
              <w:rPr>
                <w:rFonts w:cs="Arial"/>
                <w:szCs w:val="24"/>
              </w:rPr>
              <w:lastRenderedPageBreak/>
              <w:t>VSRs will send applicable foreign exam notification letters.</w:t>
            </w:r>
          </w:p>
          <w:p w14:paraId="44DA44E1" w14:textId="77777777" w:rsidR="003414ED" w:rsidRPr="00F74287" w:rsidRDefault="00C15A8F" w:rsidP="00C15A8F">
            <w:pPr>
              <w:pStyle w:val="ListParagraph"/>
              <w:numPr>
                <w:ilvl w:val="0"/>
                <w:numId w:val="24"/>
              </w:numPr>
              <w:rPr>
                <w:rFonts w:cs="Arial"/>
                <w:szCs w:val="24"/>
              </w:rPr>
            </w:pPr>
            <w:r w:rsidRPr="00F74287">
              <w:rPr>
                <w:rFonts w:cs="Arial"/>
                <w:szCs w:val="24"/>
              </w:rPr>
              <w:t>Input ALL exams, except private provider DBQs obtained by the Veteran, through Examination Management System (EMS).</w:t>
            </w:r>
          </w:p>
          <w:p w14:paraId="0E90C36D" w14:textId="77777777" w:rsidR="003414ED" w:rsidRPr="00754A39" w:rsidRDefault="003414ED" w:rsidP="003414ED">
            <w:pPr>
              <w:rPr>
                <w:b/>
                <w:bCs/>
                <w:color w:val="003366"/>
                <w:sz w:val="28"/>
                <w:szCs w:val="28"/>
              </w:rPr>
            </w:pPr>
            <w:bookmarkStart w:id="1" w:name="VES_Contracted_Countries"/>
            <w:r w:rsidRPr="00754A39">
              <w:rPr>
                <w:b/>
                <w:bCs/>
                <w:color w:val="003366"/>
                <w:sz w:val="28"/>
                <w:szCs w:val="28"/>
              </w:rPr>
              <w:t xml:space="preserve">VES Contracted Countries </w:t>
            </w:r>
          </w:p>
          <w:bookmarkEnd w:id="1"/>
          <w:p w14:paraId="1F358631" w14:textId="39A22BED" w:rsidR="00C42591" w:rsidRPr="00F74287" w:rsidRDefault="00C42591" w:rsidP="00C42591">
            <w:pPr>
              <w:pStyle w:val="ListParagraph"/>
              <w:numPr>
                <w:ilvl w:val="0"/>
                <w:numId w:val="25"/>
              </w:numPr>
              <w:rPr>
                <w:szCs w:val="24"/>
              </w:rPr>
            </w:pPr>
            <w:r w:rsidRPr="00F74287">
              <w:rPr>
                <w:szCs w:val="24"/>
              </w:rPr>
              <w:t>Treat exam requests for VES contracted locations like any U.S. contractor exam request and enter in VBMS via EMS.</w:t>
            </w:r>
          </w:p>
          <w:p w14:paraId="6CB61DCF" w14:textId="1F4BEA71" w:rsidR="00855DE3" w:rsidRPr="00754A39" w:rsidRDefault="008446AD" w:rsidP="00855DE3">
            <w:pPr>
              <w:rPr>
                <w:b/>
                <w:bCs/>
                <w:color w:val="003366"/>
                <w:sz w:val="28"/>
                <w:szCs w:val="28"/>
              </w:rPr>
            </w:pPr>
            <w:bookmarkStart w:id="2" w:name="Non_VES_Contracted_Countries"/>
            <w:r w:rsidRPr="00754A39">
              <w:rPr>
                <w:b/>
                <w:bCs/>
                <w:color w:val="003366"/>
                <w:sz w:val="28"/>
                <w:szCs w:val="28"/>
              </w:rPr>
              <w:t>Non-VES Contracted Countries (SSSCE-Single and AME-Alternate)</w:t>
            </w:r>
          </w:p>
          <w:bookmarkEnd w:id="2"/>
          <w:p w14:paraId="0D057A63" w14:textId="2E30FE24" w:rsidR="002A6515" w:rsidRPr="00F74287" w:rsidRDefault="002A6515" w:rsidP="00B743C0">
            <w:pPr>
              <w:pStyle w:val="ListParagraph"/>
              <w:numPr>
                <w:ilvl w:val="0"/>
                <w:numId w:val="26"/>
              </w:numPr>
              <w:rPr>
                <w:szCs w:val="24"/>
              </w:rPr>
            </w:pPr>
            <w:r w:rsidRPr="00F74287">
              <w:rPr>
                <w:szCs w:val="24"/>
              </w:rPr>
              <w:t>SSSCE-Single process:</w:t>
            </w:r>
          </w:p>
          <w:p w14:paraId="2634EAF4" w14:textId="2A7EE426" w:rsidR="002A6515" w:rsidRPr="00F74287" w:rsidRDefault="002A6515" w:rsidP="00B743C0">
            <w:pPr>
              <w:pStyle w:val="ListParagraph"/>
              <w:numPr>
                <w:ilvl w:val="1"/>
                <w:numId w:val="26"/>
              </w:numPr>
              <w:rPr>
                <w:szCs w:val="24"/>
              </w:rPr>
            </w:pPr>
            <w:r w:rsidRPr="00F74287">
              <w:rPr>
                <w:szCs w:val="24"/>
              </w:rPr>
              <w:t>VES attempts to find an examiner that will complete a one-time contract exam for the Veteran.</w:t>
            </w:r>
          </w:p>
          <w:p w14:paraId="572654F3" w14:textId="20CBF878" w:rsidR="002A6515" w:rsidRPr="00F74287" w:rsidRDefault="002A6515" w:rsidP="00B743C0">
            <w:pPr>
              <w:pStyle w:val="ListParagraph"/>
              <w:numPr>
                <w:ilvl w:val="0"/>
                <w:numId w:val="26"/>
              </w:numPr>
              <w:rPr>
                <w:szCs w:val="24"/>
              </w:rPr>
            </w:pPr>
            <w:r w:rsidRPr="00F74287">
              <w:rPr>
                <w:szCs w:val="24"/>
              </w:rPr>
              <w:t>AME-Alternate Process:</w:t>
            </w:r>
          </w:p>
          <w:p w14:paraId="7495E4F6" w14:textId="0A688EE4" w:rsidR="002A6515" w:rsidRPr="00F74287" w:rsidRDefault="002A6515" w:rsidP="00B743C0">
            <w:pPr>
              <w:pStyle w:val="ListParagraph"/>
              <w:numPr>
                <w:ilvl w:val="1"/>
                <w:numId w:val="26"/>
              </w:numPr>
              <w:rPr>
                <w:szCs w:val="24"/>
              </w:rPr>
            </w:pPr>
            <w:r w:rsidRPr="00F74287">
              <w:rPr>
                <w:szCs w:val="24"/>
              </w:rPr>
              <w:t>When no subcontractor can be found, the Veteran will need to find an examiner to complete the needed DBQs and submit to VA within 60 days.</w:t>
            </w:r>
          </w:p>
          <w:p w14:paraId="357DA6C8" w14:textId="0F9297AE" w:rsidR="002A6515" w:rsidRPr="00F74287" w:rsidRDefault="002A6515" w:rsidP="00B743C0">
            <w:pPr>
              <w:pStyle w:val="ListParagraph"/>
              <w:numPr>
                <w:ilvl w:val="1"/>
                <w:numId w:val="26"/>
              </w:numPr>
              <w:rPr>
                <w:szCs w:val="24"/>
              </w:rPr>
            </w:pPr>
            <w:r w:rsidRPr="00F74287">
              <w:rPr>
                <w:szCs w:val="24"/>
              </w:rPr>
              <w:t>If Veteran submits DBQ, it will be sent to VES to review for accuracy and to obtain any missing information or complete a folder review when mandatory for that type of DBQ.</w:t>
            </w:r>
          </w:p>
          <w:p w14:paraId="30741269" w14:textId="7D1D5BD0" w:rsidR="002A6515" w:rsidRPr="00F74287" w:rsidRDefault="002A6515" w:rsidP="00B743C0">
            <w:pPr>
              <w:pStyle w:val="ListParagraph"/>
              <w:numPr>
                <w:ilvl w:val="1"/>
                <w:numId w:val="26"/>
              </w:numPr>
              <w:rPr>
                <w:szCs w:val="24"/>
              </w:rPr>
            </w:pPr>
            <w:r w:rsidRPr="00F74287">
              <w:rPr>
                <w:szCs w:val="24"/>
              </w:rPr>
              <w:t>If the Veteran</w:t>
            </w:r>
          </w:p>
          <w:p w14:paraId="7B46DAD1" w14:textId="77777777" w:rsidR="008F06DD" w:rsidRPr="00F74287" w:rsidRDefault="002A6515" w:rsidP="008F06DD">
            <w:pPr>
              <w:pStyle w:val="ListParagraph"/>
              <w:numPr>
                <w:ilvl w:val="2"/>
                <w:numId w:val="26"/>
              </w:numPr>
              <w:rPr>
                <w:szCs w:val="24"/>
              </w:rPr>
            </w:pPr>
            <w:r w:rsidRPr="00F74287">
              <w:rPr>
                <w:szCs w:val="24"/>
              </w:rPr>
              <w:t>has cited COVID-19 as a reason for not returning exams, email the template from the training and extend the suspense 7 days for email and 30 days for written correspondence</w:t>
            </w:r>
          </w:p>
          <w:p w14:paraId="11ADD587" w14:textId="6C365424" w:rsidR="002A6515" w:rsidRPr="00F74287" w:rsidRDefault="002A6515" w:rsidP="008F06DD">
            <w:pPr>
              <w:pStyle w:val="ListParagraph"/>
              <w:numPr>
                <w:ilvl w:val="2"/>
                <w:numId w:val="26"/>
              </w:numPr>
              <w:rPr>
                <w:szCs w:val="24"/>
              </w:rPr>
            </w:pPr>
            <w:r w:rsidRPr="00F74287">
              <w:rPr>
                <w:szCs w:val="24"/>
              </w:rPr>
              <w:t>has not cited COVID-19 as an exemption and DBQs are not received after 60 days, treat the exam as a failure to report (FTR)</w:t>
            </w:r>
          </w:p>
          <w:p w14:paraId="19EB53EF" w14:textId="77777777" w:rsidR="005E681E" w:rsidRPr="00754A39" w:rsidRDefault="005E681E" w:rsidP="003414ED">
            <w:pPr>
              <w:rPr>
                <w:color w:val="003366"/>
                <w:sz w:val="28"/>
                <w:szCs w:val="28"/>
              </w:rPr>
            </w:pPr>
            <w:bookmarkStart w:id="3" w:name="Disability_Benefits_Questionnaire"/>
            <w:r w:rsidRPr="00754A39">
              <w:rPr>
                <w:b/>
                <w:bCs/>
                <w:color w:val="003366"/>
                <w:sz w:val="28"/>
                <w:szCs w:val="28"/>
              </w:rPr>
              <w:t>Disability Benefits Questionnaire Sufficiency</w:t>
            </w:r>
            <w:r w:rsidRPr="00754A39">
              <w:rPr>
                <w:color w:val="003366"/>
                <w:sz w:val="28"/>
                <w:szCs w:val="28"/>
              </w:rPr>
              <w:t xml:space="preserve"> </w:t>
            </w:r>
          </w:p>
          <w:bookmarkEnd w:id="3"/>
          <w:p w14:paraId="7F4B2884" w14:textId="3B55D435" w:rsidR="00E53825" w:rsidRPr="00F74287" w:rsidRDefault="00E53825" w:rsidP="00E53825">
            <w:pPr>
              <w:pStyle w:val="ListParagraph"/>
              <w:numPr>
                <w:ilvl w:val="0"/>
                <w:numId w:val="28"/>
              </w:numPr>
              <w:rPr>
                <w:szCs w:val="24"/>
              </w:rPr>
            </w:pPr>
            <w:r w:rsidRPr="00F74287">
              <w:rPr>
                <w:szCs w:val="24"/>
              </w:rPr>
              <w:t>Review privately completed foreign DBQs and ensure they contain the examiner qualifications and signature, excluding National Provider Information (NPI) numbers, which are not required for foreign providers.</w:t>
            </w:r>
          </w:p>
          <w:p w14:paraId="015E49DE" w14:textId="7EE14318" w:rsidR="00E53825" w:rsidRPr="00F74287" w:rsidRDefault="00E53825" w:rsidP="00E53825">
            <w:pPr>
              <w:pStyle w:val="ListParagraph"/>
              <w:numPr>
                <w:ilvl w:val="0"/>
                <w:numId w:val="28"/>
              </w:numPr>
              <w:rPr>
                <w:szCs w:val="24"/>
              </w:rPr>
            </w:pPr>
            <w:r w:rsidRPr="00F74287">
              <w:rPr>
                <w:szCs w:val="24"/>
              </w:rPr>
              <w:t>Do not return the DBQ if:</w:t>
            </w:r>
          </w:p>
          <w:p w14:paraId="19446B25" w14:textId="01599D08" w:rsidR="00E53825" w:rsidRPr="00F74287" w:rsidRDefault="00E53825" w:rsidP="00E53825">
            <w:pPr>
              <w:pStyle w:val="ListParagraph"/>
              <w:numPr>
                <w:ilvl w:val="1"/>
                <w:numId w:val="28"/>
              </w:numPr>
              <w:rPr>
                <w:szCs w:val="24"/>
              </w:rPr>
            </w:pPr>
            <w:proofErr w:type="gramStart"/>
            <w:r w:rsidRPr="00F74287">
              <w:rPr>
                <w:szCs w:val="24"/>
              </w:rPr>
              <w:t>the</w:t>
            </w:r>
            <w:proofErr w:type="gramEnd"/>
            <w:r w:rsidRPr="00F74287">
              <w:rPr>
                <w:szCs w:val="24"/>
              </w:rPr>
              <w:t xml:space="preserve"> required review of the claims folder was not accomplished as a medical opinion can be requested through VES for any missing information.</w:t>
            </w:r>
          </w:p>
          <w:p w14:paraId="5FEE7538" w14:textId="4B8D24DE" w:rsidR="00E53825" w:rsidRPr="00F74287" w:rsidRDefault="00E53825" w:rsidP="00E53825">
            <w:pPr>
              <w:pStyle w:val="ListParagraph"/>
              <w:numPr>
                <w:ilvl w:val="1"/>
                <w:numId w:val="28"/>
              </w:numPr>
              <w:rPr>
                <w:szCs w:val="24"/>
              </w:rPr>
            </w:pPr>
            <w:proofErr w:type="gramStart"/>
            <w:r w:rsidRPr="00F74287">
              <w:rPr>
                <w:szCs w:val="24"/>
              </w:rPr>
              <w:lastRenderedPageBreak/>
              <w:t>there</w:t>
            </w:r>
            <w:proofErr w:type="gramEnd"/>
            <w:r w:rsidRPr="00F74287">
              <w:rPr>
                <w:szCs w:val="24"/>
              </w:rPr>
              <w:t xml:space="preserve"> is missing information in the exam report that does not in and of itself make the DBQ insufficient.</w:t>
            </w:r>
          </w:p>
          <w:p w14:paraId="68607447" w14:textId="466D86F6" w:rsidR="00EE3A5F" w:rsidRPr="00F74287" w:rsidRDefault="00EE3A5F" w:rsidP="00EE3A5F">
            <w:pPr>
              <w:pStyle w:val="ListParagraph"/>
              <w:numPr>
                <w:ilvl w:val="1"/>
                <w:numId w:val="28"/>
              </w:numPr>
              <w:rPr>
                <w:szCs w:val="24"/>
              </w:rPr>
            </w:pPr>
            <w:proofErr w:type="gramStart"/>
            <w:r w:rsidRPr="00F74287">
              <w:rPr>
                <w:szCs w:val="24"/>
              </w:rPr>
              <w:t>a missing</w:t>
            </w:r>
            <w:proofErr w:type="gramEnd"/>
            <w:r w:rsidRPr="00F74287">
              <w:rPr>
                <w:szCs w:val="24"/>
              </w:rPr>
              <w:t xml:space="preserve"> diagnosis statement of a service-connected condition can be sent to VES for review and opinion.</w:t>
            </w:r>
          </w:p>
          <w:p w14:paraId="1C5AD8FC" w14:textId="0211B336" w:rsidR="00EE3A5F" w:rsidRPr="00F74287" w:rsidRDefault="00EE3A5F" w:rsidP="00EE3A5F">
            <w:pPr>
              <w:pStyle w:val="ListParagraph"/>
              <w:numPr>
                <w:ilvl w:val="1"/>
                <w:numId w:val="28"/>
              </w:numPr>
              <w:rPr>
                <w:szCs w:val="24"/>
              </w:rPr>
            </w:pPr>
            <w:r w:rsidRPr="00F74287">
              <w:rPr>
                <w:szCs w:val="24"/>
              </w:rPr>
              <w:t xml:space="preserve">the DBQ may not have answered whether it is possible to differentiate </w:t>
            </w:r>
            <w:proofErr w:type="spellStart"/>
            <w:r w:rsidRPr="00F74287">
              <w:rPr>
                <w:szCs w:val="24"/>
              </w:rPr>
              <w:t>post traumatic</w:t>
            </w:r>
            <w:proofErr w:type="spellEnd"/>
            <w:r w:rsidRPr="00F74287">
              <w:rPr>
                <w:szCs w:val="24"/>
              </w:rPr>
              <w:t xml:space="preserve"> stress disorder (PTSD)/traumatic brain injury (TBI) and occupational impairment between the two conditions, as this can also be sent to VES for review and an opinion.</w:t>
            </w:r>
          </w:p>
          <w:p w14:paraId="744B4E00" w14:textId="72702F40" w:rsidR="006301EA" w:rsidRPr="00F74287" w:rsidRDefault="006301EA" w:rsidP="006301EA">
            <w:pPr>
              <w:pStyle w:val="ListParagraph"/>
              <w:numPr>
                <w:ilvl w:val="0"/>
                <w:numId w:val="28"/>
              </w:numPr>
              <w:rPr>
                <w:szCs w:val="24"/>
              </w:rPr>
            </w:pPr>
            <w:r w:rsidRPr="00F74287">
              <w:rPr>
                <w:szCs w:val="24"/>
              </w:rPr>
              <w:t>The provider must meet the specialty requirement for mental examinations, TBI examinations, and audiology examinations</w:t>
            </w:r>
            <w:r w:rsidR="00B63B02">
              <w:rPr>
                <w:szCs w:val="24"/>
              </w:rPr>
              <w:t>.</w:t>
            </w:r>
          </w:p>
          <w:p w14:paraId="3576E372" w14:textId="77777777" w:rsidR="00D31112" w:rsidRPr="00F74287" w:rsidRDefault="00D31112" w:rsidP="00D31112">
            <w:pPr>
              <w:pStyle w:val="ListParagraph"/>
              <w:ind w:left="1440"/>
              <w:rPr>
                <w:szCs w:val="24"/>
              </w:rPr>
            </w:pPr>
          </w:p>
          <w:p w14:paraId="2D5797D7" w14:textId="74A8F9C7" w:rsidR="00D31112" w:rsidRPr="00754A39" w:rsidRDefault="00F74287" w:rsidP="00D3111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bookmarkStart w:id="4" w:name="Insufficient_Private_DBQ"/>
            <w:r w:rsidRPr="00754A39">
              <w:rPr>
                <w:b/>
                <w:bCs/>
                <w:color w:val="003366"/>
                <w:sz w:val="28"/>
                <w:szCs w:val="28"/>
              </w:rPr>
              <w:t>Insufficient Private Disability Benefits Questionnaire</w:t>
            </w:r>
          </w:p>
          <w:bookmarkEnd w:id="4"/>
          <w:p w14:paraId="76647829" w14:textId="24E47B43" w:rsidR="00F74287" w:rsidRPr="00F74287" w:rsidRDefault="00F74287" w:rsidP="00F74287">
            <w:pPr>
              <w:pStyle w:val="ListParagraph"/>
              <w:numPr>
                <w:ilvl w:val="0"/>
                <w:numId w:val="30"/>
              </w:numPr>
              <w:rPr>
                <w:szCs w:val="24"/>
              </w:rPr>
            </w:pPr>
            <w:r w:rsidRPr="00F74287">
              <w:rPr>
                <w:szCs w:val="24"/>
              </w:rPr>
              <w:t>If the private DBQ has missing or insufficient information, the development team sends a letter to the Veteran requesting the Veteran sends clarifying information within 45 days</w:t>
            </w:r>
          </w:p>
          <w:p w14:paraId="0762ABB8" w14:textId="6C59755B" w:rsidR="00F74287" w:rsidRPr="00F74287" w:rsidRDefault="00F74287" w:rsidP="00F74287">
            <w:pPr>
              <w:pStyle w:val="ListParagraph"/>
              <w:numPr>
                <w:ilvl w:val="0"/>
                <w:numId w:val="30"/>
              </w:numPr>
              <w:rPr>
                <w:szCs w:val="24"/>
              </w:rPr>
            </w:pPr>
            <w:r w:rsidRPr="00F74287">
              <w:rPr>
                <w:szCs w:val="24"/>
              </w:rPr>
              <w:t xml:space="preserve">If no response within 45 days, rate solely on the evidence of record that is sufficient. Do not rate using </w:t>
            </w:r>
            <w:proofErr w:type="gramStart"/>
            <w:r w:rsidRPr="00F74287">
              <w:rPr>
                <w:szCs w:val="24"/>
              </w:rPr>
              <w:t>the insufficient</w:t>
            </w:r>
            <w:proofErr w:type="gramEnd"/>
            <w:r w:rsidRPr="00F74287">
              <w:rPr>
                <w:szCs w:val="24"/>
              </w:rPr>
              <w:t xml:space="preserve"> evidence.</w:t>
            </w:r>
          </w:p>
          <w:p w14:paraId="6F6257D4" w14:textId="3EF810DB" w:rsidR="00F74287" w:rsidRPr="00F74287" w:rsidRDefault="00F74287" w:rsidP="00F74287">
            <w:pPr>
              <w:pStyle w:val="ListParagraph"/>
              <w:numPr>
                <w:ilvl w:val="0"/>
                <w:numId w:val="30"/>
              </w:numPr>
              <w:rPr>
                <w:szCs w:val="24"/>
              </w:rPr>
            </w:pPr>
            <w:r w:rsidRPr="00F74287">
              <w:rPr>
                <w:szCs w:val="24"/>
              </w:rPr>
              <w:t>Include the following paragraph at the beginning of each issue affected by the insufficient DBQ:</w:t>
            </w:r>
          </w:p>
          <w:p w14:paraId="2AD063BE" w14:textId="4DAB7182" w:rsidR="00F74287" w:rsidRPr="00F74287" w:rsidRDefault="00F74287" w:rsidP="00F74287">
            <w:pPr>
              <w:pStyle w:val="ListParagraph"/>
              <w:numPr>
                <w:ilvl w:val="1"/>
                <w:numId w:val="30"/>
              </w:numPr>
              <w:rPr>
                <w:szCs w:val="24"/>
              </w:rPr>
            </w:pPr>
            <w:r w:rsidRPr="00F74287">
              <w:rPr>
                <w:szCs w:val="24"/>
              </w:rPr>
              <w:t>On [DATE], you submitted a private disability benefits questionnaire (DBQ) for [INSERT ISSUE]. We notified you in letter dated [XXXXXXXX] that the private DBQ needed clarification of [XXXXXXXXX]. You had 45 days to respond.</w:t>
            </w:r>
          </w:p>
          <w:p w14:paraId="1500232F" w14:textId="53F08769" w:rsidR="00E14CC5" w:rsidRPr="00F74287" w:rsidRDefault="00F74287" w:rsidP="00754A39">
            <w:pPr>
              <w:pStyle w:val="ListParagraph"/>
              <w:numPr>
                <w:ilvl w:val="1"/>
                <w:numId w:val="30"/>
              </w:numPr>
              <w:rPr>
                <w:rFonts w:cs="Arial"/>
                <w:szCs w:val="24"/>
              </w:rPr>
            </w:pPr>
            <w:r w:rsidRPr="00F74287">
              <w:rPr>
                <w:szCs w:val="24"/>
              </w:rPr>
              <w:t xml:space="preserve">As of the date of this rating decision, we have not received your response. As such, we are </w:t>
            </w:r>
            <w:proofErr w:type="gramStart"/>
            <w:r w:rsidRPr="00F74287">
              <w:rPr>
                <w:szCs w:val="24"/>
              </w:rPr>
              <w:t>making a decision</w:t>
            </w:r>
            <w:proofErr w:type="gramEnd"/>
            <w:r w:rsidRPr="00F74287">
              <w:rPr>
                <w:szCs w:val="24"/>
              </w:rPr>
              <w:t xml:space="preserve"> based on any available sufficient evidence of record. If you </w:t>
            </w:r>
            <w:proofErr w:type="gramStart"/>
            <w:r w:rsidRPr="00F74287">
              <w:rPr>
                <w:szCs w:val="24"/>
              </w:rPr>
              <w:t>are able to</w:t>
            </w:r>
            <w:proofErr w:type="gramEnd"/>
            <w:r w:rsidRPr="00F74287">
              <w:rPr>
                <w:szCs w:val="24"/>
              </w:rPr>
              <w:t xml:space="preserve"> obtain the necessary clarification, and wish to have VA review it, please submit the medical evidence along with VA Form 20-0995, Decision Review Request: Supplemental Claim, at your earliest convenience.</w:t>
            </w:r>
          </w:p>
        </w:tc>
      </w:tr>
      <w:tr w:rsidR="000F41EF" w14:paraId="3FCEB44B" w14:textId="77777777" w:rsidTr="003C532A">
        <w:trPr>
          <w:trHeight w:val="20"/>
        </w:trPr>
        <w:tc>
          <w:tcPr>
            <w:tcW w:w="1260" w:type="dxa"/>
            <w:vAlign w:val="center"/>
          </w:tcPr>
          <w:p w14:paraId="128E7E3E" w14:textId="0511C3B1" w:rsidR="000F41EF" w:rsidRDefault="000F41EF" w:rsidP="00E14CC5">
            <w:pPr>
              <w:jc w:val="center"/>
              <w:rPr>
                <w:noProof/>
              </w:rPr>
            </w:pPr>
          </w:p>
        </w:tc>
        <w:tc>
          <w:tcPr>
            <w:tcW w:w="8550" w:type="dxa"/>
          </w:tcPr>
          <w:p w14:paraId="7FFD9F21" w14:textId="158D14E7" w:rsidR="008313AD" w:rsidRPr="008313AD" w:rsidRDefault="008313AD" w:rsidP="008313AD"/>
        </w:tc>
      </w:tr>
      <w:tr w:rsidR="00820230" w14:paraId="6D64EA37" w14:textId="77777777" w:rsidTr="003C532A">
        <w:trPr>
          <w:trHeight w:val="20"/>
        </w:trPr>
        <w:tc>
          <w:tcPr>
            <w:tcW w:w="1260" w:type="dxa"/>
            <w:vAlign w:val="center"/>
          </w:tcPr>
          <w:p w14:paraId="77E76C19" w14:textId="77777777" w:rsidR="00820230" w:rsidRDefault="00820230" w:rsidP="00E14CC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1E7A3E" wp14:editId="05973AD1">
                  <wp:extent cx="513471" cy="513471"/>
                  <wp:effectExtent l="0" t="0" r="0" b="1270"/>
                  <wp:docPr id="208" name="Graphic 208" descr="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encil.sv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668" cy="519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</w:tcPr>
          <w:p w14:paraId="042AE688" w14:textId="77777777" w:rsidR="00820230" w:rsidRDefault="00820230" w:rsidP="009365E2">
            <w:pPr>
              <w:pStyle w:val="Heading1"/>
              <w:spacing w:before="0"/>
              <w:rPr>
                <w:rFonts w:ascii="Arial" w:hAnsi="Arial" w:cs="Arial"/>
                <w:color w:val="003366"/>
              </w:rPr>
            </w:pPr>
            <w:r>
              <w:rPr>
                <w:rFonts w:ascii="Arial" w:hAnsi="Arial" w:cs="Arial"/>
                <w:color w:val="003366"/>
              </w:rPr>
              <w:t>Other Resources</w:t>
            </w:r>
          </w:p>
          <w:p w14:paraId="33EC5F74" w14:textId="0D3A2197" w:rsidR="00167EBE" w:rsidRDefault="00167EBE" w:rsidP="009365E2">
            <w:pPr>
              <w:rPr>
                <w:b/>
                <w:bCs/>
              </w:rPr>
            </w:pPr>
            <w:r w:rsidRPr="00167EBE">
              <w:rPr>
                <w:b/>
                <w:bCs/>
              </w:rPr>
              <w:t>Additional Training Courses:</w:t>
            </w:r>
          </w:p>
          <w:p w14:paraId="3AE10D10" w14:textId="772F8C69" w:rsidR="00D41174" w:rsidRPr="00D41174" w:rsidRDefault="00D41174" w:rsidP="009365E2">
            <w:r w:rsidRPr="00D41174">
              <w:rPr>
                <w:b/>
                <w:bCs/>
              </w:rPr>
              <w:t>•</w:t>
            </w:r>
            <w:r w:rsidRPr="00D41174">
              <w:rPr>
                <w:b/>
                <w:bCs/>
              </w:rPr>
              <w:tab/>
            </w:r>
            <w:hyperlink r:id="rId22" w:history="1">
              <w:r w:rsidRPr="00F40F4B">
                <w:rPr>
                  <w:rStyle w:val="Hyperlink"/>
                </w:rPr>
                <w:t>Foreign Development Overview (VA 4626187)</w:t>
              </w:r>
            </w:hyperlink>
          </w:p>
          <w:p w14:paraId="66BEF055" w14:textId="6212B473" w:rsidR="00D41174" w:rsidRPr="00412CDD" w:rsidRDefault="00D41174" w:rsidP="009365E2">
            <w:pPr>
              <w:rPr>
                <w:rStyle w:val="Hyperlink"/>
              </w:rPr>
            </w:pPr>
            <w:r w:rsidRPr="00D41174">
              <w:t>•</w:t>
            </w:r>
            <w:r w:rsidRPr="00D41174">
              <w:tab/>
            </w:r>
            <w:r w:rsidR="00412CDD">
              <w:fldChar w:fldCharType="begin"/>
            </w:r>
            <w:r w:rsidR="00412CDD">
              <w:instrText>HYPERLINK "https://va-hcm03.ns2cloud.com/learning/user/common/viewItemDetails.do?componentTypeID=VA&amp;componentID=4626189&amp;revisionDate=1652883840000&amp;catalogCurrencyCode=USD&amp;returnLink=%2Flearning%2Fuser%2Fcatalogsearch%2FcatalogSearchDispatchAction.do%3FsearchType%3DfilteredSearch%26keywords%3D&amp;backto=%2Flearning%2Fuser%2Fcatalogsearch%2FcatalogSearchDispatchAction.do%3FsearchType%3DfilteredSearch%26keywords%3D" \l "/ED62BD384CC8DCFE1700DC02AF853FB8"</w:instrText>
            </w:r>
            <w:r w:rsidR="00412CDD">
              <w:fldChar w:fldCharType="separate"/>
            </w:r>
            <w:r w:rsidRPr="00412CDD">
              <w:rPr>
                <w:rStyle w:val="Hyperlink"/>
              </w:rPr>
              <w:t>Foreign Exam Requests in EMS (VA 4626189)</w:t>
            </w:r>
          </w:p>
          <w:p w14:paraId="1201EF1A" w14:textId="4D26AA7F" w:rsidR="00D41174" w:rsidRPr="00D41174" w:rsidRDefault="00412CDD" w:rsidP="009365E2">
            <w:r>
              <w:fldChar w:fldCharType="end"/>
            </w:r>
            <w:r w:rsidR="00D41174" w:rsidRPr="00D41174">
              <w:t>•</w:t>
            </w:r>
            <w:r w:rsidR="00D41174" w:rsidRPr="00D41174">
              <w:tab/>
            </w:r>
            <w:hyperlink r:id="rId23" w:anchor="/F6CABE384CC8DCFE1700DC02AF853FB8" w:history="1">
              <w:r w:rsidR="00D41174" w:rsidRPr="00664327">
                <w:rPr>
                  <w:rStyle w:val="Hyperlink"/>
                </w:rPr>
                <w:t>Foreign Medical Opinion Requests in EMS (VA 4626190)</w:t>
              </w:r>
            </w:hyperlink>
          </w:p>
          <w:p w14:paraId="7CDAB529" w14:textId="0B247F9F" w:rsidR="0022568F" w:rsidRPr="0022568F" w:rsidRDefault="0022568F" w:rsidP="009365E2">
            <w:pPr>
              <w:rPr>
                <w:rFonts w:cs="Arial"/>
                <w:i/>
                <w:szCs w:val="24"/>
              </w:rPr>
            </w:pPr>
          </w:p>
        </w:tc>
      </w:tr>
      <w:tr w:rsidR="003C532A" w14:paraId="2A06C390" w14:textId="77777777" w:rsidTr="003C532A">
        <w:trPr>
          <w:trHeight w:val="20"/>
        </w:trPr>
        <w:tc>
          <w:tcPr>
            <w:tcW w:w="1260" w:type="dxa"/>
            <w:vAlign w:val="center"/>
          </w:tcPr>
          <w:p w14:paraId="12A27E0B" w14:textId="0E146AF4" w:rsidR="003C532A" w:rsidRDefault="003C532A" w:rsidP="00E14CC5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057D507" wp14:editId="64D6220C">
                  <wp:extent cx="667909" cy="667909"/>
                  <wp:effectExtent l="0" t="0" r="0" b="0"/>
                  <wp:docPr id="1" name="Graphic 1" descr="Badge Question 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Question Mark with solid fill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415" cy="67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</w:tcPr>
          <w:p w14:paraId="0B4735DF" w14:textId="051029E7" w:rsidR="003C532A" w:rsidRPr="003C532A" w:rsidRDefault="003C532A" w:rsidP="003C532A">
            <w:pPr>
              <w:pStyle w:val="Heading1"/>
              <w:rPr>
                <w:rFonts w:ascii="Arial" w:hAnsi="Arial" w:cs="Arial"/>
                <w:color w:val="003366"/>
              </w:rPr>
            </w:pPr>
            <w:r w:rsidRPr="003C532A">
              <w:rPr>
                <w:rFonts w:ascii="Arial" w:hAnsi="Arial" w:cs="Arial"/>
                <w:color w:val="003366"/>
              </w:rPr>
              <w:t>Questions</w:t>
            </w:r>
          </w:p>
          <w:p w14:paraId="7ECA17FA" w14:textId="65659B02" w:rsidR="003C532A" w:rsidRPr="003C532A" w:rsidRDefault="003C532A" w:rsidP="003C532A">
            <w:r>
              <w:t xml:space="preserve">Discuss any questions on this </w:t>
            </w:r>
            <w:r w:rsidR="00EF3F99">
              <w:t>Job Aid</w:t>
            </w:r>
            <w:r>
              <w:t xml:space="preserve"> locally with peers, experts, quality staff, and/or management. </w:t>
            </w:r>
            <w:r w:rsidRPr="00AA034B">
              <w:t xml:space="preserve">Management may route any questions requiring OAR assistance to </w:t>
            </w:r>
            <w:hyperlink r:id="rId26" w:history="1">
              <w:hyperlink r:id="rId27" w:history="1">
                <w:r w:rsidR="00165F24" w:rsidRPr="00165F24">
                  <w:rPr>
                    <w:rStyle w:val="Hyperlink"/>
                  </w:rPr>
                  <w:t>VBAWASOARQUALITYTRN@va.gov</w:t>
                </w:r>
              </w:hyperlink>
            </w:hyperlink>
            <w:r w:rsidR="00165F24">
              <w:t>.</w:t>
            </w:r>
          </w:p>
        </w:tc>
      </w:tr>
    </w:tbl>
    <w:p w14:paraId="537A37CA" w14:textId="5E117C63" w:rsidR="00B36259" w:rsidRDefault="00B36259" w:rsidP="00B725FD"/>
    <w:p w14:paraId="12BB2B4F" w14:textId="77777777" w:rsidR="00D627CC" w:rsidRPr="00D627CC" w:rsidRDefault="00D627CC" w:rsidP="00D627CC"/>
    <w:p w14:paraId="317930E5" w14:textId="77777777" w:rsidR="00D627CC" w:rsidRPr="00D627CC" w:rsidRDefault="00D627CC" w:rsidP="00D627CC"/>
    <w:p w14:paraId="115587B4" w14:textId="77777777" w:rsidR="00D627CC" w:rsidRPr="00D627CC" w:rsidRDefault="00D627CC" w:rsidP="00D627CC"/>
    <w:p w14:paraId="1943B4F2" w14:textId="00B236A2" w:rsidR="00D627CC" w:rsidRPr="00D627CC" w:rsidRDefault="00D627CC" w:rsidP="00D627CC"/>
    <w:p w14:paraId="5581765D" w14:textId="77777777" w:rsidR="00D627CC" w:rsidRPr="00D627CC" w:rsidRDefault="00D627CC" w:rsidP="00D627CC"/>
    <w:p w14:paraId="62A6AE71" w14:textId="77777777" w:rsidR="00D627CC" w:rsidRPr="00D627CC" w:rsidRDefault="00D627CC" w:rsidP="00D627CC"/>
    <w:p w14:paraId="2F7F0B08" w14:textId="77777777" w:rsidR="00D627CC" w:rsidRPr="00D627CC" w:rsidRDefault="00D627CC" w:rsidP="00D627CC"/>
    <w:p w14:paraId="37D6ED8D" w14:textId="77777777" w:rsidR="00D627CC" w:rsidRPr="00D627CC" w:rsidRDefault="00D627CC" w:rsidP="00D627CC"/>
    <w:p w14:paraId="4B64042D" w14:textId="77777777" w:rsidR="00D627CC" w:rsidRPr="00D627CC" w:rsidRDefault="00D627CC" w:rsidP="00D627CC"/>
    <w:p w14:paraId="570116E6" w14:textId="77777777" w:rsidR="00D627CC" w:rsidRDefault="00D627CC" w:rsidP="00D627CC"/>
    <w:p w14:paraId="5FD86C9D" w14:textId="473CA1D9" w:rsidR="00D627CC" w:rsidRPr="00D627CC" w:rsidRDefault="00D627CC" w:rsidP="00D627CC">
      <w:pPr>
        <w:jc w:val="center"/>
      </w:pPr>
    </w:p>
    <w:sectPr w:rsidR="00D627CC" w:rsidRPr="00D627CC" w:rsidSect="00D242EA">
      <w:headerReference w:type="default" r:id="rId28"/>
      <w:footerReference w:type="default" r:id="rId29"/>
      <w:pgSz w:w="12240" w:h="15840"/>
      <w:pgMar w:top="225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6C6AA" w14:textId="77777777" w:rsidR="00B626B7" w:rsidRDefault="00B626B7" w:rsidP="00D55604">
      <w:r>
        <w:separator/>
      </w:r>
    </w:p>
  </w:endnote>
  <w:endnote w:type="continuationSeparator" w:id="0">
    <w:p w14:paraId="22594994" w14:textId="77777777" w:rsidR="00B626B7" w:rsidRDefault="00B626B7" w:rsidP="00D5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81812" w14:textId="77777777" w:rsidR="00F07AAB" w:rsidRDefault="00B25094" w:rsidP="0058027C">
    <w:pPr>
      <w:ind w:right="-630"/>
      <w:rPr>
        <w:rFonts w:cs="Arial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C361BB6" wp14:editId="544296C6">
          <wp:simplePos x="0" y="0"/>
          <wp:positionH relativeFrom="column">
            <wp:posOffset>3949700</wp:posOffset>
          </wp:positionH>
          <wp:positionV relativeFrom="paragraph">
            <wp:posOffset>-91440</wp:posOffset>
          </wp:positionV>
          <wp:extent cx="2726690" cy="564515"/>
          <wp:effectExtent l="0" t="0" r="0" b="6985"/>
          <wp:wrapThrough wrapText="bothSides">
            <wp:wrapPolygon edited="0">
              <wp:start x="0" y="0"/>
              <wp:lineTo x="0" y="21138"/>
              <wp:lineTo x="21429" y="21138"/>
              <wp:lineTo x="21429" y="0"/>
              <wp:lineTo x="0" y="0"/>
            </wp:wrapPolygon>
          </wp:wrapThrough>
          <wp:docPr id="480618939" name="Picture 480618939" descr="U.S. Department of Veterans Affairs logo for the Veterans Benefits Administration Office of Administrative 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3" descr="U.S. Department of Veterans Affairs logo for the Veterans Benefits Administration Office of Administrative Review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69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7AAB">
      <w:rPr>
        <w:rFonts w:cs="Arial"/>
        <w:szCs w:val="24"/>
      </w:rPr>
      <w:t>Last Updated:</w:t>
    </w:r>
  </w:p>
  <w:p w14:paraId="5D506A4E" w14:textId="29207351" w:rsidR="0046479E" w:rsidRDefault="00253E67" w:rsidP="0058027C">
    <w:pPr>
      <w:ind w:right="-630"/>
      <w:rPr>
        <w:rFonts w:cs="Arial"/>
        <w:szCs w:val="24"/>
      </w:rPr>
    </w:pPr>
    <w:r>
      <w:rPr>
        <w:rFonts w:cs="Arial"/>
        <w:szCs w:val="24"/>
      </w:rPr>
      <w:t>November</w:t>
    </w:r>
    <w:r w:rsidR="00F07AAB">
      <w:rPr>
        <w:rFonts w:cs="Arial"/>
        <w:szCs w:val="24"/>
      </w:rPr>
      <w:t xml:space="preserve"> 2024</w:t>
    </w:r>
    <w:r w:rsidR="009315C1" w:rsidRPr="009315C1">
      <w:rPr>
        <w:rFonts w:cs="Arial"/>
        <w:szCs w:val="24"/>
      </w:rPr>
      <w:ptab w:relativeTo="margin" w:alignment="center" w:leader="none"/>
    </w:r>
    <w:r w:rsidR="00FE0D27" w:rsidRPr="00FE0D27">
      <w:t xml:space="preserve"> </w:t>
    </w:r>
    <w:r w:rsidR="00FE0D27">
      <w:t xml:space="preserve">Page </w:t>
    </w:r>
    <w:r w:rsidR="00FE0D27">
      <w:rPr>
        <w:b/>
        <w:bCs/>
        <w:szCs w:val="24"/>
      </w:rPr>
      <w:fldChar w:fldCharType="begin"/>
    </w:r>
    <w:r w:rsidR="00FE0D27">
      <w:rPr>
        <w:b/>
        <w:bCs/>
      </w:rPr>
      <w:instrText xml:space="preserve"> PAGE </w:instrText>
    </w:r>
    <w:r w:rsidR="00FE0D27">
      <w:rPr>
        <w:b/>
        <w:bCs/>
        <w:szCs w:val="24"/>
      </w:rPr>
      <w:fldChar w:fldCharType="separate"/>
    </w:r>
    <w:r w:rsidR="00FE0D27">
      <w:rPr>
        <w:b/>
        <w:bCs/>
        <w:szCs w:val="24"/>
      </w:rPr>
      <w:t>1</w:t>
    </w:r>
    <w:r w:rsidR="00FE0D27">
      <w:rPr>
        <w:b/>
        <w:bCs/>
        <w:szCs w:val="24"/>
      </w:rPr>
      <w:fldChar w:fldCharType="end"/>
    </w:r>
    <w:r w:rsidR="00FE0D27">
      <w:t xml:space="preserve"> of </w:t>
    </w:r>
    <w:r w:rsidR="00FE0D27">
      <w:rPr>
        <w:b/>
        <w:bCs/>
        <w:szCs w:val="24"/>
      </w:rPr>
      <w:fldChar w:fldCharType="begin"/>
    </w:r>
    <w:r w:rsidR="00FE0D27">
      <w:rPr>
        <w:b/>
        <w:bCs/>
      </w:rPr>
      <w:instrText xml:space="preserve"> NUMPAGES  </w:instrText>
    </w:r>
    <w:r w:rsidR="00FE0D27">
      <w:rPr>
        <w:b/>
        <w:bCs/>
        <w:szCs w:val="24"/>
      </w:rPr>
      <w:fldChar w:fldCharType="separate"/>
    </w:r>
    <w:r w:rsidR="00FE0D27">
      <w:rPr>
        <w:b/>
        <w:bCs/>
        <w:szCs w:val="24"/>
      </w:rPr>
      <w:t>1</w:t>
    </w:r>
    <w:r w:rsidR="00FE0D27">
      <w:rPr>
        <w:b/>
        <w:bCs/>
        <w:szCs w:val="24"/>
      </w:rPr>
      <w:fldChar w:fldCharType="end"/>
    </w:r>
    <w:r w:rsidR="00B25094">
      <w:rPr>
        <w:rFonts w:cs="Arial"/>
        <w:szCs w:val="24"/>
      </w:rPr>
      <w:t xml:space="preserve"> </w:t>
    </w:r>
    <w:r w:rsidR="009315C1" w:rsidRPr="009315C1">
      <w:rPr>
        <w:rFonts w:cs="Arial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CA547" w14:textId="77777777" w:rsidR="00B626B7" w:rsidRDefault="00B626B7" w:rsidP="00D55604">
      <w:r>
        <w:separator/>
      </w:r>
    </w:p>
  </w:footnote>
  <w:footnote w:type="continuationSeparator" w:id="0">
    <w:p w14:paraId="2160447F" w14:textId="77777777" w:rsidR="00B626B7" w:rsidRDefault="00B626B7" w:rsidP="00D55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F6D7E" w14:textId="19DBCEDC" w:rsidR="00D55604" w:rsidRDefault="00806A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1D7546" wp14:editId="5A81D285">
              <wp:simplePos x="0" y="0"/>
              <wp:positionH relativeFrom="column">
                <wp:posOffset>-762000</wp:posOffset>
              </wp:positionH>
              <wp:positionV relativeFrom="paragraph">
                <wp:posOffset>-609600</wp:posOffset>
              </wp:positionV>
              <wp:extent cx="7343775" cy="1386205"/>
              <wp:effectExtent l="0" t="0" r="9525" b="4445"/>
              <wp:wrapNone/>
              <wp:docPr id="11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3775" cy="138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86D68" w14:textId="77777777" w:rsidR="00D55604" w:rsidRPr="00024EC5" w:rsidRDefault="00D55604" w:rsidP="00024EC5">
                          <w:pPr>
                            <w:rPr>
                              <w:rFonts w:ascii="Calibri"/>
                              <w:b/>
                              <w:color w:val="003366"/>
                              <w:spacing w:val="-1"/>
                              <w:sz w:val="44"/>
                              <w:szCs w:val="44"/>
                            </w:rPr>
                          </w:pPr>
                        </w:p>
                        <w:p w14:paraId="629A14E8" w14:textId="77777777" w:rsidR="006F433E" w:rsidRDefault="006F433E" w:rsidP="006F433E">
                          <w:pPr>
                            <w:ind w:left="360"/>
                            <w:rPr>
                              <w:rFonts w:eastAsia="Calibri" w:cs="Arial"/>
                              <w:b/>
                              <w:color w:val="FFFFFF" w:themeColor="background1"/>
                              <w:sz w:val="44"/>
                              <w:szCs w:val="72"/>
                            </w:rPr>
                          </w:pPr>
                        </w:p>
                        <w:p w14:paraId="4C20F839" w14:textId="77777777" w:rsidR="006F433E" w:rsidRDefault="00F11C72" w:rsidP="006F433E">
                          <w:pPr>
                            <w:ind w:left="360"/>
                            <w:rPr>
                              <w:rFonts w:eastAsia="Calibri" w:cs="Arial"/>
                              <w:b/>
                              <w:color w:val="FFFFFF" w:themeColor="background1"/>
                              <w:sz w:val="44"/>
                              <w:szCs w:val="72"/>
                            </w:rPr>
                          </w:pPr>
                          <w:r>
                            <w:rPr>
                              <w:rFonts w:eastAsia="Calibri" w:cs="Arial"/>
                              <w:b/>
                              <w:color w:val="FFFFFF" w:themeColor="background1"/>
                              <w:sz w:val="44"/>
                              <w:szCs w:val="72"/>
                            </w:rPr>
                            <w:t>Office of Administrative Review</w:t>
                          </w:r>
                        </w:p>
                        <w:p w14:paraId="45DBFFF6" w14:textId="31625261" w:rsidR="00024EC5" w:rsidRPr="00024EC5" w:rsidRDefault="00593E34" w:rsidP="00593E34">
                          <w:pPr>
                            <w:ind w:left="360"/>
                            <w:rPr>
                              <w:rFonts w:eastAsia="Calibri" w:cs="Arial"/>
                              <w:color w:val="FFFFFF" w:themeColor="background1"/>
                              <w:sz w:val="44"/>
                              <w:szCs w:val="72"/>
                            </w:rPr>
                          </w:pPr>
                          <w:r w:rsidRPr="00593E34"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  <w:t>Rating Foreign Cases Tip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1D75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&quot;&quot;" style="position:absolute;margin-left:-60pt;margin-top:-48pt;width:578.25pt;height:10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" filled="f" stroked="f">
              <v:textbox inset="0,0,0,0">
                <w:txbxContent>
                  <w:p w14:paraId="51486D68" w14:textId="77777777" w:rsidR="00D55604" w:rsidRPr="00024EC5" w:rsidRDefault="00D55604" w:rsidP="00024EC5">
                    <w:pPr>
                      <w:rPr>
                        <w:rFonts w:ascii="Calibri"/>
                        <w:b/>
                        <w:color w:val="003366"/>
                        <w:spacing w:val="-1"/>
                        <w:sz w:val="44"/>
                        <w:szCs w:val="44"/>
                      </w:rPr>
                    </w:pPr>
                  </w:p>
                  <w:p w14:paraId="629A14E8" w14:textId="77777777" w:rsidR="006F433E" w:rsidRDefault="006F433E" w:rsidP="006F433E">
                    <w:pPr>
                      <w:ind w:left="360"/>
                      <w:rPr>
                        <w:rFonts w:eastAsia="Calibri" w:cs="Arial"/>
                        <w:b/>
                        <w:color w:val="FFFFFF" w:themeColor="background1"/>
                        <w:sz w:val="44"/>
                        <w:szCs w:val="72"/>
                      </w:rPr>
                    </w:pPr>
                  </w:p>
                  <w:p w14:paraId="4C20F839" w14:textId="77777777" w:rsidR="006F433E" w:rsidRDefault="00F11C72" w:rsidP="006F433E">
                    <w:pPr>
                      <w:ind w:left="360"/>
                      <w:rPr>
                        <w:rFonts w:eastAsia="Calibri" w:cs="Arial"/>
                        <w:b/>
                        <w:color w:val="FFFFFF" w:themeColor="background1"/>
                        <w:sz w:val="44"/>
                        <w:szCs w:val="72"/>
                      </w:rPr>
                    </w:pPr>
                    <w:r>
                      <w:rPr>
                        <w:rFonts w:eastAsia="Calibri" w:cs="Arial"/>
                        <w:b/>
                        <w:color w:val="FFFFFF" w:themeColor="background1"/>
                        <w:sz w:val="44"/>
                        <w:szCs w:val="72"/>
                      </w:rPr>
                      <w:t>Office of Administrative Review</w:t>
                    </w:r>
                  </w:p>
                  <w:p w14:paraId="45DBFFF6" w14:textId="31625261" w:rsidR="00024EC5" w:rsidRPr="00024EC5" w:rsidRDefault="00593E34" w:rsidP="00593E34">
                    <w:pPr>
                      <w:ind w:left="360"/>
                      <w:rPr>
                        <w:rFonts w:eastAsia="Calibri" w:cs="Arial"/>
                        <w:color w:val="FFFFFF" w:themeColor="background1"/>
                        <w:sz w:val="44"/>
                        <w:szCs w:val="72"/>
                      </w:rPr>
                    </w:pPr>
                    <w:r w:rsidRPr="00593E34"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  <w:t>Rating Foreign Cases Tip Sheet</w:t>
                    </w:r>
                  </w:p>
                </w:txbxContent>
              </v:textbox>
            </v:shape>
          </w:pict>
        </mc:Fallback>
      </mc:AlternateContent>
    </w:r>
    <w:r w:rsidR="00D242EA">
      <w:rPr>
        <w:noProof/>
      </w:rPr>
      <w:drawing>
        <wp:anchor distT="0" distB="0" distL="114300" distR="114300" simplePos="0" relativeHeight="251658239" behindDoc="0" locked="0" layoutInCell="1" allowOverlap="1" wp14:anchorId="5D95F9E2" wp14:editId="18945C5C">
          <wp:simplePos x="0" y="0"/>
          <wp:positionH relativeFrom="column">
            <wp:posOffset>-914400</wp:posOffset>
          </wp:positionH>
          <wp:positionV relativeFrom="paragraph">
            <wp:posOffset>-447675</wp:posOffset>
          </wp:positionV>
          <wp:extent cx="7863840" cy="1224421"/>
          <wp:effectExtent l="0" t="0" r="3810" b="0"/>
          <wp:wrapNone/>
          <wp:docPr id="19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1025EE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1224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56837"/>
    <w:multiLevelType w:val="hybridMultilevel"/>
    <w:tmpl w:val="CA221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54FE"/>
    <w:multiLevelType w:val="hybridMultilevel"/>
    <w:tmpl w:val="97B0BDC6"/>
    <w:lvl w:ilvl="0" w:tplc="8E525E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69E7"/>
    <w:multiLevelType w:val="hybridMultilevel"/>
    <w:tmpl w:val="3C9A6BC8"/>
    <w:lvl w:ilvl="0" w:tplc="8E525E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1B2D4B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811C6"/>
    <w:multiLevelType w:val="hybridMultilevel"/>
    <w:tmpl w:val="36BA0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63CB2"/>
    <w:multiLevelType w:val="hybridMultilevel"/>
    <w:tmpl w:val="620E3520"/>
    <w:lvl w:ilvl="0" w:tplc="8E525E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D4720"/>
    <w:multiLevelType w:val="hybridMultilevel"/>
    <w:tmpl w:val="9876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15953"/>
    <w:multiLevelType w:val="hybridMultilevel"/>
    <w:tmpl w:val="FE6E4B3A"/>
    <w:lvl w:ilvl="0" w:tplc="8E525E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773C3"/>
    <w:multiLevelType w:val="hybridMultilevel"/>
    <w:tmpl w:val="CDF02D6C"/>
    <w:lvl w:ilvl="0" w:tplc="1BAABEF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D3AA9"/>
    <w:multiLevelType w:val="hybridMultilevel"/>
    <w:tmpl w:val="3A68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749EF"/>
    <w:multiLevelType w:val="hybridMultilevel"/>
    <w:tmpl w:val="732E241C"/>
    <w:lvl w:ilvl="0" w:tplc="8E525E4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8E47CB"/>
    <w:multiLevelType w:val="hybridMultilevel"/>
    <w:tmpl w:val="0D168236"/>
    <w:lvl w:ilvl="0" w:tplc="8E525E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42ACD"/>
    <w:multiLevelType w:val="hybridMultilevel"/>
    <w:tmpl w:val="7DF81602"/>
    <w:lvl w:ilvl="0" w:tplc="8E525E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208E5"/>
    <w:multiLevelType w:val="hybridMultilevel"/>
    <w:tmpl w:val="B970B6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36644"/>
    <w:multiLevelType w:val="hybridMultilevel"/>
    <w:tmpl w:val="113EB6BA"/>
    <w:lvl w:ilvl="0" w:tplc="8E525E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9359A"/>
    <w:multiLevelType w:val="hybridMultilevel"/>
    <w:tmpl w:val="037C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64680"/>
    <w:multiLevelType w:val="hybridMultilevel"/>
    <w:tmpl w:val="AB26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93CD0"/>
    <w:multiLevelType w:val="hybridMultilevel"/>
    <w:tmpl w:val="72AE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B35DF"/>
    <w:multiLevelType w:val="hybridMultilevel"/>
    <w:tmpl w:val="B988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716B"/>
    <w:multiLevelType w:val="hybridMultilevel"/>
    <w:tmpl w:val="E102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06C55"/>
    <w:multiLevelType w:val="hybridMultilevel"/>
    <w:tmpl w:val="98EADC18"/>
    <w:lvl w:ilvl="0" w:tplc="8E525E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C082D"/>
    <w:multiLevelType w:val="hybridMultilevel"/>
    <w:tmpl w:val="ABE2A4D0"/>
    <w:lvl w:ilvl="0" w:tplc="97FC3B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60968"/>
    <w:multiLevelType w:val="hybridMultilevel"/>
    <w:tmpl w:val="13BC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55628"/>
    <w:multiLevelType w:val="hybridMultilevel"/>
    <w:tmpl w:val="03D6722C"/>
    <w:lvl w:ilvl="0" w:tplc="97FC3B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A1EE7"/>
    <w:multiLevelType w:val="hybridMultilevel"/>
    <w:tmpl w:val="889C3674"/>
    <w:lvl w:ilvl="0" w:tplc="97FC3B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6040E"/>
    <w:multiLevelType w:val="hybridMultilevel"/>
    <w:tmpl w:val="40CC59D4"/>
    <w:lvl w:ilvl="0" w:tplc="8E525E4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705AC5BA">
      <w:numFmt w:val="bullet"/>
      <w:lvlText w:val=""/>
      <w:lvlJc w:val="left"/>
      <w:pPr>
        <w:ind w:left="1800" w:hanging="72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90C79"/>
    <w:multiLevelType w:val="hybridMultilevel"/>
    <w:tmpl w:val="6AC8F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94A8D"/>
    <w:multiLevelType w:val="hybridMultilevel"/>
    <w:tmpl w:val="0C52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85BDD"/>
    <w:multiLevelType w:val="hybridMultilevel"/>
    <w:tmpl w:val="8F16A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F520E"/>
    <w:multiLevelType w:val="hybridMultilevel"/>
    <w:tmpl w:val="5BB242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212EF"/>
    <w:multiLevelType w:val="hybridMultilevel"/>
    <w:tmpl w:val="236A0FF2"/>
    <w:lvl w:ilvl="0" w:tplc="8E525E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933163">
    <w:abstractNumId w:val="26"/>
  </w:num>
  <w:num w:numId="2" w16cid:durableId="913705945">
    <w:abstractNumId w:val="20"/>
  </w:num>
  <w:num w:numId="3" w16cid:durableId="1111510637">
    <w:abstractNumId w:val="12"/>
  </w:num>
  <w:num w:numId="4" w16cid:durableId="1371807758">
    <w:abstractNumId w:val="28"/>
  </w:num>
  <w:num w:numId="5" w16cid:durableId="1192574241">
    <w:abstractNumId w:val="16"/>
  </w:num>
  <w:num w:numId="6" w16cid:durableId="1668705567">
    <w:abstractNumId w:val="15"/>
  </w:num>
  <w:num w:numId="7" w16cid:durableId="807433861">
    <w:abstractNumId w:val="14"/>
  </w:num>
  <w:num w:numId="8" w16cid:durableId="677774286">
    <w:abstractNumId w:val="22"/>
  </w:num>
  <w:num w:numId="9" w16cid:durableId="200485498">
    <w:abstractNumId w:val="23"/>
  </w:num>
  <w:num w:numId="10" w16cid:durableId="1862353444">
    <w:abstractNumId w:val="21"/>
  </w:num>
  <w:num w:numId="11" w16cid:durableId="491608720">
    <w:abstractNumId w:val="17"/>
  </w:num>
  <w:num w:numId="12" w16cid:durableId="1318650316">
    <w:abstractNumId w:val="0"/>
  </w:num>
  <w:num w:numId="13" w16cid:durableId="972098201">
    <w:abstractNumId w:val="5"/>
  </w:num>
  <w:num w:numId="14" w16cid:durableId="650136577">
    <w:abstractNumId w:val="8"/>
  </w:num>
  <w:num w:numId="15" w16cid:durableId="1488399465">
    <w:abstractNumId w:val="3"/>
  </w:num>
  <w:num w:numId="16" w16cid:durableId="282418701">
    <w:abstractNumId w:val="25"/>
  </w:num>
  <w:num w:numId="17" w16cid:durableId="710151032">
    <w:abstractNumId w:val="27"/>
  </w:num>
  <w:num w:numId="18" w16cid:durableId="114838087">
    <w:abstractNumId w:val="18"/>
  </w:num>
  <w:num w:numId="19" w16cid:durableId="1177303612">
    <w:abstractNumId w:val="24"/>
  </w:num>
  <w:num w:numId="20" w16cid:durableId="1290890481">
    <w:abstractNumId w:val="9"/>
  </w:num>
  <w:num w:numId="21" w16cid:durableId="84499545">
    <w:abstractNumId w:val="29"/>
  </w:num>
  <w:num w:numId="22" w16cid:durableId="1481384351">
    <w:abstractNumId w:val="7"/>
  </w:num>
  <w:num w:numId="23" w16cid:durableId="2053264937">
    <w:abstractNumId w:val="13"/>
  </w:num>
  <w:num w:numId="24" w16cid:durableId="656301426">
    <w:abstractNumId w:val="10"/>
  </w:num>
  <w:num w:numId="25" w16cid:durableId="1735619161">
    <w:abstractNumId w:val="2"/>
  </w:num>
  <w:num w:numId="26" w16cid:durableId="1468454">
    <w:abstractNumId w:val="11"/>
  </w:num>
  <w:num w:numId="27" w16cid:durableId="2054885720">
    <w:abstractNumId w:val="1"/>
  </w:num>
  <w:num w:numId="28" w16cid:durableId="481122570">
    <w:abstractNumId w:val="4"/>
  </w:num>
  <w:num w:numId="29" w16cid:durableId="2121533245">
    <w:abstractNumId w:val="19"/>
  </w:num>
  <w:num w:numId="30" w16cid:durableId="1324701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04"/>
    <w:rsid w:val="00024EC5"/>
    <w:rsid w:val="00031306"/>
    <w:rsid w:val="000355C7"/>
    <w:rsid w:val="000454DB"/>
    <w:rsid w:val="00045877"/>
    <w:rsid w:val="00057CEC"/>
    <w:rsid w:val="000606E6"/>
    <w:rsid w:val="00074EC9"/>
    <w:rsid w:val="00092222"/>
    <w:rsid w:val="00097C44"/>
    <w:rsid w:val="000E46F3"/>
    <w:rsid w:val="000E7B6C"/>
    <w:rsid w:val="000F41EF"/>
    <w:rsid w:val="001035C7"/>
    <w:rsid w:val="001169B4"/>
    <w:rsid w:val="00122B61"/>
    <w:rsid w:val="00137CCA"/>
    <w:rsid w:val="00165F24"/>
    <w:rsid w:val="00167EBE"/>
    <w:rsid w:val="00177E6F"/>
    <w:rsid w:val="0019027C"/>
    <w:rsid w:val="0019478A"/>
    <w:rsid w:val="001950F5"/>
    <w:rsid w:val="001972F2"/>
    <w:rsid w:val="00197F8B"/>
    <w:rsid w:val="001B5558"/>
    <w:rsid w:val="001F2E9A"/>
    <w:rsid w:val="002166A7"/>
    <w:rsid w:val="0022568F"/>
    <w:rsid w:val="002269B0"/>
    <w:rsid w:val="00227D2C"/>
    <w:rsid w:val="00236F71"/>
    <w:rsid w:val="002455EA"/>
    <w:rsid w:val="00253E67"/>
    <w:rsid w:val="00263D07"/>
    <w:rsid w:val="002A6515"/>
    <w:rsid w:val="002E5634"/>
    <w:rsid w:val="002E5CE4"/>
    <w:rsid w:val="00315456"/>
    <w:rsid w:val="00326BF7"/>
    <w:rsid w:val="00337411"/>
    <w:rsid w:val="003414ED"/>
    <w:rsid w:val="003444B3"/>
    <w:rsid w:val="0035098D"/>
    <w:rsid w:val="00351FFB"/>
    <w:rsid w:val="003810DC"/>
    <w:rsid w:val="003C532A"/>
    <w:rsid w:val="003D1034"/>
    <w:rsid w:val="003D28DB"/>
    <w:rsid w:val="003D4692"/>
    <w:rsid w:val="003D50CB"/>
    <w:rsid w:val="003E7A0A"/>
    <w:rsid w:val="00402251"/>
    <w:rsid w:val="00410147"/>
    <w:rsid w:val="00412CDD"/>
    <w:rsid w:val="0046178C"/>
    <w:rsid w:val="0046479E"/>
    <w:rsid w:val="00476EEE"/>
    <w:rsid w:val="004A404C"/>
    <w:rsid w:val="004A4097"/>
    <w:rsid w:val="004B5808"/>
    <w:rsid w:val="004C3E22"/>
    <w:rsid w:val="004F140D"/>
    <w:rsid w:val="00504E5A"/>
    <w:rsid w:val="00525170"/>
    <w:rsid w:val="00536F6E"/>
    <w:rsid w:val="00542B58"/>
    <w:rsid w:val="005540DF"/>
    <w:rsid w:val="0056386B"/>
    <w:rsid w:val="00572BD2"/>
    <w:rsid w:val="00572D8C"/>
    <w:rsid w:val="00577504"/>
    <w:rsid w:val="0058027C"/>
    <w:rsid w:val="005858AD"/>
    <w:rsid w:val="00590267"/>
    <w:rsid w:val="00593E34"/>
    <w:rsid w:val="005A7A7C"/>
    <w:rsid w:val="005E681E"/>
    <w:rsid w:val="006301EA"/>
    <w:rsid w:val="00630F12"/>
    <w:rsid w:val="00640D80"/>
    <w:rsid w:val="00664327"/>
    <w:rsid w:val="00665B48"/>
    <w:rsid w:val="00683E8E"/>
    <w:rsid w:val="006B4816"/>
    <w:rsid w:val="006C388B"/>
    <w:rsid w:val="006D7D71"/>
    <w:rsid w:val="006E1840"/>
    <w:rsid w:val="006F433E"/>
    <w:rsid w:val="00707DD9"/>
    <w:rsid w:val="007224C9"/>
    <w:rsid w:val="00744162"/>
    <w:rsid w:val="00754A39"/>
    <w:rsid w:val="00770B7B"/>
    <w:rsid w:val="00770FEA"/>
    <w:rsid w:val="00774F92"/>
    <w:rsid w:val="00775D11"/>
    <w:rsid w:val="00781151"/>
    <w:rsid w:val="00781303"/>
    <w:rsid w:val="007909EE"/>
    <w:rsid w:val="007A16F5"/>
    <w:rsid w:val="007B58E6"/>
    <w:rsid w:val="007F119E"/>
    <w:rsid w:val="007F57BB"/>
    <w:rsid w:val="00806AA7"/>
    <w:rsid w:val="00807CA0"/>
    <w:rsid w:val="00811E1B"/>
    <w:rsid w:val="00820230"/>
    <w:rsid w:val="008313AD"/>
    <w:rsid w:val="008446AD"/>
    <w:rsid w:val="00845090"/>
    <w:rsid w:val="00851AA5"/>
    <w:rsid w:val="00855DE3"/>
    <w:rsid w:val="008920D5"/>
    <w:rsid w:val="00895BD1"/>
    <w:rsid w:val="008B2C1A"/>
    <w:rsid w:val="008C1D61"/>
    <w:rsid w:val="008F06DD"/>
    <w:rsid w:val="009315C1"/>
    <w:rsid w:val="009365E2"/>
    <w:rsid w:val="009422A5"/>
    <w:rsid w:val="00961A6F"/>
    <w:rsid w:val="00965418"/>
    <w:rsid w:val="00972324"/>
    <w:rsid w:val="009836B1"/>
    <w:rsid w:val="009A27B5"/>
    <w:rsid w:val="009A55A3"/>
    <w:rsid w:val="009B373D"/>
    <w:rsid w:val="009C371C"/>
    <w:rsid w:val="009D36F2"/>
    <w:rsid w:val="009D6D63"/>
    <w:rsid w:val="009E55ED"/>
    <w:rsid w:val="009E7BBC"/>
    <w:rsid w:val="00A03251"/>
    <w:rsid w:val="00A0383A"/>
    <w:rsid w:val="00A356C9"/>
    <w:rsid w:val="00A70771"/>
    <w:rsid w:val="00A8284A"/>
    <w:rsid w:val="00AD7113"/>
    <w:rsid w:val="00AD7628"/>
    <w:rsid w:val="00AF61FD"/>
    <w:rsid w:val="00AF6643"/>
    <w:rsid w:val="00AF7D3E"/>
    <w:rsid w:val="00B25094"/>
    <w:rsid w:val="00B27F93"/>
    <w:rsid w:val="00B36259"/>
    <w:rsid w:val="00B626B7"/>
    <w:rsid w:val="00B63B02"/>
    <w:rsid w:val="00B703D1"/>
    <w:rsid w:val="00B725FD"/>
    <w:rsid w:val="00B743C0"/>
    <w:rsid w:val="00B83493"/>
    <w:rsid w:val="00B85DDE"/>
    <w:rsid w:val="00B8746C"/>
    <w:rsid w:val="00BA2967"/>
    <w:rsid w:val="00BB27B1"/>
    <w:rsid w:val="00BC77CF"/>
    <w:rsid w:val="00BD27BB"/>
    <w:rsid w:val="00BD7A0E"/>
    <w:rsid w:val="00C15A8F"/>
    <w:rsid w:val="00C17441"/>
    <w:rsid w:val="00C24F60"/>
    <w:rsid w:val="00C42591"/>
    <w:rsid w:val="00C53572"/>
    <w:rsid w:val="00C62E7A"/>
    <w:rsid w:val="00C6784B"/>
    <w:rsid w:val="00C95B3F"/>
    <w:rsid w:val="00C9635C"/>
    <w:rsid w:val="00D06013"/>
    <w:rsid w:val="00D242EA"/>
    <w:rsid w:val="00D31112"/>
    <w:rsid w:val="00D41174"/>
    <w:rsid w:val="00D41323"/>
    <w:rsid w:val="00D512C9"/>
    <w:rsid w:val="00D524D0"/>
    <w:rsid w:val="00D55604"/>
    <w:rsid w:val="00D627CC"/>
    <w:rsid w:val="00D63CBD"/>
    <w:rsid w:val="00D84C44"/>
    <w:rsid w:val="00DC131C"/>
    <w:rsid w:val="00DC5342"/>
    <w:rsid w:val="00DC73F7"/>
    <w:rsid w:val="00DD5C5F"/>
    <w:rsid w:val="00DE1514"/>
    <w:rsid w:val="00E06007"/>
    <w:rsid w:val="00E14CC5"/>
    <w:rsid w:val="00E278CC"/>
    <w:rsid w:val="00E53825"/>
    <w:rsid w:val="00EA188E"/>
    <w:rsid w:val="00EB69AB"/>
    <w:rsid w:val="00ED1127"/>
    <w:rsid w:val="00EE3A5F"/>
    <w:rsid w:val="00EF38C5"/>
    <w:rsid w:val="00EF3F99"/>
    <w:rsid w:val="00F07AAB"/>
    <w:rsid w:val="00F11C72"/>
    <w:rsid w:val="00F11DCE"/>
    <w:rsid w:val="00F126C8"/>
    <w:rsid w:val="00F27739"/>
    <w:rsid w:val="00F374D6"/>
    <w:rsid w:val="00F40F4B"/>
    <w:rsid w:val="00F50291"/>
    <w:rsid w:val="00F74287"/>
    <w:rsid w:val="00F77D63"/>
    <w:rsid w:val="00F85CD1"/>
    <w:rsid w:val="00FC0174"/>
    <w:rsid w:val="00FC376F"/>
    <w:rsid w:val="00FD1478"/>
    <w:rsid w:val="00FD6720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D496B9"/>
  <w15:chartTrackingRefBased/>
  <w15:docId w15:val="{3FAC49DE-8426-4647-98CB-93B84405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6720"/>
    <w:pPr>
      <w:widowControl w:val="0"/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C44"/>
    <w:pPr>
      <w:keepNext/>
      <w:keepLines/>
      <w:widowControl/>
      <w:spacing w:before="12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433E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6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604"/>
  </w:style>
  <w:style w:type="paragraph" w:styleId="Footer">
    <w:name w:val="footer"/>
    <w:basedOn w:val="Normal"/>
    <w:link w:val="FooterChar"/>
    <w:uiPriority w:val="99"/>
    <w:unhideWhenUsed/>
    <w:rsid w:val="00D55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604"/>
  </w:style>
  <w:style w:type="paragraph" w:customStyle="1" w:styleId="TableParagraph">
    <w:name w:val="Table Paragraph"/>
    <w:basedOn w:val="Normal"/>
    <w:uiPriority w:val="1"/>
    <w:qFormat/>
    <w:rsid w:val="00D55604"/>
  </w:style>
  <w:style w:type="paragraph" w:styleId="BalloonText">
    <w:name w:val="Balloon Text"/>
    <w:basedOn w:val="Normal"/>
    <w:link w:val="BalloonTextChar"/>
    <w:uiPriority w:val="99"/>
    <w:semiHidden/>
    <w:unhideWhenUsed/>
    <w:rsid w:val="009D6D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6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D6720"/>
    <w:pPr>
      <w:spacing w:after="0" w:line="240" w:lineRule="auto"/>
    </w:pPr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24E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84C4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43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F433E"/>
    <w:pPr>
      <w:widowControl/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6F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D28DB"/>
    <w:rPr>
      <w:b/>
      <w:bCs/>
    </w:rPr>
  </w:style>
  <w:style w:type="character" w:styleId="Emphasis">
    <w:name w:val="Emphasis"/>
    <w:basedOn w:val="DefaultParagraphFont"/>
    <w:uiPriority w:val="20"/>
    <w:qFormat/>
    <w:rsid w:val="0046178C"/>
    <w:rPr>
      <w:i/>
      <w:iCs/>
    </w:rPr>
  </w:style>
  <w:style w:type="character" w:styleId="Hyperlink">
    <w:name w:val="Hyperlink"/>
    <w:basedOn w:val="DefaultParagraphFont"/>
    <w:uiPriority w:val="99"/>
    <w:unhideWhenUsed/>
    <w:rsid w:val="004617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25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F66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8130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1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D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D6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D6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7.png"/><Relationship Id="rId26" Type="http://schemas.openxmlformats.org/officeDocument/2006/relationships/hyperlink" Target="mailto:VBAWASOARQUALITYTRN@va.gov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sv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vaww.vrm.km.va.gov/system/templates/selfservice/va_kanew/help/agent/locale/en-US/portal/554400000001034/topic/554400000017961/M21-5-Appeals-and-Reviews" TargetMode="External"/><Relationship Id="rId25" Type="http://schemas.openxmlformats.org/officeDocument/2006/relationships/image" Target="media/image12.svg"/><Relationship Id="rId2" Type="http://schemas.openxmlformats.org/officeDocument/2006/relationships/numbering" Target="numbering.xml"/><Relationship Id="rId16" Type="http://schemas.openxmlformats.org/officeDocument/2006/relationships/hyperlink" Target="https://vaww.vrm.km.va.gov/system/templates/selfservice/va_kanew/help/agent/locale/en-US/portal/554400000001034/content/554400000177943/M21-1-Part-X-Subpart-i-Chapter-3-Section-B-Adjudication-Procedures-for-Foreign-Claims" TargetMode="External"/><Relationship Id="rId20" Type="http://schemas.openxmlformats.org/officeDocument/2006/relationships/image" Target="media/image9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hyperlink" Target="https://www.ecfr.gov/current/title-38/chapter-I/part-3/subpart-A/subject-group-ECFR24d035b1eee2d6f/section-3.653" TargetMode="External"/><Relationship Id="rId23" Type="http://schemas.openxmlformats.org/officeDocument/2006/relationships/hyperlink" Target="https://va-hcm03.ns2cloud.com/learning/user/common/viewItemDetails.do?componentTypeID=VA&amp;componentID=4626190&amp;revisionDate=1652884680000&amp;catalogCurrencyCode=USD&amp;returnLink=%2Flearning%2Fuser%2Fcatalogsearch%2FcatalogSearchDispatchAction.do%3FsearchType%3DfilteredSearch%26keywords%3D&amp;backto=%2Flearning%2Fuser%2Fcatalogsearch%2FcatalogSearchDispatchAction.do%3FsearchType%3DfilteredSearch%26keywords%3D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8.sv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www.ecfr.gov/current/title-38/chapter-I/part-3/subpart-A/subject-group-ECFRdc46cfd3b31f77a/section-3.202" TargetMode="External"/><Relationship Id="rId22" Type="http://schemas.openxmlformats.org/officeDocument/2006/relationships/hyperlink" Target="https://hcm03.ns2cloud.com/sf/learning?destUrl=https%3a%2f%2fva%2dhcm03%2ens2cloud%2ecom%2flearning%2fuser%2fdeeplink%5fredirect%2ejsp%3flinkId%3dITEM%5fDETAILS%26componentID%3d4626187%26componentTypeID%3dVA%26revisionDate%3d1652883120000%26fromSF%3dY&amp;company=VAHCM03" TargetMode="External"/><Relationship Id="rId27" Type="http://schemas.openxmlformats.org/officeDocument/2006/relationships/hyperlink" Target="mailto:VBAWASOARQUALITYTRN@va.gov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29747-0978-4FB0-8768-C61BE68EF6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0f5b659-45e0-406d-ada9-08e0b284cfc4}" enabled="1" method="Standard" siteId="{e95f1b23-abaf-45ee-821d-b7ab251ab3b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762</Words>
  <Characters>6563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Rating Foreign Cases Tip Sheet</vt:lpstr>
    </vt:vector>
  </TitlesOfParts>
  <Company>Veterans Benefits Administration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Rating Foreign Cases Tip Sheet</dc:title>
  <dc:subject/>
  <dc:creator>Department of Veterans Affairs, Veterans Benefits Administration, Office of Administrative Review, STAFF</dc:creator>
  <cp:keywords/>
  <dc:description/>
  <cp:lastModifiedBy>Kathy Poole</cp:lastModifiedBy>
  <cp:revision>73</cp:revision>
  <dcterms:created xsi:type="dcterms:W3CDTF">2024-10-31T15:59:00Z</dcterms:created>
  <dcterms:modified xsi:type="dcterms:W3CDTF">2024-12-18T15:10:00Z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