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D37ECC">
      <w:pPr>
        <w:pStyle w:val="BodyText"/>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0ABE0D67" w14:textId="1B9AAAAE" w:rsidR="00A6115E"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37544533" w:history="1">
            <w:r w:rsidR="00A6115E" w:rsidRPr="000E65EA">
              <w:rPr>
                <w:rStyle w:val="Hyperlink"/>
                <w:noProof/>
              </w:rPr>
              <w:t>Responsible Party for Corrective Action on Errors Cited</w:t>
            </w:r>
            <w:r w:rsidR="00A6115E">
              <w:rPr>
                <w:noProof/>
                <w:webHidden/>
              </w:rPr>
              <w:tab/>
            </w:r>
            <w:r w:rsidR="00A6115E">
              <w:rPr>
                <w:noProof/>
                <w:webHidden/>
              </w:rPr>
              <w:fldChar w:fldCharType="begin"/>
            </w:r>
            <w:r w:rsidR="00A6115E">
              <w:rPr>
                <w:noProof/>
                <w:webHidden/>
              </w:rPr>
              <w:instrText xml:space="preserve"> PAGEREF _Toc137544533 \h </w:instrText>
            </w:r>
            <w:r w:rsidR="00A6115E">
              <w:rPr>
                <w:noProof/>
                <w:webHidden/>
              </w:rPr>
            </w:r>
            <w:r w:rsidR="00A6115E">
              <w:rPr>
                <w:noProof/>
                <w:webHidden/>
              </w:rPr>
              <w:fldChar w:fldCharType="separate"/>
            </w:r>
            <w:r w:rsidR="006A2883">
              <w:rPr>
                <w:noProof/>
                <w:webHidden/>
              </w:rPr>
              <w:t>1</w:t>
            </w:r>
            <w:r w:rsidR="00A6115E">
              <w:rPr>
                <w:noProof/>
                <w:webHidden/>
              </w:rPr>
              <w:fldChar w:fldCharType="end"/>
            </w:r>
          </w:hyperlink>
        </w:p>
        <w:p w14:paraId="3814D48D" w14:textId="5A8E6FA7" w:rsidR="00A6115E" w:rsidRDefault="00000000">
          <w:pPr>
            <w:pStyle w:val="TOC1"/>
            <w:tabs>
              <w:tab w:val="right" w:leader="dot" w:pos="9630"/>
            </w:tabs>
            <w:rPr>
              <w:rFonts w:asciiTheme="minorHAnsi" w:eastAsiaTheme="minorEastAsia" w:hAnsiTheme="minorHAnsi" w:cstheme="minorBidi"/>
              <w:noProof/>
              <w:sz w:val="22"/>
              <w:szCs w:val="22"/>
              <w:lang w:bidi="ar-SA"/>
            </w:rPr>
          </w:pPr>
          <w:hyperlink w:anchor="_Toc137544534" w:history="1">
            <w:r w:rsidR="00A6115E" w:rsidRPr="000E65EA">
              <w:rPr>
                <w:rStyle w:val="Hyperlink"/>
                <w:noProof/>
              </w:rPr>
              <w:t>Jurisdiction of Complex Medical Opinion Review</w:t>
            </w:r>
            <w:r w:rsidR="00A6115E">
              <w:rPr>
                <w:noProof/>
                <w:webHidden/>
              </w:rPr>
              <w:tab/>
            </w:r>
            <w:r w:rsidR="00A6115E">
              <w:rPr>
                <w:noProof/>
                <w:webHidden/>
              </w:rPr>
              <w:fldChar w:fldCharType="begin"/>
            </w:r>
            <w:r w:rsidR="00A6115E">
              <w:rPr>
                <w:noProof/>
                <w:webHidden/>
              </w:rPr>
              <w:instrText xml:space="preserve"> PAGEREF _Toc137544534 \h </w:instrText>
            </w:r>
            <w:r w:rsidR="00A6115E">
              <w:rPr>
                <w:noProof/>
                <w:webHidden/>
              </w:rPr>
            </w:r>
            <w:r w:rsidR="00A6115E">
              <w:rPr>
                <w:noProof/>
                <w:webHidden/>
              </w:rPr>
              <w:fldChar w:fldCharType="separate"/>
            </w:r>
            <w:r w:rsidR="006A2883">
              <w:rPr>
                <w:noProof/>
                <w:webHidden/>
              </w:rPr>
              <w:t>2</w:t>
            </w:r>
            <w:r w:rsidR="00A6115E">
              <w:rPr>
                <w:noProof/>
                <w:webHidden/>
              </w:rPr>
              <w:fldChar w:fldCharType="end"/>
            </w:r>
          </w:hyperlink>
        </w:p>
        <w:p w14:paraId="122AFE8A" w14:textId="71852FC2" w:rsidR="00A6115E" w:rsidRDefault="00000000">
          <w:pPr>
            <w:pStyle w:val="TOC1"/>
            <w:tabs>
              <w:tab w:val="right" w:leader="dot" w:pos="9630"/>
            </w:tabs>
            <w:rPr>
              <w:rFonts w:asciiTheme="minorHAnsi" w:eastAsiaTheme="minorEastAsia" w:hAnsiTheme="minorHAnsi" w:cstheme="minorBidi"/>
              <w:noProof/>
              <w:sz w:val="22"/>
              <w:szCs w:val="22"/>
              <w:lang w:bidi="ar-SA"/>
            </w:rPr>
          </w:pPr>
          <w:hyperlink w:anchor="_Toc137544535" w:history="1">
            <w:r w:rsidR="00A6115E" w:rsidRPr="000E65EA">
              <w:rPr>
                <w:rStyle w:val="Hyperlink"/>
                <w:noProof/>
              </w:rPr>
              <w:t>Missing End Product (EP) 040s</w:t>
            </w:r>
            <w:r w:rsidR="00A6115E">
              <w:rPr>
                <w:noProof/>
                <w:webHidden/>
              </w:rPr>
              <w:tab/>
            </w:r>
            <w:r w:rsidR="00A6115E">
              <w:rPr>
                <w:noProof/>
                <w:webHidden/>
              </w:rPr>
              <w:fldChar w:fldCharType="begin"/>
            </w:r>
            <w:r w:rsidR="00A6115E">
              <w:rPr>
                <w:noProof/>
                <w:webHidden/>
              </w:rPr>
              <w:instrText xml:space="preserve"> PAGEREF _Toc137544535 \h </w:instrText>
            </w:r>
            <w:r w:rsidR="00A6115E">
              <w:rPr>
                <w:noProof/>
                <w:webHidden/>
              </w:rPr>
            </w:r>
            <w:r w:rsidR="00A6115E">
              <w:rPr>
                <w:noProof/>
                <w:webHidden/>
              </w:rPr>
              <w:fldChar w:fldCharType="separate"/>
            </w:r>
            <w:r w:rsidR="006A2883">
              <w:rPr>
                <w:noProof/>
                <w:webHidden/>
              </w:rPr>
              <w:t>3</w:t>
            </w:r>
            <w:r w:rsidR="00A6115E">
              <w:rPr>
                <w:noProof/>
                <w:webHidden/>
              </w:rPr>
              <w:fldChar w:fldCharType="end"/>
            </w:r>
          </w:hyperlink>
        </w:p>
        <w:p w14:paraId="1673BB64" w14:textId="02DFCA83" w:rsidR="00A6115E" w:rsidRDefault="00000000">
          <w:pPr>
            <w:pStyle w:val="TOC1"/>
            <w:tabs>
              <w:tab w:val="right" w:leader="dot" w:pos="9630"/>
            </w:tabs>
            <w:rPr>
              <w:rFonts w:asciiTheme="minorHAnsi" w:eastAsiaTheme="minorEastAsia" w:hAnsiTheme="minorHAnsi" w:cstheme="minorBidi"/>
              <w:noProof/>
              <w:sz w:val="22"/>
              <w:szCs w:val="22"/>
              <w:lang w:bidi="ar-SA"/>
            </w:rPr>
          </w:pPr>
          <w:hyperlink w:anchor="_Toc137544536" w:history="1">
            <w:r w:rsidR="00A6115E" w:rsidRPr="000E65EA">
              <w:rPr>
                <w:rStyle w:val="Hyperlink"/>
                <w:noProof/>
              </w:rPr>
              <w:t>PACT ACT In-Process Reviews (IPRs)</w:t>
            </w:r>
            <w:r w:rsidR="00A6115E">
              <w:rPr>
                <w:noProof/>
                <w:webHidden/>
              </w:rPr>
              <w:tab/>
            </w:r>
            <w:r w:rsidR="00A6115E">
              <w:rPr>
                <w:noProof/>
                <w:webHidden/>
              </w:rPr>
              <w:fldChar w:fldCharType="begin"/>
            </w:r>
            <w:r w:rsidR="00A6115E">
              <w:rPr>
                <w:noProof/>
                <w:webHidden/>
              </w:rPr>
              <w:instrText xml:space="preserve"> PAGEREF _Toc137544536 \h </w:instrText>
            </w:r>
            <w:r w:rsidR="00A6115E">
              <w:rPr>
                <w:noProof/>
                <w:webHidden/>
              </w:rPr>
            </w:r>
            <w:r w:rsidR="00A6115E">
              <w:rPr>
                <w:noProof/>
                <w:webHidden/>
              </w:rPr>
              <w:fldChar w:fldCharType="separate"/>
            </w:r>
            <w:r w:rsidR="006A2883">
              <w:rPr>
                <w:noProof/>
                <w:webHidden/>
              </w:rPr>
              <w:t>3</w:t>
            </w:r>
            <w:r w:rsidR="00A6115E">
              <w:rPr>
                <w:noProof/>
                <w:webHidden/>
              </w:rPr>
              <w:fldChar w:fldCharType="end"/>
            </w:r>
          </w:hyperlink>
        </w:p>
        <w:p w14:paraId="70E8BB33" w14:textId="25A5CA44" w:rsidR="00A6115E" w:rsidRDefault="00000000">
          <w:pPr>
            <w:pStyle w:val="TOC1"/>
            <w:tabs>
              <w:tab w:val="right" w:leader="dot" w:pos="9630"/>
            </w:tabs>
            <w:rPr>
              <w:rFonts w:asciiTheme="minorHAnsi" w:eastAsiaTheme="minorEastAsia" w:hAnsiTheme="minorHAnsi" w:cstheme="minorBidi"/>
              <w:noProof/>
              <w:sz w:val="22"/>
              <w:szCs w:val="22"/>
              <w:lang w:bidi="ar-SA"/>
            </w:rPr>
          </w:pPr>
          <w:hyperlink w:anchor="_Toc137544537" w:history="1">
            <w:r w:rsidR="00A6115E" w:rsidRPr="000E65EA">
              <w:rPr>
                <w:rStyle w:val="Hyperlink"/>
                <w:noProof/>
              </w:rPr>
              <w:t>Questions and Answers</w:t>
            </w:r>
            <w:r w:rsidR="00A6115E">
              <w:rPr>
                <w:noProof/>
                <w:webHidden/>
              </w:rPr>
              <w:tab/>
            </w:r>
            <w:r w:rsidR="00A6115E">
              <w:rPr>
                <w:noProof/>
                <w:webHidden/>
              </w:rPr>
              <w:fldChar w:fldCharType="begin"/>
            </w:r>
            <w:r w:rsidR="00A6115E">
              <w:rPr>
                <w:noProof/>
                <w:webHidden/>
              </w:rPr>
              <w:instrText xml:space="preserve"> PAGEREF _Toc137544537 \h </w:instrText>
            </w:r>
            <w:r w:rsidR="00A6115E">
              <w:rPr>
                <w:noProof/>
                <w:webHidden/>
              </w:rPr>
            </w:r>
            <w:r w:rsidR="00A6115E">
              <w:rPr>
                <w:noProof/>
                <w:webHidden/>
              </w:rPr>
              <w:fldChar w:fldCharType="separate"/>
            </w:r>
            <w:r w:rsidR="006A2883">
              <w:rPr>
                <w:noProof/>
                <w:webHidden/>
              </w:rPr>
              <w:t>4</w:t>
            </w:r>
            <w:r w:rsidR="00A6115E">
              <w:rPr>
                <w:noProof/>
                <w:webHidden/>
              </w:rPr>
              <w:fldChar w:fldCharType="end"/>
            </w:r>
          </w:hyperlink>
        </w:p>
        <w:p w14:paraId="44F67274" w14:textId="2B62857F" w:rsidR="00666EEB" w:rsidRPr="00F66E3D" w:rsidRDefault="00666EEB" w:rsidP="00B50F9D">
          <w:pPr>
            <w:ind w:left="187"/>
            <w:rPr>
              <w:sz w:val="24"/>
              <w:szCs w:val="24"/>
            </w:rPr>
          </w:pPr>
          <w:r w:rsidRPr="00F66E3D">
            <w:rPr>
              <w:b/>
              <w:bCs/>
              <w:noProof/>
              <w:sz w:val="24"/>
              <w:szCs w:val="24"/>
            </w:rPr>
            <w:fldChar w:fldCharType="end"/>
          </w:r>
        </w:p>
      </w:sdtContent>
    </w:sdt>
    <w:p w14:paraId="300089BF" w14:textId="1E097FE2" w:rsidR="00DE6445" w:rsidRPr="00BE05B0" w:rsidRDefault="001237D0" w:rsidP="00B50F9D">
      <w:pPr>
        <w:pStyle w:val="Heading1"/>
        <w:pBdr>
          <w:bottom w:val="thinThickLargeGap" w:sz="8" w:space="1" w:color="auto"/>
        </w:pBdr>
        <w:spacing w:before="173"/>
        <w:ind w:left="187" w:right="0"/>
        <w:rPr>
          <w:color w:val="001F5F"/>
          <w:sz w:val="24"/>
          <w:szCs w:val="24"/>
        </w:rPr>
      </w:pPr>
      <w:bookmarkStart w:id="0" w:name="_Toc137544533"/>
      <w:r>
        <w:rPr>
          <w:color w:val="001F5F"/>
          <w:sz w:val="24"/>
          <w:szCs w:val="24"/>
        </w:rPr>
        <w:t>Responsible Party for Corrective Action on Errors Cited</w:t>
      </w:r>
      <w:bookmarkEnd w:id="0"/>
    </w:p>
    <w:p w14:paraId="51C966AE" w14:textId="326D4400" w:rsidR="008858D6" w:rsidRPr="00BE05B0" w:rsidRDefault="008858D6" w:rsidP="006E0415">
      <w:pPr>
        <w:pStyle w:val="BodyText"/>
        <w:spacing w:after="100" w:afterAutospacing="1"/>
        <w:ind w:left="187"/>
      </w:pPr>
      <w:r w:rsidRPr="00BE05B0">
        <w:rPr>
          <w:b/>
        </w:rPr>
        <w:t>Target Audience</w:t>
      </w:r>
      <w:r w:rsidRPr="00BE05B0">
        <w:rPr>
          <w:b/>
          <w:bCs/>
        </w:rPr>
        <w:t>:</w:t>
      </w:r>
      <w:r w:rsidR="001237D0">
        <w:t xml:space="preserve"> </w:t>
      </w:r>
      <w:r w:rsidRPr="00BE05B0">
        <w:t>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rsidR="006E0415">
        <w:t>s</w:t>
      </w:r>
      <w:r w:rsidRPr="00BE05B0">
        <w:t>)</w:t>
      </w:r>
      <w:r>
        <w:t xml:space="preserve">, </w:t>
      </w:r>
      <w:r w:rsidRPr="00BE05B0">
        <w:t>D</w:t>
      </w:r>
      <w:r>
        <w:t>ecision Review Officers (DRO</w:t>
      </w:r>
      <w:r w:rsidR="00410208">
        <w:t>s</w:t>
      </w:r>
      <w:r>
        <w:t>)</w:t>
      </w:r>
      <w:r w:rsidRPr="00BE05B0">
        <w:t>,</w:t>
      </w:r>
      <w:r>
        <w:t xml:space="preserve"> Rating Veterans Service Representatives (</w:t>
      </w:r>
      <w:r w:rsidRPr="00BE05B0">
        <w:t>RVSR</w:t>
      </w:r>
      <w:r w:rsidR="00410208">
        <w:t>s</w:t>
      </w:r>
      <w:r>
        <w:t>)</w:t>
      </w:r>
      <w:r w:rsidRPr="00BE05B0">
        <w:t xml:space="preserve">, </w:t>
      </w:r>
      <w:r>
        <w:t>Veterans Service Representatives (</w:t>
      </w:r>
      <w:r w:rsidRPr="00BE05B0">
        <w:t>VSR</w:t>
      </w:r>
      <w:r w:rsidR="00410208">
        <w:t>s</w:t>
      </w:r>
      <w:r>
        <w:t>), and Claims Assistants (CA</w:t>
      </w:r>
      <w:r w:rsidR="00410208">
        <w:t>s</w:t>
      </w:r>
      <w:r>
        <w:t>)</w:t>
      </w:r>
    </w:p>
    <w:p w14:paraId="3674F9DA" w14:textId="2FF9C467" w:rsidR="008858D6" w:rsidRDefault="008858D6" w:rsidP="008858D6">
      <w:pPr>
        <w:pStyle w:val="BodyText"/>
        <w:spacing w:after="240"/>
        <w:ind w:left="187"/>
      </w:pPr>
      <w:r w:rsidRPr="00BE05B0">
        <w:rPr>
          <w:b/>
        </w:rPr>
        <w:t xml:space="preserve">Presenter: </w:t>
      </w:r>
      <w:r w:rsidR="001237D0">
        <w:t>Ale</w:t>
      </w:r>
      <w:r w:rsidR="004E54FA">
        <w:t>xandria Katinos</w:t>
      </w:r>
      <w:r w:rsidRPr="00BE05B0">
        <w:t xml:space="preserve">, </w:t>
      </w:r>
      <w:r w:rsidR="004E54FA">
        <w:t>Senior Management and Program Analyst</w:t>
      </w:r>
      <w:r w:rsidRPr="00BE05B0">
        <w:t>,</w:t>
      </w:r>
      <w:r w:rsidR="004E54FA">
        <w:t xml:space="preserve"> OAR</w:t>
      </w:r>
      <w:r>
        <w:t xml:space="preserve"> </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5378EAC8"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heme="minorEastAsia"/>
          <w:color w:val="000000" w:themeColor="text1"/>
          <w:kern w:val="24"/>
          <w:sz w:val="24"/>
          <w:szCs w:val="24"/>
          <w:lang w:bidi="ar-SA"/>
        </w:rPr>
        <w:t xml:space="preserve">M21-5 3.B.5.d., </w:t>
      </w:r>
      <w:r w:rsidRPr="004E54FA">
        <w:rPr>
          <w:rFonts w:eastAsiaTheme="minorEastAsia"/>
          <w:i/>
          <w:iCs/>
          <w:color w:val="000000" w:themeColor="text1"/>
          <w:kern w:val="24"/>
          <w:sz w:val="24"/>
          <w:szCs w:val="24"/>
          <w:lang w:bidi="ar-SA"/>
        </w:rPr>
        <w:t>Action to Take Following Notification of a National Error</w:t>
      </w:r>
    </w:p>
    <w:p w14:paraId="60D3D877"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heme="minorEastAsia"/>
          <w:color w:val="000000" w:themeColor="text1"/>
          <w:kern w:val="24"/>
          <w:sz w:val="24"/>
          <w:szCs w:val="24"/>
          <w:lang w:bidi="ar-SA"/>
        </w:rPr>
        <w:t xml:space="preserve">M21-5 3.B.5.e., </w:t>
      </w:r>
      <w:r w:rsidRPr="004E54FA">
        <w:rPr>
          <w:rFonts w:eastAsiaTheme="minorEastAsia"/>
          <w:i/>
          <w:iCs/>
          <w:color w:val="000000" w:themeColor="text1"/>
          <w:kern w:val="24"/>
          <w:sz w:val="24"/>
          <w:szCs w:val="24"/>
          <w:lang w:bidi="ar-SA"/>
        </w:rPr>
        <w:t>EP 930 Establishment Requirements</w:t>
      </w:r>
    </w:p>
    <w:p w14:paraId="3A2436F4"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heme="minorEastAsia"/>
          <w:color w:val="000000" w:themeColor="text1"/>
          <w:kern w:val="24"/>
          <w:sz w:val="24"/>
          <w:szCs w:val="24"/>
          <w:lang w:bidi="ar-SA"/>
        </w:rPr>
        <w:t xml:space="preserve">M21-5 3.B.5.f., </w:t>
      </w:r>
      <w:r w:rsidRPr="004E54FA">
        <w:rPr>
          <w:rFonts w:eastAsiaTheme="minorEastAsia"/>
          <w:i/>
          <w:iCs/>
          <w:color w:val="000000" w:themeColor="text1"/>
          <w:kern w:val="24"/>
          <w:sz w:val="24"/>
          <w:szCs w:val="24"/>
          <w:lang w:bidi="ar-SA"/>
        </w:rPr>
        <w:t>Corrective Actions and Reporting</w:t>
      </w:r>
    </w:p>
    <w:p w14:paraId="1A5D13CC"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heme="minorEastAsia"/>
          <w:color w:val="000000" w:themeColor="text1"/>
          <w:kern w:val="24"/>
          <w:sz w:val="24"/>
          <w:szCs w:val="24"/>
          <w:lang w:bidi="ar-SA"/>
        </w:rPr>
        <w:t xml:space="preserve">M21-5 3.B.5.g., </w:t>
      </w:r>
      <w:r w:rsidRPr="004E54FA">
        <w:rPr>
          <w:rFonts w:eastAsiaTheme="minorEastAsia"/>
          <w:i/>
          <w:iCs/>
          <w:color w:val="000000" w:themeColor="text1"/>
          <w:kern w:val="24"/>
          <w:sz w:val="24"/>
          <w:szCs w:val="24"/>
          <w:lang w:bidi="ar-SA"/>
        </w:rPr>
        <w:t>Time Limit for Corrective Action</w:t>
      </w:r>
    </w:p>
    <w:p w14:paraId="7FCD34D3"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heme="minorEastAsia"/>
          <w:color w:val="000000" w:themeColor="text1"/>
          <w:kern w:val="24"/>
          <w:sz w:val="24"/>
          <w:szCs w:val="24"/>
          <w:lang w:bidi="ar-SA"/>
        </w:rPr>
        <w:t xml:space="preserve">M21-5 3.B.5.h., </w:t>
      </w:r>
      <w:r w:rsidRPr="004E54FA">
        <w:rPr>
          <w:rFonts w:eastAsiaTheme="minorEastAsia"/>
          <w:i/>
          <w:iCs/>
          <w:color w:val="000000" w:themeColor="text1"/>
          <w:kern w:val="24"/>
          <w:sz w:val="24"/>
          <w:szCs w:val="24"/>
          <w:lang w:bidi="ar-SA"/>
        </w:rPr>
        <w:t>Indicating When Re-Adjudication Is Not Appropriate</w:t>
      </w:r>
    </w:p>
    <w:p w14:paraId="7E7079EF" w14:textId="19CCF3C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heme="minorEastAsia"/>
          <w:color w:val="000000" w:themeColor="text1"/>
          <w:kern w:val="24"/>
          <w:sz w:val="24"/>
          <w:szCs w:val="24"/>
          <w:lang w:bidi="ar-SA"/>
        </w:rPr>
        <w:t xml:space="preserve">M21-5 3.B.5.i., </w:t>
      </w:r>
      <w:r w:rsidRPr="004E54FA">
        <w:rPr>
          <w:rFonts w:eastAsiaTheme="minorEastAsia"/>
          <w:i/>
          <w:iCs/>
          <w:color w:val="000000" w:themeColor="text1"/>
          <w:kern w:val="24"/>
          <w:sz w:val="24"/>
          <w:szCs w:val="24"/>
          <w:lang w:bidi="ar-SA"/>
        </w:rPr>
        <w:t>Clearing DROC’s QRT Coach’s Responsibility for Corrective Action</w:t>
      </w:r>
    </w:p>
    <w:p w14:paraId="728664CF"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imes New Roman"/>
          <w:sz w:val="24"/>
          <w:szCs w:val="24"/>
          <w:lang w:bidi="ar-SA"/>
        </w:rPr>
        <w:t xml:space="preserve">M21-5 3.B.5.j., </w:t>
      </w:r>
      <w:r w:rsidRPr="004E54FA">
        <w:rPr>
          <w:rFonts w:eastAsia="Times New Roman"/>
          <w:i/>
          <w:iCs/>
          <w:sz w:val="24"/>
          <w:szCs w:val="24"/>
          <w:lang w:bidi="ar-SA"/>
        </w:rPr>
        <w:t>Correcting DROC’s QRT Coach’s Responsibility for Corrective Action</w:t>
      </w:r>
    </w:p>
    <w:p w14:paraId="28D63B35"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imes New Roman"/>
          <w:sz w:val="24"/>
          <w:szCs w:val="24"/>
          <w:lang w:bidi="ar-SA"/>
        </w:rPr>
        <w:t xml:space="preserve">M21-5 3.B.5.k., </w:t>
      </w:r>
      <w:r w:rsidRPr="004E54FA">
        <w:rPr>
          <w:rFonts w:eastAsia="Times New Roman"/>
          <w:i/>
          <w:iCs/>
          <w:sz w:val="24"/>
          <w:szCs w:val="24"/>
          <w:lang w:bidi="ar-SA"/>
        </w:rPr>
        <w:t>Responsible Employee’s Responsibility for Corrective Action</w:t>
      </w:r>
    </w:p>
    <w:p w14:paraId="3DAA2A35"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imes New Roman"/>
          <w:sz w:val="24"/>
          <w:szCs w:val="24"/>
          <w:lang w:bidi="ar-SA"/>
        </w:rPr>
        <w:t xml:space="preserve">M21-5 3.B.5.l., </w:t>
      </w:r>
      <w:r w:rsidRPr="004E54FA">
        <w:rPr>
          <w:rFonts w:eastAsia="Times New Roman"/>
          <w:i/>
          <w:iCs/>
          <w:sz w:val="24"/>
          <w:szCs w:val="24"/>
          <w:lang w:bidi="ar-SA"/>
        </w:rPr>
        <w:t>Responsible Employee’s Coach’s Responsibility for Corrective Action</w:t>
      </w:r>
    </w:p>
    <w:p w14:paraId="442217CF"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imes New Roman"/>
          <w:sz w:val="24"/>
          <w:szCs w:val="24"/>
          <w:lang w:bidi="ar-SA"/>
        </w:rPr>
        <w:t xml:space="preserve">M21-5 3.B.5.m., </w:t>
      </w:r>
      <w:r w:rsidRPr="004E54FA">
        <w:rPr>
          <w:rFonts w:eastAsia="Times New Roman"/>
          <w:i/>
          <w:iCs/>
          <w:sz w:val="24"/>
          <w:szCs w:val="24"/>
          <w:lang w:bidi="ar-SA"/>
        </w:rPr>
        <w:t>Correction of Local Quality Reviews</w:t>
      </w:r>
    </w:p>
    <w:p w14:paraId="6AF830E5" w14:textId="77777777" w:rsidR="004E54FA" w:rsidRPr="004E54FA" w:rsidRDefault="004E54FA" w:rsidP="007B6C9B">
      <w:pPr>
        <w:pStyle w:val="ListParagraph"/>
        <w:widowControl/>
        <w:numPr>
          <w:ilvl w:val="0"/>
          <w:numId w:val="1"/>
        </w:numPr>
        <w:autoSpaceDE/>
        <w:autoSpaceDN/>
        <w:rPr>
          <w:rFonts w:eastAsia="Times New Roman"/>
          <w:sz w:val="24"/>
          <w:szCs w:val="24"/>
          <w:lang w:bidi="ar-SA"/>
        </w:rPr>
      </w:pPr>
      <w:r w:rsidRPr="004E54FA">
        <w:rPr>
          <w:rFonts w:eastAsia="Times New Roman"/>
          <w:sz w:val="24"/>
          <w:szCs w:val="24"/>
          <w:lang w:bidi="ar-SA"/>
        </w:rPr>
        <w:t xml:space="preserve">M21-4 6.A.c., </w:t>
      </w:r>
      <w:r w:rsidRPr="004E54FA">
        <w:rPr>
          <w:rFonts w:eastAsia="Times New Roman"/>
          <w:i/>
          <w:iCs/>
          <w:sz w:val="24"/>
          <w:szCs w:val="24"/>
          <w:lang w:bidi="ar-SA"/>
        </w:rPr>
        <w:t>VSR Review Elements</w:t>
      </w:r>
    </w:p>
    <w:p w14:paraId="66B0E0C6" w14:textId="07844BFE" w:rsidR="004E54FA" w:rsidRPr="000A2097" w:rsidRDefault="004E54FA" w:rsidP="007B6C9B">
      <w:pPr>
        <w:pStyle w:val="ListParagraph"/>
        <w:widowControl/>
        <w:numPr>
          <w:ilvl w:val="0"/>
          <w:numId w:val="1"/>
        </w:numPr>
        <w:autoSpaceDE/>
        <w:autoSpaceDN/>
        <w:rPr>
          <w:rFonts w:eastAsia="Times New Roman"/>
          <w:sz w:val="24"/>
          <w:szCs w:val="24"/>
          <w:lang w:bidi="ar-SA"/>
        </w:rPr>
      </w:pPr>
      <w:r w:rsidRPr="004E54FA">
        <w:rPr>
          <w:rFonts w:eastAsia="Times New Roman"/>
          <w:sz w:val="24"/>
          <w:szCs w:val="24"/>
          <w:lang w:bidi="ar-SA"/>
        </w:rPr>
        <w:t xml:space="preserve">M21-4 6.B.c., </w:t>
      </w:r>
      <w:r w:rsidRPr="004E54FA">
        <w:rPr>
          <w:rFonts w:eastAsia="Times New Roman"/>
          <w:i/>
          <w:iCs/>
          <w:sz w:val="24"/>
          <w:szCs w:val="24"/>
          <w:lang w:bidi="ar-SA"/>
        </w:rPr>
        <w:t>Rating Review Elements</w:t>
      </w:r>
    </w:p>
    <w:p w14:paraId="7963F329" w14:textId="3B9C67EF" w:rsidR="000A2097" w:rsidRPr="000A2097" w:rsidRDefault="000A2097" w:rsidP="000A2097">
      <w:pPr>
        <w:pStyle w:val="ListParagraph"/>
        <w:widowControl/>
        <w:numPr>
          <w:ilvl w:val="0"/>
          <w:numId w:val="1"/>
        </w:numPr>
        <w:autoSpaceDE/>
        <w:autoSpaceDN/>
        <w:rPr>
          <w:rFonts w:eastAsia="Times New Roman"/>
          <w:sz w:val="24"/>
          <w:szCs w:val="24"/>
          <w:lang w:bidi="ar-SA"/>
        </w:rPr>
      </w:pPr>
      <w:r w:rsidRPr="000A2097">
        <w:rPr>
          <w:rFonts w:eastAsia="Times New Roman"/>
          <w:sz w:val="24"/>
          <w:szCs w:val="24"/>
          <w:lang w:bidi="ar-SA"/>
        </w:rPr>
        <w:t xml:space="preserve">M21-5 3.A.12.c., </w:t>
      </w:r>
      <w:r w:rsidRPr="000A2097">
        <w:rPr>
          <w:rFonts w:eastAsia="Times New Roman"/>
          <w:i/>
          <w:iCs/>
          <w:sz w:val="24"/>
          <w:szCs w:val="24"/>
          <w:lang w:bidi="ar-SA"/>
        </w:rPr>
        <w:t>DRO Review Elements</w:t>
      </w:r>
    </w:p>
    <w:p w14:paraId="1D8A479D" w14:textId="77777777" w:rsidR="008858D6" w:rsidRDefault="008858D6" w:rsidP="008858D6">
      <w:pPr>
        <w:tabs>
          <w:tab w:val="left" w:pos="720"/>
        </w:tabs>
        <w:ind w:left="180"/>
        <w:rPr>
          <w:sz w:val="24"/>
          <w:szCs w:val="24"/>
          <w:lang w:bidi="ar-SA"/>
        </w:rPr>
      </w:pPr>
    </w:p>
    <w:p w14:paraId="5750C770" w14:textId="0AE1F5FD" w:rsidR="004E54FA" w:rsidRDefault="004E54FA" w:rsidP="00753B27">
      <w:pPr>
        <w:widowControl/>
        <w:autoSpaceDE/>
        <w:autoSpaceDN/>
        <w:ind w:left="187"/>
        <w:rPr>
          <w:rFonts w:eastAsiaTheme="minorEastAsia"/>
          <w:color w:val="000000" w:themeColor="text1"/>
          <w:kern w:val="24"/>
          <w:sz w:val="24"/>
          <w:szCs w:val="24"/>
          <w:lang w:bidi="ar-SA"/>
        </w:rPr>
      </w:pPr>
      <w:r w:rsidRPr="004E54FA">
        <w:rPr>
          <w:rFonts w:eastAsiaTheme="minorEastAsia"/>
          <w:color w:val="000000" w:themeColor="text1"/>
          <w:kern w:val="24"/>
          <w:sz w:val="24"/>
          <w:szCs w:val="24"/>
          <w:lang w:bidi="ar-SA"/>
        </w:rPr>
        <w:t xml:space="preserve">OAR received a question regarding who is responsible for correcting errors cited on quality reviews that are outside the scope of the employee under review. For example, a DRO or post VSR receives an error for missed development that was not the responsibility of the employee under review but does require correction. While the error was not committed by the employee under review, we have a responsibility to ensure the correctness and/or completeness of the claim in general. </w:t>
      </w:r>
    </w:p>
    <w:p w14:paraId="19A69DCA" w14:textId="188E0CF8" w:rsidR="004E54FA" w:rsidRDefault="004E54FA" w:rsidP="004E54FA">
      <w:pPr>
        <w:widowControl/>
        <w:autoSpaceDE/>
        <w:autoSpaceDN/>
        <w:rPr>
          <w:rFonts w:eastAsia="Times New Roman"/>
          <w:sz w:val="24"/>
          <w:szCs w:val="24"/>
          <w:lang w:bidi="ar-SA"/>
        </w:rPr>
      </w:pPr>
    </w:p>
    <w:p w14:paraId="1C9457D8" w14:textId="77777777" w:rsidR="007A6BF3" w:rsidRPr="004E54FA" w:rsidRDefault="007A6BF3" w:rsidP="004E54FA">
      <w:pPr>
        <w:widowControl/>
        <w:autoSpaceDE/>
        <w:autoSpaceDN/>
        <w:rPr>
          <w:rFonts w:eastAsia="Times New Roman"/>
          <w:sz w:val="24"/>
          <w:szCs w:val="24"/>
          <w:lang w:bidi="ar-SA"/>
        </w:rPr>
      </w:pPr>
    </w:p>
    <w:p w14:paraId="50FFE668" w14:textId="1AFBB8B7" w:rsidR="004E54FA" w:rsidRDefault="004E54FA" w:rsidP="00753B27">
      <w:pPr>
        <w:widowControl/>
        <w:autoSpaceDE/>
        <w:autoSpaceDN/>
        <w:ind w:left="187"/>
        <w:rPr>
          <w:rFonts w:eastAsiaTheme="minorEastAsia"/>
          <w:color w:val="000000" w:themeColor="text1"/>
          <w:kern w:val="24"/>
          <w:sz w:val="24"/>
          <w:szCs w:val="24"/>
          <w:lang w:bidi="ar-SA"/>
        </w:rPr>
      </w:pPr>
      <w:r w:rsidRPr="004E54FA">
        <w:rPr>
          <w:rFonts w:eastAsiaTheme="minorEastAsia"/>
          <w:color w:val="000000" w:themeColor="text1"/>
          <w:kern w:val="24"/>
          <w:sz w:val="24"/>
          <w:szCs w:val="24"/>
          <w:lang w:bidi="ar-SA"/>
        </w:rPr>
        <w:t>Q</w:t>
      </w:r>
      <w:r w:rsidR="00FE33A8">
        <w:rPr>
          <w:rFonts w:eastAsiaTheme="minorEastAsia"/>
          <w:color w:val="000000" w:themeColor="text1"/>
          <w:kern w:val="24"/>
          <w:sz w:val="24"/>
          <w:szCs w:val="24"/>
          <w:lang w:bidi="ar-SA"/>
        </w:rPr>
        <w:t>uality Review Specialists (Q</w:t>
      </w:r>
      <w:r w:rsidRPr="004E54FA">
        <w:rPr>
          <w:rFonts w:eastAsiaTheme="minorEastAsia"/>
          <w:color w:val="000000" w:themeColor="text1"/>
          <w:kern w:val="24"/>
          <w:sz w:val="24"/>
          <w:szCs w:val="24"/>
          <w:lang w:bidi="ar-SA"/>
        </w:rPr>
        <w:t>RS</w:t>
      </w:r>
      <w:r w:rsidR="00FE33A8">
        <w:rPr>
          <w:rFonts w:eastAsiaTheme="minorEastAsia"/>
          <w:color w:val="000000" w:themeColor="text1"/>
          <w:kern w:val="24"/>
          <w:sz w:val="24"/>
          <w:szCs w:val="24"/>
          <w:lang w:bidi="ar-SA"/>
        </w:rPr>
        <w:t>s)</w:t>
      </w:r>
      <w:r w:rsidRPr="004E54FA">
        <w:rPr>
          <w:rFonts w:eastAsiaTheme="minorEastAsia"/>
          <w:color w:val="000000" w:themeColor="text1"/>
          <w:kern w:val="24"/>
          <w:sz w:val="24"/>
          <w:szCs w:val="24"/>
          <w:lang w:bidi="ar-SA"/>
        </w:rPr>
        <w:t xml:space="preserve"> are required to appropriately identify all errors on the checklist during </w:t>
      </w:r>
      <w:r w:rsidR="00FE33A8">
        <w:rPr>
          <w:rFonts w:eastAsiaTheme="minorEastAsia"/>
          <w:color w:val="000000" w:themeColor="text1"/>
          <w:kern w:val="24"/>
          <w:sz w:val="24"/>
          <w:szCs w:val="24"/>
          <w:lang w:bidi="ar-SA"/>
        </w:rPr>
        <w:t xml:space="preserve">a </w:t>
      </w:r>
      <w:r w:rsidRPr="004E54FA">
        <w:rPr>
          <w:rFonts w:eastAsiaTheme="minorEastAsia"/>
          <w:color w:val="000000" w:themeColor="text1"/>
          <w:kern w:val="24"/>
          <w:sz w:val="24"/>
          <w:szCs w:val="24"/>
          <w:lang w:bidi="ar-SA"/>
        </w:rPr>
        <w:t>quality review to ensure correction, even if it is not the responsibility of the employee under review. IPR errors, like national review errors, are non-punitive to the employee under review. Errors of this nature identified during I</w:t>
      </w:r>
      <w:r w:rsidR="00FE33A8">
        <w:rPr>
          <w:rFonts w:eastAsiaTheme="minorEastAsia"/>
          <w:color w:val="000000" w:themeColor="text1"/>
          <w:kern w:val="24"/>
          <w:sz w:val="24"/>
          <w:szCs w:val="24"/>
          <w:lang w:bidi="ar-SA"/>
        </w:rPr>
        <w:t xml:space="preserve">ndividual </w:t>
      </w:r>
      <w:r w:rsidRPr="004E54FA">
        <w:rPr>
          <w:rFonts w:eastAsiaTheme="minorEastAsia"/>
          <w:color w:val="000000" w:themeColor="text1"/>
          <w:kern w:val="24"/>
          <w:sz w:val="24"/>
          <w:szCs w:val="24"/>
          <w:lang w:bidi="ar-SA"/>
        </w:rPr>
        <w:t>Q</w:t>
      </w:r>
      <w:r w:rsidR="00FE33A8">
        <w:rPr>
          <w:rFonts w:eastAsiaTheme="minorEastAsia"/>
          <w:color w:val="000000" w:themeColor="text1"/>
          <w:kern w:val="24"/>
          <w:sz w:val="24"/>
          <w:szCs w:val="24"/>
          <w:lang w:bidi="ar-SA"/>
        </w:rPr>
        <w:t xml:space="preserve">uality </w:t>
      </w:r>
      <w:r w:rsidRPr="004E54FA">
        <w:rPr>
          <w:rFonts w:eastAsiaTheme="minorEastAsia"/>
          <w:color w:val="000000" w:themeColor="text1"/>
          <w:kern w:val="24"/>
          <w:sz w:val="24"/>
          <w:szCs w:val="24"/>
          <w:lang w:bidi="ar-SA"/>
        </w:rPr>
        <w:t>R</w:t>
      </w:r>
      <w:r w:rsidR="00FE33A8">
        <w:rPr>
          <w:rFonts w:eastAsiaTheme="minorEastAsia"/>
          <w:color w:val="000000" w:themeColor="text1"/>
          <w:kern w:val="24"/>
          <w:sz w:val="24"/>
          <w:szCs w:val="24"/>
          <w:lang w:bidi="ar-SA"/>
        </w:rPr>
        <w:t>eview</w:t>
      </w:r>
      <w:r w:rsidRPr="004E54FA">
        <w:rPr>
          <w:rFonts w:eastAsiaTheme="minorEastAsia"/>
          <w:color w:val="000000" w:themeColor="text1"/>
          <w:kern w:val="24"/>
          <w:sz w:val="24"/>
          <w:szCs w:val="24"/>
          <w:lang w:bidi="ar-SA"/>
        </w:rPr>
        <w:t>s</w:t>
      </w:r>
      <w:r w:rsidR="00382DAF">
        <w:rPr>
          <w:rFonts w:eastAsiaTheme="minorEastAsia"/>
          <w:color w:val="000000" w:themeColor="text1"/>
          <w:kern w:val="24"/>
          <w:sz w:val="24"/>
          <w:szCs w:val="24"/>
          <w:lang w:bidi="ar-SA"/>
        </w:rPr>
        <w:t xml:space="preserve"> (IQRs)</w:t>
      </w:r>
      <w:r w:rsidRPr="004E54FA">
        <w:rPr>
          <w:rFonts w:eastAsiaTheme="minorEastAsia"/>
          <w:color w:val="000000" w:themeColor="text1"/>
          <w:kern w:val="24"/>
          <w:sz w:val="24"/>
          <w:szCs w:val="24"/>
          <w:lang w:bidi="ar-SA"/>
        </w:rPr>
        <w:t xml:space="preserve"> are cited under task 12 as correctable comments.</w:t>
      </w:r>
    </w:p>
    <w:p w14:paraId="5525AE88" w14:textId="77777777" w:rsidR="00FE33A8" w:rsidRPr="004E54FA" w:rsidRDefault="00FE33A8" w:rsidP="000672AC">
      <w:pPr>
        <w:widowControl/>
        <w:autoSpaceDE/>
        <w:autoSpaceDN/>
        <w:ind w:left="360"/>
        <w:rPr>
          <w:rFonts w:eastAsia="Times New Roman"/>
          <w:sz w:val="24"/>
          <w:szCs w:val="24"/>
          <w:lang w:bidi="ar-SA"/>
        </w:rPr>
      </w:pPr>
    </w:p>
    <w:p w14:paraId="04371201" w14:textId="01FAB378" w:rsidR="004E54FA" w:rsidRDefault="004E54FA" w:rsidP="00753B27">
      <w:pPr>
        <w:widowControl/>
        <w:autoSpaceDE/>
        <w:autoSpaceDN/>
        <w:ind w:left="187"/>
        <w:rPr>
          <w:rFonts w:eastAsiaTheme="minorEastAsia"/>
          <w:color w:val="000000" w:themeColor="text1"/>
          <w:kern w:val="24"/>
          <w:sz w:val="24"/>
          <w:szCs w:val="24"/>
          <w:lang w:bidi="ar-SA"/>
        </w:rPr>
      </w:pPr>
      <w:r w:rsidRPr="004E54FA">
        <w:rPr>
          <w:rFonts w:eastAsiaTheme="minorEastAsia"/>
          <w:color w:val="000000" w:themeColor="text1"/>
          <w:kern w:val="24"/>
          <w:sz w:val="24"/>
          <w:szCs w:val="24"/>
          <w:lang w:bidi="ar-SA"/>
        </w:rPr>
        <w:t>When an error is received by an employee that they are unable to correct, the employee will work with management to ensure the claim is assigned to an employee with the appropriate skill set to initiate corrective action.</w:t>
      </w:r>
      <w:r w:rsidR="00FE33A8">
        <w:rPr>
          <w:rFonts w:eastAsiaTheme="minorEastAsia"/>
          <w:color w:val="000000" w:themeColor="text1"/>
          <w:kern w:val="24"/>
          <w:sz w:val="24"/>
          <w:szCs w:val="24"/>
          <w:lang w:bidi="ar-SA"/>
        </w:rPr>
        <w:t xml:space="preserve"> </w:t>
      </w:r>
      <w:r w:rsidRPr="004E54FA">
        <w:rPr>
          <w:rFonts w:eastAsiaTheme="minorEastAsia"/>
          <w:color w:val="000000" w:themeColor="text1"/>
          <w:kern w:val="24"/>
          <w:sz w:val="24"/>
          <w:szCs w:val="24"/>
          <w:lang w:bidi="ar-SA"/>
        </w:rPr>
        <w:t>An error is considered corrected once corrective action is initiated.</w:t>
      </w:r>
    </w:p>
    <w:p w14:paraId="09C3A657" w14:textId="77777777" w:rsidR="007A6BF3" w:rsidRPr="004E54FA" w:rsidRDefault="007A6BF3" w:rsidP="00D37ECC">
      <w:pPr>
        <w:widowControl/>
        <w:autoSpaceDE/>
        <w:autoSpaceDN/>
        <w:ind w:left="187"/>
        <w:rPr>
          <w:rFonts w:eastAsia="Times New Roman"/>
          <w:sz w:val="24"/>
          <w:szCs w:val="24"/>
          <w:lang w:bidi="ar-SA"/>
        </w:rPr>
      </w:pPr>
    </w:p>
    <w:p w14:paraId="5B78D257" w14:textId="3A1967EB" w:rsidR="00E03D44" w:rsidRPr="00BE05B0" w:rsidRDefault="001237D0" w:rsidP="00753B27">
      <w:pPr>
        <w:pStyle w:val="Heading1"/>
        <w:pBdr>
          <w:bottom w:val="thinThickLargeGap" w:sz="8" w:space="1" w:color="auto"/>
        </w:pBdr>
        <w:spacing w:before="173"/>
        <w:ind w:left="187" w:right="0"/>
        <w:rPr>
          <w:color w:val="001F5F"/>
          <w:sz w:val="24"/>
          <w:szCs w:val="24"/>
        </w:rPr>
      </w:pPr>
      <w:bookmarkStart w:id="1" w:name="_Toc137544534"/>
      <w:r>
        <w:rPr>
          <w:color w:val="001F5F"/>
          <w:sz w:val="24"/>
          <w:szCs w:val="24"/>
        </w:rPr>
        <w:t>Jurisdiction of Complex Medical Opinion Review</w:t>
      </w:r>
      <w:bookmarkEnd w:id="1"/>
    </w:p>
    <w:p w14:paraId="3EF520D5" w14:textId="6CA1B0D5" w:rsidR="008858D6" w:rsidRPr="00BE05B0" w:rsidRDefault="008858D6" w:rsidP="00753B27">
      <w:pPr>
        <w:pStyle w:val="BodyText"/>
        <w:spacing w:after="240"/>
        <w:ind w:left="187"/>
      </w:pPr>
      <w:r w:rsidRPr="00BE05B0">
        <w:rPr>
          <w:b/>
        </w:rPr>
        <w:t>Target Audience</w:t>
      </w:r>
      <w:r w:rsidRPr="00BE05B0">
        <w:rPr>
          <w:b/>
          <w:bCs/>
        </w:rPr>
        <w:t>:</w:t>
      </w:r>
      <w:r w:rsidR="00FE33A8">
        <w:t xml:space="preserve"> </w:t>
      </w:r>
      <w:bookmarkStart w:id="2" w:name="_Hlk136496201"/>
      <w:r w:rsidR="00382DAF">
        <w:t>DROC Management, QRT</w:t>
      </w:r>
      <w:r w:rsidR="0084608E">
        <w:t>s</w:t>
      </w:r>
      <w:r w:rsidR="00382DAF">
        <w:t>, RVSRs, and VSRs</w:t>
      </w:r>
      <w:bookmarkEnd w:id="2"/>
    </w:p>
    <w:p w14:paraId="5CF96C8F" w14:textId="12D3CC77" w:rsidR="008858D6" w:rsidRDefault="008858D6" w:rsidP="00753B27">
      <w:pPr>
        <w:pStyle w:val="BodyText"/>
        <w:spacing w:after="240"/>
        <w:ind w:left="187"/>
      </w:pPr>
      <w:r w:rsidRPr="00BE05B0">
        <w:rPr>
          <w:b/>
        </w:rPr>
        <w:t xml:space="preserve">Presenter: </w:t>
      </w:r>
      <w:r w:rsidR="00410208">
        <w:t>Beth Huck</w:t>
      </w:r>
      <w:r w:rsidRPr="00BE05B0">
        <w:t xml:space="preserve">, </w:t>
      </w:r>
      <w:r w:rsidR="00410208">
        <w:t>Management and Program Analyst</w:t>
      </w:r>
      <w:r w:rsidRPr="00BE05B0">
        <w:t>,</w:t>
      </w:r>
      <w:r w:rsidR="00410208">
        <w:t xml:space="preserve"> OAR</w:t>
      </w:r>
      <w:r>
        <w:t xml:space="preserve"> </w:t>
      </w:r>
    </w:p>
    <w:p w14:paraId="67C69A57" w14:textId="77777777" w:rsidR="008858D6" w:rsidRPr="00BE05B0" w:rsidRDefault="008858D6" w:rsidP="00753B27">
      <w:pPr>
        <w:ind w:left="187"/>
        <w:rPr>
          <w:b/>
          <w:bCs/>
          <w:sz w:val="24"/>
          <w:szCs w:val="24"/>
        </w:rPr>
      </w:pPr>
      <w:r w:rsidRPr="00BE05B0">
        <w:rPr>
          <w:b/>
          <w:bCs/>
          <w:sz w:val="24"/>
          <w:szCs w:val="24"/>
        </w:rPr>
        <w:t xml:space="preserve">References: </w:t>
      </w:r>
    </w:p>
    <w:p w14:paraId="5BF84B20" w14:textId="77777777" w:rsidR="00410208" w:rsidRPr="00410208" w:rsidRDefault="00410208" w:rsidP="00753B27">
      <w:pPr>
        <w:pStyle w:val="ListParagraph"/>
        <w:widowControl/>
        <w:numPr>
          <w:ilvl w:val="0"/>
          <w:numId w:val="2"/>
        </w:numPr>
        <w:autoSpaceDE/>
        <w:autoSpaceDN/>
        <w:ind w:left="547"/>
        <w:rPr>
          <w:rFonts w:eastAsia="Times New Roman"/>
          <w:sz w:val="24"/>
          <w:szCs w:val="24"/>
          <w:lang w:bidi="ar-SA"/>
        </w:rPr>
      </w:pPr>
      <w:r w:rsidRPr="00410208">
        <w:rPr>
          <w:rFonts w:eastAsiaTheme="minorEastAsia"/>
          <w:color w:val="000000" w:themeColor="text1"/>
          <w:kern w:val="24"/>
          <w:sz w:val="24"/>
          <w:szCs w:val="24"/>
          <w:lang w:bidi="ar-SA"/>
        </w:rPr>
        <w:t xml:space="preserve">M21-1 IV.i.2.A.7.a, </w:t>
      </w:r>
      <w:r w:rsidRPr="00410208">
        <w:rPr>
          <w:rFonts w:eastAsiaTheme="minorEastAsia"/>
          <w:i/>
          <w:iCs/>
          <w:color w:val="000000" w:themeColor="text1"/>
          <w:kern w:val="24"/>
          <w:sz w:val="24"/>
          <w:szCs w:val="24"/>
          <w:lang w:bidi="ar-SA"/>
        </w:rPr>
        <w:t>Who May Request a Medical Opinion</w:t>
      </w:r>
    </w:p>
    <w:p w14:paraId="5F66FED6" w14:textId="77777777" w:rsidR="00410208" w:rsidRPr="00410208" w:rsidRDefault="00410208" w:rsidP="00753B27">
      <w:pPr>
        <w:pStyle w:val="ListParagraph"/>
        <w:widowControl/>
        <w:numPr>
          <w:ilvl w:val="0"/>
          <w:numId w:val="2"/>
        </w:numPr>
        <w:autoSpaceDE/>
        <w:autoSpaceDN/>
        <w:ind w:left="547"/>
        <w:rPr>
          <w:rFonts w:eastAsia="Times New Roman"/>
          <w:sz w:val="24"/>
          <w:szCs w:val="24"/>
          <w:lang w:bidi="ar-SA"/>
        </w:rPr>
      </w:pPr>
      <w:r w:rsidRPr="00410208">
        <w:rPr>
          <w:rFonts w:eastAsiaTheme="minorEastAsia"/>
          <w:color w:val="000000" w:themeColor="text1"/>
          <w:kern w:val="24"/>
          <w:sz w:val="24"/>
          <w:szCs w:val="24"/>
          <w:lang w:bidi="ar-SA"/>
        </w:rPr>
        <w:t xml:space="preserve">M21-1 IV.i.2.A.7.b, </w:t>
      </w:r>
      <w:r w:rsidRPr="00410208">
        <w:rPr>
          <w:rFonts w:eastAsiaTheme="minorEastAsia"/>
          <w:i/>
          <w:iCs/>
          <w:color w:val="000000" w:themeColor="text1"/>
          <w:kern w:val="24"/>
          <w:sz w:val="24"/>
          <w:szCs w:val="24"/>
          <w:lang w:bidi="ar-SA"/>
        </w:rPr>
        <w:t>Referring Claims for Complex Medical Review</w:t>
      </w:r>
    </w:p>
    <w:p w14:paraId="0D4B4D62" w14:textId="783DFE5D" w:rsidR="00410208" w:rsidRPr="00410208" w:rsidRDefault="00410208" w:rsidP="00753B27">
      <w:pPr>
        <w:pStyle w:val="ListParagraph"/>
        <w:widowControl/>
        <w:numPr>
          <w:ilvl w:val="0"/>
          <w:numId w:val="2"/>
        </w:numPr>
        <w:autoSpaceDE/>
        <w:autoSpaceDN/>
        <w:ind w:left="547"/>
        <w:rPr>
          <w:rFonts w:eastAsia="Times New Roman"/>
          <w:sz w:val="24"/>
          <w:szCs w:val="24"/>
          <w:lang w:bidi="ar-SA"/>
        </w:rPr>
      </w:pPr>
      <w:r w:rsidRPr="00410208">
        <w:rPr>
          <w:rFonts w:eastAsiaTheme="minorEastAsia"/>
          <w:color w:val="000000" w:themeColor="text1"/>
          <w:kern w:val="24"/>
          <w:sz w:val="24"/>
          <w:szCs w:val="24"/>
          <w:lang w:bidi="ar-SA"/>
        </w:rPr>
        <w:t xml:space="preserve">M21-1 IV.i.1.B.1.d, </w:t>
      </w:r>
      <w:r w:rsidRPr="00410208">
        <w:rPr>
          <w:rFonts w:eastAsiaTheme="minorEastAsia"/>
          <w:i/>
          <w:iCs/>
          <w:color w:val="000000" w:themeColor="text1"/>
          <w:kern w:val="24"/>
          <w:sz w:val="24"/>
          <w:szCs w:val="24"/>
          <w:lang w:bidi="ar-SA"/>
        </w:rPr>
        <w:t>Secondary S</w:t>
      </w:r>
      <w:r>
        <w:rPr>
          <w:rFonts w:eastAsiaTheme="minorEastAsia"/>
          <w:i/>
          <w:iCs/>
          <w:color w:val="000000" w:themeColor="text1"/>
          <w:kern w:val="24"/>
          <w:sz w:val="24"/>
          <w:szCs w:val="24"/>
          <w:lang w:bidi="ar-SA"/>
        </w:rPr>
        <w:t xml:space="preserve">ervice </w:t>
      </w:r>
      <w:r w:rsidRPr="00410208">
        <w:rPr>
          <w:rFonts w:eastAsiaTheme="minorEastAsia"/>
          <w:i/>
          <w:iCs/>
          <w:color w:val="000000" w:themeColor="text1"/>
          <w:kern w:val="24"/>
          <w:sz w:val="24"/>
          <w:szCs w:val="24"/>
          <w:lang w:bidi="ar-SA"/>
        </w:rPr>
        <w:t>C</w:t>
      </w:r>
      <w:r>
        <w:rPr>
          <w:rFonts w:eastAsiaTheme="minorEastAsia"/>
          <w:i/>
          <w:iCs/>
          <w:color w:val="000000" w:themeColor="text1"/>
          <w:kern w:val="24"/>
          <w:sz w:val="24"/>
          <w:szCs w:val="24"/>
          <w:lang w:bidi="ar-SA"/>
        </w:rPr>
        <w:t>onnection</w:t>
      </w:r>
      <w:r w:rsidRPr="00410208">
        <w:rPr>
          <w:rFonts w:eastAsiaTheme="minorEastAsia"/>
          <w:i/>
          <w:iCs/>
          <w:color w:val="000000" w:themeColor="text1"/>
          <w:kern w:val="24"/>
          <w:sz w:val="24"/>
          <w:szCs w:val="24"/>
          <w:lang w:bidi="ar-SA"/>
        </w:rPr>
        <w:t xml:space="preserve"> and Aggravation Claims</w:t>
      </w:r>
    </w:p>
    <w:p w14:paraId="1CE462D3" w14:textId="77777777" w:rsidR="00410208" w:rsidRPr="00410208" w:rsidRDefault="00410208" w:rsidP="00753B27">
      <w:pPr>
        <w:pStyle w:val="ListParagraph"/>
        <w:widowControl/>
        <w:numPr>
          <w:ilvl w:val="0"/>
          <w:numId w:val="2"/>
        </w:numPr>
        <w:autoSpaceDE/>
        <w:autoSpaceDN/>
        <w:ind w:left="547"/>
        <w:rPr>
          <w:rFonts w:eastAsia="Times New Roman"/>
          <w:sz w:val="24"/>
          <w:szCs w:val="24"/>
          <w:lang w:bidi="ar-SA"/>
        </w:rPr>
      </w:pPr>
      <w:r w:rsidRPr="00410208">
        <w:rPr>
          <w:rFonts w:eastAsiaTheme="minorEastAsia"/>
          <w:color w:val="000000" w:themeColor="text1"/>
          <w:kern w:val="24"/>
          <w:sz w:val="24"/>
          <w:szCs w:val="24"/>
          <w:lang w:bidi="ar-SA"/>
        </w:rPr>
        <w:t xml:space="preserve">M21-1 IV.i.1.B.1.e, </w:t>
      </w:r>
      <w:r w:rsidRPr="00410208">
        <w:rPr>
          <w:rFonts w:eastAsiaTheme="minorEastAsia"/>
          <w:i/>
          <w:iCs/>
          <w:color w:val="000000" w:themeColor="text1"/>
          <w:kern w:val="24"/>
          <w:sz w:val="24"/>
          <w:szCs w:val="24"/>
          <w:lang w:bidi="ar-SA"/>
        </w:rPr>
        <w:t>Preservice Aggravation Claims</w:t>
      </w:r>
    </w:p>
    <w:p w14:paraId="00AFF14D" w14:textId="77777777" w:rsidR="00410208" w:rsidRPr="00410208" w:rsidRDefault="00410208" w:rsidP="00753B27">
      <w:pPr>
        <w:pStyle w:val="ListParagraph"/>
        <w:widowControl/>
        <w:numPr>
          <w:ilvl w:val="0"/>
          <w:numId w:val="2"/>
        </w:numPr>
        <w:autoSpaceDE/>
        <w:autoSpaceDN/>
        <w:ind w:left="547"/>
        <w:rPr>
          <w:rFonts w:eastAsia="Times New Roman"/>
          <w:sz w:val="24"/>
          <w:szCs w:val="24"/>
          <w:lang w:bidi="ar-SA"/>
        </w:rPr>
      </w:pPr>
      <w:r w:rsidRPr="00410208">
        <w:rPr>
          <w:rFonts w:eastAsiaTheme="minorEastAsia"/>
          <w:color w:val="000000" w:themeColor="text1"/>
          <w:kern w:val="24"/>
          <w:sz w:val="24"/>
          <w:szCs w:val="24"/>
          <w:lang w:bidi="ar-SA"/>
        </w:rPr>
        <w:t xml:space="preserve">38 C.F.R. §3.306, </w:t>
      </w:r>
      <w:r w:rsidRPr="00410208">
        <w:rPr>
          <w:rFonts w:eastAsiaTheme="minorEastAsia"/>
          <w:i/>
          <w:iCs/>
          <w:color w:val="000000" w:themeColor="text1"/>
          <w:kern w:val="24"/>
          <w:sz w:val="24"/>
          <w:szCs w:val="24"/>
          <w:lang w:bidi="ar-SA"/>
        </w:rPr>
        <w:t xml:space="preserve">Aggravation of Preservice Disability </w:t>
      </w:r>
    </w:p>
    <w:p w14:paraId="78C8D6BC" w14:textId="7B128779" w:rsidR="00410208" w:rsidRPr="00410208" w:rsidRDefault="00410208" w:rsidP="00753B27">
      <w:pPr>
        <w:pStyle w:val="ListParagraph"/>
        <w:widowControl/>
        <w:numPr>
          <w:ilvl w:val="0"/>
          <w:numId w:val="2"/>
        </w:numPr>
        <w:autoSpaceDE/>
        <w:autoSpaceDN/>
        <w:ind w:left="547"/>
        <w:rPr>
          <w:rFonts w:eastAsia="Times New Roman"/>
          <w:sz w:val="24"/>
          <w:szCs w:val="24"/>
          <w:lang w:bidi="ar-SA"/>
        </w:rPr>
      </w:pPr>
      <w:r w:rsidRPr="00410208">
        <w:rPr>
          <w:rFonts w:eastAsiaTheme="minorEastAsia"/>
          <w:color w:val="000000" w:themeColor="text1"/>
          <w:kern w:val="24"/>
          <w:sz w:val="24"/>
          <w:szCs w:val="24"/>
          <w:lang w:bidi="ar-SA"/>
        </w:rPr>
        <w:t xml:space="preserve">38 C.F.R. §3.310(b), </w:t>
      </w:r>
      <w:r w:rsidRPr="00410208">
        <w:rPr>
          <w:rFonts w:eastAsiaTheme="minorEastAsia"/>
          <w:i/>
          <w:iCs/>
          <w:color w:val="000000" w:themeColor="text1"/>
          <w:kern w:val="24"/>
          <w:sz w:val="24"/>
          <w:szCs w:val="24"/>
          <w:lang w:bidi="ar-SA"/>
        </w:rPr>
        <w:t xml:space="preserve">Disabilities that are Proximately due to, or </w:t>
      </w:r>
      <w:proofErr w:type="gramStart"/>
      <w:r w:rsidRPr="00410208">
        <w:rPr>
          <w:rFonts w:eastAsiaTheme="minorEastAsia"/>
          <w:i/>
          <w:iCs/>
          <w:color w:val="000000" w:themeColor="text1"/>
          <w:kern w:val="24"/>
          <w:sz w:val="24"/>
          <w:szCs w:val="24"/>
          <w:lang w:bidi="ar-SA"/>
        </w:rPr>
        <w:t>Aggravated</w:t>
      </w:r>
      <w:proofErr w:type="gramEnd"/>
      <w:r w:rsidRPr="00410208">
        <w:rPr>
          <w:rFonts w:eastAsiaTheme="minorEastAsia"/>
          <w:i/>
          <w:iCs/>
          <w:color w:val="000000" w:themeColor="text1"/>
          <w:kern w:val="24"/>
          <w:sz w:val="24"/>
          <w:szCs w:val="24"/>
          <w:lang w:bidi="ar-SA"/>
        </w:rPr>
        <w:t xml:space="preserve"> by, S</w:t>
      </w:r>
      <w:r w:rsidR="00AE148E">
        <w:rPr>
          <w:rFonts w:eastAsiaTheme="minorEastAsia"/>
          <w:i/>
          <w:iCs/>
          <w:color w:val="000000" w:themeColor="text1"/>
          <w:kern w:val="24"/>
          <w:sz w:val="24"/>
          <w:szCs w:val="24"/>
          <w:lang w:bidi="ar-SA"/>
        </w:rPr>
        <w:t>ervice Connected</w:t>
      </w:r>
      <w:r w:rsidRPr="00410208">
        <w:rPr>
          <w:rFonts w:eastAsiaTheme="minorEastAsia"/>
          <w:i/>
          <w:iCs/>
          <w:color w:val="000000" w:themeColor="text1"/>
          <w:kern w:val="24"/>
          <w:sz w:val="24"/>
          <w:szCs w:val="24"/>
          <w:lang w:bidi="ar-SA"/>
        </w:rPr>
        <w:t xml:space="preserve"> Disease or Injury</w:t>
      </w:r>
    </w:p>
    <w:p w14:paraId="4BE2DA3E" w14:textId="77777777" w:rsidR="00410208" w:rsidRPr="00410208" w:rsidRDefault="00410208" w:rsidP="00753B27">
      <w:pPr>
        <w:pStyle w:val="ListParagraph"/>
        <w:widowControl/>
        <w:numPr>
          <w:ilvl w:val="0"/>
          <w:numId w:val="2"/>
        </w:numPr>
        <w:autoSpaceDE/>
        <w:autoSpaceDN/>
        <w:ind w:left="547"/>
        <w:rPr>
          <w:rFonts w:eastAsia="Times New Roman"/>
          <w:sz w:val="24"/>
          <w:szCs w:val="24"/>
          <w:lang w:bidi="ar-SA"/>
        </w:rPr>
      </w:pPr>
      <w:r w:rsidRPr="00410208">
        <w:rPr>
          <w:rFonts w:eastAsiaTheme="minorEastAsia"/>
          <w:color w:val="000000" w:themeColor="text1"/>
          <w:kern w:val="24"/>
          <w:sz w:val="24"/>
          <w:szCs w:val="24"/>
          <w:lang w:bidi="ar-SA"/>
        </w:rPr>
        <w:t xml:space="preserve">NWQ Playbook </w:t>
      </w:r>
    </w:p>
    <w:p w14:paraId="4E7EA990" w14:textId="74756E3C" w:rsidR="008858D6" w:rsidRDefault="008858D6" w:rsidP="000672AC">
      <w:pPr>
        <w:tabs>
          <w:tab w:val="left" w:pos="720"/>
        </w:tabs>
        <w:ind w:left="540"/>
        <w:rPr>
          <w:sz w:val="24"/>
          <w:szCs w:val="24"/>
          <w:lang w:bidi="ar-SA"/>
        </w:rPr>
      </w:pPr>
    </w:p>
    <w:p w14:paraId="375CEB0D" w14:textId="2B02CB45" w:rsidR="00410208" w:rsidRDefault="00410208" w:rsidP="00753B27">
      <w:pPr>
        <w:tabs>
          <w:tab w:val="left" w:pos="720"/>
        </w:tabs>
        <w:ind w:left="187"/>
        <w:rPr>
          <w:sz w:val="24"/>
          <w:szCs w:val="24"/>
          <w:lang w:bidi="ar-SA"/>
        </w:rPr>
      </w:pPr>
      <w:bookmarkStart w:id="3" w:name="_Hlk136503662"/>
      <w:r w:rsidRPr="00410208">
        <w:rPr>
          <w:sz w:val="24"/>
          <w:szCs w:val="24"/>
          <w:lang w:bidi="ar-SA"/>
        </w:rPr>
        <w:t xml:space="preserve">This topic of who has jurisdiction of complex medical opinion review was raised because of the OAR mandated training titled: Determining Examination and Medical Opinion Sufficiency for Board Remands with training hand out scenarios. It should be noted that </w:t>
      </w:r>
      <w:r w:rsidR="006E0415" w:rsidRPr="00410208">
        <w:rPr>
          <w:sz w:val="24"/>
          <w:szCs w:val="24"/>
          <w:lang w:bidi="ar-SA"/>
        </w:rPr>
        <w:t>these specific trainings</w:t>
      </w:r>
      <w:r w:rsidRPr="00410208">
        <w:rPr>
          <w:sz w:val="24"/>
          <w:szCs w:val="24"/>
          <w:lang w:bidi="ar-SA"/>
        </w:rPr>
        <w:t xml:space="preserve"> target audience was VSRs, RVSRs and DROs, and w</w:t>
      </w:r>
      <w:r w:rsidR="006E0415">
        <w:rPr>
          <w:sz w:val="24"/>
          <w:szCs w:val="24"/>
          <w:lang w:bidi="ar-SA"/>
        </w:rPr>
        <w:t>ere</w:t>
      </w:r>
      <w:r w:rsidRPr="00410208">
        <w:rPr>
          <w:sz w:val="24"/>
          <w:szCs w:val="24"/>
          <w:lang w:bidi="ar-SA"/>
        </w:rPr>
        <w:t xml:space="preserve"> not VSR target specific, which caused some confusion as to who would order the aggravation opinions presented in the case scenarios. </w:t>
      </w:r>
    </w:p>
    <w:bookmarkEnd w:id="3"/>
    <w:p w14:paraId="0C824EDA" w14:textId="77777777" w:rsidR="00410208" w:rsidRPr="00410208" w:rsidRDefault="00410208" w:rsidP="00753B27">
      <w:pPr>
        <w:tabs>
          <w:tab w:val="left" w:pos="720"/>
        </w:tabs>
        <w:ind w:left="187"/>
        <w:rPr>
          <w:sz w:val="24"/>
          <w:szCs w:val="24"/>
          <w:lang w:bidi="ar-SA"/>
        </w:rPr>
      </w:pPr>
    </w:p>
    <w:p w14:paraId="02B23202" w14:textId="7E17CAD9" w:rsidR="00410208" w:rsidRDefault="00410208" w:rsidP="00753B27">
      <w:pPr>
        <w:tabs>
          <w:tab w:val="left" w:pos="720"/>
        </w:tabs>
        <w:ind w:left="187"/>
        <w:rPr>
          <w:sz w:val="24"/>
          <w:szCs w:val="24"/>
          <w:lang w:bidi="ar-SA"/>
        </w:rPr>
      </w:pPr>
      <w:r w:rsidRPr="00410208">
        <w:rPr>
          <w:sz w:val="24"/>
          <w:szCs w:val="24"/>
          <w:lang w:bidi="ar-SA"/>
        </w:rPr>
        <w:t>Aggravation (to included Allen aggravation) medical opinions are deemed complex in nature and are to be ordered by the rating activity.</w:t>
      </w:r>
    </w:p>
    <w:p w14:paraId="71CDD5E0" w14:textId="77777777" w:rsidR="00410208" w:rsidRPr="00410208" w:rsidRDefault="00410208" w:rsidP="00753B27">
      <w:pPr>
        <w:tabs>
          <w:tab w:val="left" w:pos="720"/>
        </w:tabs>
        <w:ind w:left="187"/>
        <w:rPr>
          <w:sz w:val="24"/>
          <w:szCs w:val="24"/>
          <w:lang w:bidi="ar-SA"/>
        </w:rPr>
      </w:pPr>
    </w:p>
    <w:p w14:paraId="093539DE" w14:textId="62E7AB40" w:rsidR="00410208" w:rsidRPr="00410208" w:rsidRDefault="00410208" w:rsidP="00753B27">
      <w:pPr>
        <w:tabs>
          <w:tab w:val="left" w:pos="720"/>
        </w:tabs>
        <w:ind w:left="187"/>
        <w:rPr>
          <w:sz w:val="24"/>
          <w:szCs w:val="24"/>
          <w:lang w:bidi="ar-SA"/>
        </w:rPr>
      </w:pPr>
      <w:r w:rsidRPr="00410208">
        <w:rPr>
          <w:sz w:val="24"/>
          <w:szCs w:val="24"/>
          <w:lang w:bidi="ar-SA"/>
        </w:rPr>
        <w:t xml:space="preserve">If aggravation language is provided on a VA Form 20-0999, </w:t>
      </w:r>
      <w:r w:rsidRPr="00410208">
        <w:rPr>
          <w:i/>
          <w:iCs/>
          <w:sz w:val="24"/>
          <w:szCs w:val="24"/>
          <w:lang w:bidi="ar-SA"/>
        </w:rPr>
        <w:t>Higher Level Review Return</w:t>
      </w:r>
      <w:r w:rsidRPr="00410208">
        <w:rPr>
          <w:sz w:val="24"/>
          <w:szCs w:val="24"/>
          <w:lang w:bidi="ar-SA"/>
        </w:rPr>
        <w:t xml:space="preserve"> or B</w:t>
      </w:r>
      <w:r w:rsidR="0084608E">
        <w:rPr>
          <w:sz w:val="24"/>
          <w:szCs w:val="24"/>
          <w:lang w:bidi="ar-SA"/>
        </w:rPr>
        <w:t>oard of Veterans’ Appeals (Board)</w:t>
      </w:r>
      <w:r w:rsidRPr="00410208">
        <w:rPr>
          <w:sz w:val="24"/>
          <w:szCs w:val="24"/>
          <w:lang w:bidi="ar-SA"/>
        </w:rPr>
        <w:t xml:space="preserve"> </w:t>
      </w:r>
      <w:r w:rsidR="0084608E">
        <w:rPr>
          <w:sz w:val="24"/>
          <w:szCs w:val="24"/>
          <w:lang w:bidi="ar-SA"/>
        </w:rPr>
        <w:t>r</w:t>
      </w:r>
      <w:r w:rsidRPr="00410208">
        <w:rPr>
          <w:sz w:val="24"/>
          <w:szCs w:val="24"/>
          <w:lang w:bidi="ar-SA"/>
        </w:rPr>
        <w:t>emand, jurisdiction responsibility remains with the rating activity and does not shift to development activity.</w:t>
      </w:r>
    </w:p>
    <w:p w14:paraId="6C3BEB93" w14:textId="015FE1D3" w:rsidR="008858D6" w:rsidRDefault="008858D6" w:rsidP="000672AC">
      <w:pPr>
        <w:tabs>
          <w:tab w:val="left" w:pos="720"/>
        </w:tabs>
        <w:ind w:left="360"/>
        <w:rPr>
          <w:sz w:val="24"/>
          <w:szCs w:val="24"/>
          <w:lang w:bidi="ar-SA"/>
        </w:rPr>
      </w:pPr>
    </w:p>
    <w:p w14:paraId="56671E1D" w14:textId="4CFB1CCC" w:rsidR="0038713E" w:rsidRDefault="0038713E" w:rsidP="000672AC">
      <w:pPr>
        <w:tabs>
          <w:tab w:val="left" w:pos="720"/>
        </w:tabs>
        <w:ind w:left="360"/>
        <w:rPr>
          <w:sz w:val="24"/>
          <w:szCs w:val="24"/>
          <w:lang w:bidi="ar-SA"/>
        </w:rPr>
      </w:pPr>
    </w:p>
    <w:p w14:paraId="588C9061" w14:textId="77777777" w:rsidR="0038713E" w:rsidRPr="008858D6" w:rsidRDefault="0038713E" w:rsidP="00410208">
      <w:pPr>
        <w:tabs>
          <w:tab w:val="left" w:pos="720"/>
        </w:tabs>
        <w:rPr>
          <w:sz w:val="24"/>
          <w:szCs w:val="24"/>
          <w:lang w:bidi="ar-SA"/>
        </w:rPr>
      </w:pPr>
    </w:p>
    <w:p w14:paraId="1B1C9C27" w14:textId="51B66CB5" w:rsidR="006D5495" w:rsidRPr="00BE05B0" w:rsidRDefault="001237D0" w:rsidP="00B95D84">
      <w:pPr>
        <w:pStyle w:val="Heading1"/>
        <w:pBdr>
          <w:bottom w:val="thinThickLargeGap" w:sz="8" w:space="1" w:color="auto"/>
        </w:pBdr>
        <w:ind w:left="187" w:right="0"/>
        <w:rPr>
          <w:color w:val="001F5F"/>
          <w:sz w:val="24"/>
          <w:szCs w:val="24"/>
        </w:rPr>
      </w:pPr>
      <w:bookmarkStart w:id="4" w:name="_Toc137544535"/>
      <w:r>
        <w:rPr>
          <w:color w:val="001F5F"/>
          <w:sz w:val="24"/>
          <w:szCs w:val="24"/>
        </w:rPr>
        <w:t>Missing End Product (EP) 040s</w:t>
      </w:r>
      <w:bookmarkEnd w:id="4"/>
    </w:p>
    <w:p w14:paraId="738C6A34" w14:textId="3BCF66DE" w:rsidR="008858D6" w:rsidRPr="00BE05B0" w:rsidRDefault="008858D6" w:rsidP="0038713E">
      <w:pPr>
        <w:pStyle w:val="BodyText"/>
        <w:spacing w:after="240"/>
        <w:ind w:left="187"/>
      </w:pPr>
      <w:r w:rsidRPr="00BE05B0">
        <w:rPr>
          <w:b/>
        </w:rPr>
        <w:t>Target Audience</w:t>
      </w:r>
      <w:r w:rsidRPr="00BE05B0">
        <w:rPr>
          <w:b/>
          <w:bCs/>
        </w:rPr>
        <w:t>:</w:t>
      </w:r>
      <w:r w:rsidRPr="00BE05B0">
        <w:t xml:space="preserve"> </w:t>
      </w:r>
      <w:r w:rsidR="0038713E">
        <w:t>DROC Management, QRTs, RVSRs, VSRs, and CAs</w:t>
      </w:r>
      <w:r w:rsidRPr="00BE05B0">
        <w:t xml:space="preserve"> </w:t>
      </w:r>
    </w:p>
    <w:p w14:paraId="7FEE21C9" w14:textId="18745CAF" w:rsidR="008858D6" w:rsidRDefault="008858D6" w:rsidP="0038713E">
      <w:pPr>
        <w:pStyle w:val="BodyText"/>
        <w:spacing w:after="240"/>
        <w:ind w:left="187"/>
      </w:pPr>
      <w:r w:rsidRPr="00BE05B0">
        <w:rPr>
          <w:b/>
        </w:rPr>
        <w:t xml:space="preserve">Presenter: </w:t>
      </w:r>
      <w:r w:rsidR="0038713E">
        <w:t>Suzi Ribish</w:t>
      </w:r>
      <w:r w:rsidRPr="00BE05B0">
        <w:t xml:space="preserve">, </w:t>
      </w:r>
      <w:r>
        <w:t>Position</w:t>
      </w:r>
      <w:r w:rsidRPr="00BE05B0">
        <w:t xml:space="preserve">, </w:t>
      </w:r>
      <w:r w:rsidR="0038713E">
        <w:t>Management and Program Analyst, OAR</w:t>
      </w:r>
    </w:p>
    <w:p w14:paraId="53BCF5A7" w14:textId="7E3579A0" w:rsidR="0038713E" w:rsidRPr="0038713E" w:rsidRDefault="0038713E" w:rsidP="000672AC">
      <w:pPr>
        <w:widowControl/>
        <w:autoSpaceDE/>
        <w:autoSpaceDN/>
        <w:ind w:left="187"/>
        <w:rPr>
          <w:rFonts w:eastAsia="Times New Roman"/>
          <w:sz w:val="24"/>
          <w:szCs w:val="24"/>
          <w:lang w:bidi="ar-SA"/>
        </w:rPr>
      </w:pPr>
      <w:r w:rsidRPr="0038713E">
        <w:rPr>
          <w:rFonts w:eastAsiaTheme="minorEastAsia"/>
          <w:color w:val="000000" w:themeColor="text1"/>
          <w:kern w:val="24"/>
          <w:sz w:val="24"/>
          <w:szCs w:val="24"/>
          <w:lang w:bidi="ar-SA"/>
        </w:rPr>
        <w:t xml:space="preserve">On January 25, 2023, OAR </w:t>
      </w:r>
      <w:r w:rsidRPr="0038713E">
        <w:rPr>
          <w:rFonts w:eastAsia="Calibri"/>
          <w:color w:val="000000" w:themeColor="text1"/>
          <w:kern w:val="24"/>
          <w:sz w:val="24"/>
          <w:szCs w:val="24"/>
          <w:lang w:bidi="ar-SA"/>
        </w:rPr>
        <w:t>provided guidance via email for when an EP</w:t>
      </w:r>
      <w:r w:rsidR="00307D0E">
        <w:rPr>
          <w:rFonts w:eastAsia="Calibri"/>
          <w:color w:val="000000" w:themeColor="text1"/>
          <w:kern w:val="24"/>
          <w:sz w:val="24"/>
          <w:szCs w:val="24"/>
          <w:lang w:bidi="ar-SA"/>
        </w:rPr>
        <w:t xml:space="preserve"> </w:t>
      </w:r>
      <w:r w:rsidRPr="0038713E">
        <w:rPr>
          <w:rFonts w:eastAsia="Calibri"/>
          <w:color w:val="000000" w:themeColor="text1"/>
          <w:kern w:val="24"/>
          <w:sz w:val="24"/>
          <w:szCs w:val="24"/>
          <w:lang w:bidi="ar-SA"/>
        </w:rPr>
        <w:t>030 Higher-Level Review is returned for either a Duty-to-Assist (DTA) Error or Difference of Opinion (</w:t>
      </w:r>
      <w:proofErr w:type="spellStart"/>
      <w:r w:rsidRPr="0038713E">
        <w:rPr>
          <w:rFonts w:eastAsia="Calibri"/>
          <w:color w:val="000000" w:themeColor="text1"/>
          <w:kern w:val="24"/>
          <w:sz w:val="24"/>
          <w:szCs w:val="24"/>
          <w:lang w:bidi="ar-SA"/>
        </w:rPr>
        <w:t>DoO</w:t>
      </w:r>
      <w:proofErr w:type="spellEnd"/>
      <w:r w:rsidRPr="0038713E">
        <w:rPr>
          <w:rFonts w:eastAsia="Calibri"/>
          <w:color w:val="000000" w:themeColor="text1"/>
          <w:kern w:val="24"/>
          <w:sz w:val="24"/>
          <w:szCs w:val="24"/>
          <w:lang w:bidi="ar-SA"/>
        </w:rPr>
        <w:t>) and the EP</w:t>
      </w:r>
      <w:r w:rsidR="00307D0E">
        <w:rPr>
          <w:rFonts w:eastAsia="Calibri"/>
          <w:color w:val="000000" w:themeColor="text1"/>
          <w:kern w:val="24"/>
          <w:sz w:val="24"/>
          <w:szCs w:val="24"/>
          <w:lang w:bidi="ar-SA"/>
        </w:rPr>
        <w:t xml:space="preserve"> </w:t>
      </w:r>
      <w:r w:rsidRPr="0038713E">
        <w:rPr>
          <w:rFonts w:eastAsia="Calibri"/>
          <w:color w:val="000000" w:themeColor="text1"/>
          <w:kern w:val="24"/>
          <w:sz w:val="24"/>
          <w:szCs w:val="24"/>
          <w:lang w:bidi="ar-SA"/>
        </w:rPr>
        <w:t xml:space="preserve">040 DTA or </w:t>
      </w:r>
      <w:proofErr w:type="spellStart"/>
      <w:r w:rsidRPr="0038713E">
        <w:rPr>
          <w:rFonts w:eastAsia="Calibri"/>
          <w:color w:val="000000" w:themeColor="text1"/>
          <w:kern w:val="24"/>
          <w:sz w:val="24"/>
          <w:szCs w:val="24"/>
          <w:lang w:bidi="ar-SA"/>
        </w:rPr>
        <w:t>DoO</w:t>
      </w:r>
      <w:proofErr w:type="spellEnd"/>
      <w:r w:rsidRPr="0038713E">
        <w:rPr>
          <w:rFonts w:eastAsia="Calibri"/>
          <w:color w:val="000000" w:themeColor="text1"/>
          <w:kern w:val="24"/>
          <w:sz w:val="24"/>
          <w:szCs w:val="24"/>
          <w:lang w:bidi="ar-SA"/>
        </w:rPr>
        <w:t xml:space="preserve"> fails to establish. Additional information regarding EP</w:t>
      </w:r>
      <w:r w:rsidR="00307D0E">
        <w:rPr>
          <w:rFonts w:eastAsia="Calibri"/>
          <w:color w:val="000000" w:themeColor="text1"/>
          <w:kern w:val="24"/>
          <w:sz w:val="24"/>
          <w:szCs w:val="24"/>
          <w:lang w:bidi="ar-SA"/>
        </w:rPr>
        <w:t xml:space="preserve"> </w:t>
      </w:r>
      <w:r w:rsidRPr="0038713E">
        <w:rPr>
          <w:rFonts w:eastAsia="Calibri"/>
          <w:color w:val="000000" w:themeColor="text1"/>
          <w:kern w:val="24"/>
          <w:sz w:val="24"/>
          <w:szCs w:val="24"/>
          <w:lang w:bidi="ar-SA"/>
        </w:rPr>
        <w:t>040 control establishment for DTA errors was also presented on the December 2022 OAR Quality Call.</w:t>
      </w:r>
    </w:p>
    <w:p w14:paraId="1328E8DA" w14:textId="77777777" w:rsidR="0038713E" w:rsidRPr="0038713E" w:rsidRDefault="0038713E" w:rsidP="0038713E">
      <w:pPr>
        <w:widowControl/>
        <w:autoSpaceDE/>
        <w:autoSpaceDN/>
        <w:rPr>
          <w:rFonts w:eastAsia="Times New Roman"/>
          <w:sz w:val="24"/>
          <w:szCs w:val="24"/>
          <w:lang w:bidi="ar-SA"/>
        </w:rPr>
      </w:pPr>
      <w:r w:rsidRPr="0038713E">
        <w:rPr>
          <w:rFonts w:eastAsia="Calibri"/>
          <w:color w:val="000000" w:themeColor="text1"/>
          <w:kern w:val="24"/>
          <w:sz w:val="24"/>
          <w:szCs w:val="24"/>
          <w:lang w:bidi="ar-SA"/>
        </w:rPr>
        <w:t> </w:t>
      </w:r>
    </w:p>
    <w:p w14:paraId="2379BD3A" w14:textId="24B3791F" w:rsidR="0038713E" w:rsidRPr="0038713E" w:rsidRDefault="0038713E" w:rsidP="000672AC">
      <w:pPr>
        <w:widowControl/>
        <w:autoSpaceDE/>
        <w:autoSpaceDN/>
        <w:ind w:left="187"/>
        <w:rPr>
          <w:rFonts w:eastAsia="Times New Roman"/>
          <w:sz w:val="24"/>
          <w:szCs w:val="24"/>
          <w:lang w:bidi="ar-SA"/>
        </w:rPr>
      </w:pPr>
      <w:r w:rsidRPr="0038713E">
        <w:rPr>
          <w:rFonts w:eastAsiaTheme="minorEastAsia"/>
          <w:color w:val="000000" w:themeColor="text1"/>
          <w:kern w:val="24"/>
          <w:sz w:val="24"/>
          <w:szCs w:val="24"/>
          <w:lang w:bidi="ar-SA"/>
        </w:rPr>
        <w:t>As a reminder, when</w:t>
      </w:r>
      <w:r w:rsidRPr="0038713E">
        <w:rPr>
          <w:rFonts w:eastAsia="Calibri"/>
          <w:color w:val="000000" w:themeColor="text1"/>
          <w:kern w:val="24"/>
          <w:sz w:val="24"/>
          <w:szCs w:val="24"/>
          <w:lang w:bidi="ar-SA"/>
        </w:rPr>
        <w:t xml:space="preserve"> an EP</w:t>
      </w:r>
      <w:r w:rsidR="007B6C9B">
        <w:rPr>
          <w:rFonts w:eastAsia="Calibri"/>
          <w:color w:val="000000" w:themeColor="text1"/>
          <w:kern w:val="24"/>
          <w:sz w:val="24"/>
          <w:szCs w:val="24"/>
          <w:lang w:bidi="ar-SA"/>
        </w:rPr>
        <w:t xml:space="preserve"> </w:t>
      </w:r>
      <w:r w:rsidRPr="0038713E">
        <w:rPr>
          <w:rFonts w:eastAsia="Calibri"/>
          <w:color w:val="000000" w:themeColor="text1"/>
          <w:kern w:val="24"/>
          <w:sz w:val="24"/>
          <w:szCs w:val="24"/>
          <w:lang w:bidi="ar-SA"/>
        </w:rPr>
        <w:t>030 Higher-Level Review is returned for either a Duty-to</w:t>
      </w:r>
      <w:r w:rsidR="000672AC">
        <w:rPr>
          <w:rFonts w:eastAsia="Calibri"/>
          <w:color w:val="000000" w:themeColor="text1"/>
          <w:kern w:val="24"/>
          <w:sz w:val="24"/>
          <w:szCs w:val="24"/>
          <w:lang w:bidi="ar-SA"/>
        </w:rPr>
        <w:tab/>
      </w:r>
      <w:r w:rsidRPr="0038713E">
        <w:rPr>
          <w:rFonts w:eastAsia="Calibri"/>
          <w:color w:val="000000" w:themeColor="text1"/>
          <w:kern w:val="24"/>
          <w:sz w:val="24"/>
          <w:szCs w:val="24"/>
          <w:lang w:bidi="ar-SA"/>
        </w:rPr>
        <w:t>-Assist (DTA) Error or Difference of Opinion (</w:t>
      </w:r>
      <w:proofErr w:type="spellStart"/>
      <w:r w:rsidRPr="0038713E">
        <w:rPr>
          <w:rFonts w:eastAsia="Calibri"/>
          <w:color w:val="000000" w:themeColor="text1"/>
          <w:kern w:val="24"/>
          <w:sz w:val="24"/>
          <w:szCs w:val="24"/>
          <w:lang w:bidi="ar-SA"/>
        </w:rPr>
        <w:t>DoO</w:t>
      </w:r>
      <w:proofErr w:type="spellEnd"/>
      <w:r w:rsidRPr="0038713E">
        <w:rPr>
          <w:rFonts w:eastAsia="Calibri"/>
          <w:color w:val="000000" w:themeColor="text1"/>
          <w:kern w:val="24"/>
          <w:sz w:val="24"/>
          <w:szCs w:val="24"/>
          <w:lang w:bidi="ar-SA"/>
        </w:rPr>
        <w:t>) and the EP</w:t>
      </w:r>
      <w:r w:rsidR="007B6C9B">
        <w:rPr>
          <w:rFonts w:eastAsia="Calibri"/>
          <w:color w:val="000000" w:themeColor="text1"/>
          <w:kern w:val="24"/>
          <w:sz w:val="24"/>
          <w:szCs w:val="24"/>
          <w:lang w:bidi="ar-SA"/>
        </w:rPr>
        <w:t xml:space="preserve"> </w:t>
      </w:r>
      <w:r w:rsidRPr="0038713E">
        <w:rPr>
          <w:rFonts w:eastAsia="Calibri"/>
          <w:color w:val="000000" w:themeColor="text1"/>
          <w:kern w:val="24"/>
          <w:sz w:val="24"/>
          <w:szCs w:val="24"/>
          <w:lang w:bidi="ar-SA"/>
        </w:rPr>
        <w:t xml:space="preserve">040 DTA or </w:t>
      </w:r>
      <w:proofErr w:type="spellStart"/>
      <w:r w:rsidRPr="0038713E">
        <w:rPr>
          <w:rFonts w:eastAsia="Calibri"/>
          <w:color w:val="000000" w:themeColor="text1"/>
          <w:kern w:val="24"/>
          <w:sz w:val="24"/>
          <w:szCs w:val="24"/>
          <w:lang w:bidi="ar-SA"/>
        </w:rPr>
        <w:t>DoO</w:t>
      </w:r>
      <w:proofErr w:type="spellEnd"/>
      <w:r w:rsidRPr="0038713E">
        <w:rPr>
          <w:rFonts w:eastAsia="Calibri"/>
          <w:color w:val="000000" w:themeColor="text1"/>
          <w:kern w:val="24"/>
          <w:sz w:val="24"/>
          <w:szCs w:val="24"/>
          <w:lang w:bidi="ar-SA"/>
        </w:rPr>
        <w:t xml:space="preserve"> fails to establish the following actions must be taken:</w:t>
      </w:r>
    </w:p>
    <w:p w14:paraId="1509979F" w14:textId="77777777" w:rsidR="0038713E" w:rsidRDefault="0038713E" w:rsidP="0038713E">
      <w:pPr>
        <w:widowControl/>
        <w:autoSpaceDE/>
        <w:autoSpaceDN/>
        <w:contextualSpacing/>
        <w:rPr>
          <w:rFonts w:eastAsia="Times New Roman"/>
          <w:color w:val="000000" w:themeColor="text1"/>
          <w:kern w:val="24"/>
          <w:sz w:val="24"/>
          <w:szCs w:val="24"/>
          <w:lang w:bidi="ar-SA"/>
        </w:rPr>
      </w:pPr>
    </w:p>
    <w:p w14:paraId="105D1F3B" w14:textId="143A6857" w:rsidR="0038713E" w:rsidRPr="0038713E" w:rsidRDefault="0038713E" w:rsidP="007B6C9B">
      <w:pPr>
        <w:pStyle w:val="ListParagraph"/>
        <w:widowControl/>
        <w:numPr>
          <w:ilvl w:val="0"/>
          <w:numId w:val="3"/>
        </w:numPr>
        <w:autoSpaceDE/>
        <w:autoSpaceDN/>
        <w:contextualSpacing/>
        <w:rPr>
          <w:rFonts w:eastAsia="Times New Roman"/>
          <w:sz w:val="24"/>
          <w:szCs w:val="24"/>
          <w:lang w:bidi="ar-SA"/>
        </w:rPr>
      </w:pPr>
      <w:r w:rsidRPr="0038713E">
        <w:rPr>
          <w:rFonts w:eastAsia="Times New Roman"/>
          <w:color w:val="000000" w:themeColor="text1"/>
          <w:kern w:val="24"/>
          <w:sz w:val="24"/>
          <w:szCs w:val="24"/>
          <w:lang w:bidi="ar-SA"/>
        </w:rPr>
        <w:t xml:space="preserve">Open a </w:t>
      </w:r>
      <w:proofErr w:type="spellStart"/>
      <w:r w:rsidRPr="0038713E">
        <w:rPr>
          <w:rFonts w:eastAsia="Times New Roman"/>
          <w:color w:val="000000" w:themeColor="text1"/>
          <w:kern w:val="24"/>
          <w:sz w:val="24"/>
          <w:szCs w:val="24"/>
          <w:lang w:bidi="ar-SA"/>
        </w:rPr>
        <w:t>YourIT</w:t>
      </w:r>
      <w:proofErr w:type="spellEnd"/>
      <w:r w:rsidRPr="0038713E">
        <w:rPr>
          <w:rFonts w:eastAsia="Times New Roman"/>
          <w:color w:val="000000" w:themeColor="text1"/>
          <w:kern w:val="24"/>
          <w:sz w:val="24"/>
          <w:szCs w:val="24"/>
          <w:lang w:bidi="ar-SA"/>
        </w:rPr>
        <w:t xml:space="preserve"> ticket to report the missing/failure of the EP</w:t>
      </w:r>
      <w:r w:rsidR="007B6C9B">
        <w:rPr>
          <w:rFonts w:eastAsia="Times New Roman"/>
          <w:color w:val="000000" w:themeColor="text1"/>
          <w:kern w:val="24"/>
          <w:sz w:val="24"/>
          <w:szCs w:val="24"/>
          <w:lang w:bidi="ar-SA"/>
        </w:rPr>
        <w:t xml:space="preserve"> </w:t>
      </w:r>
      <w:r w:rsidRPr="0038713E">
        <w:rPr>
          <w:rFonts w:eastAsia="Times New Roman"/>
          <w:color w:val="000000" w:themeColor="text1"/>
          <w:kern w:val="24"/>
          <w:sz w:val="24"/>
          <w:szCs w:val="24"/>
          <w:lang w:bidi="ar-SA"/>
        </w:rPr>
        <w:t>040 to establish and provide the Claim ID for the EP</w:t>
      </w:r>
      <w:r w:rsidR="000672AC">
        <w:rPr>
          <w:rFonts w:eastAsia="Times New Roman"/>
          <w:color w:val="000000" w:themeColor="text1"/>
          <w:kern w:val="24"/>
          <w:sz w:val="24"/>
          <w:szCs w:val="24"/>
          <w:lang w:bidi="ar-SA"/>
        </w:rPr>
        <w:t xml:space="preserve"> </w:t>
      </w:r>
      <w:r w:rsidRPr="0038713E">
        <w:rPr>
          <w:rFonts w:eastAsia="Times New Roman"/>
          <w:color w:val="000000" w:themeColor="text1"/>
          <w:kern w:val="24"/>
          <w:sz w:val="24"/>
          <w:szCs w:val="24"/>
          <w:lang w:bidi="ar-SA"/>
        </w:rPr>
        <w:t>030.</w:t>
      </w:r>
    </w:p>
    <w:p w14:paraId="5F83E702" w14:textId="45EC235B" w:rsidR="0038713E" w:rsidRPr="0038713E" w:rsidRDefault="0038713E" w:rsidP="00447823">
      <w:pPr>
        <w:pStyle w:val="ListParagraph"/>
        <w:widowControl/>
        <w:numPr>
          <w:ilvl w:val="0"/>
          <w:numId w:val="5"/>
        </w:numPr>
        <w:autoSpaceDE/>
        <w:autoSpaceDN/>
        <w:ind w:left="1440"/>
        <w:rPr>
          <w:rFonts w:eastAsia="Times New Roman"/>
          <w:sz w:val="24"/>
          <w:szCs w:val="24"/>
          <w:lang w:bidi="ar-SA"/>
        </w:rPr>
      </w:pPr>
      <w:r w:rsidRPr="0038713E">
        <w:rPr>
          <w:rFonts w:eastAsia="Times New Roman"/>
          <w:color w:val="000000" w:themeColor="text1"/>
          <w:kern w:val="24"/>
          <w:sz w:val="24"/>
          <w:szCs w:val="24"/>
          <w:lang w:bidi="ar-SA"/>
        </w:rPr>
        <w:t xml:space="preserve">Once the </w:t>
      </w:r>
      <w:proofErr w:type="spellStart"/>
      <w:r w:rsidRPr="0038713E">
        <w:rPr>
          <w:rFonts w:eastAsia="Times New Roman"/>
          <w:color w:val="000000" w:themeColor="text1"/>
          <w:kern w:val="24"/>
          <w:sz w:val="24"/>
          <w:szCs w:val="24"/>
          <w:lang w:bidi="ar-SA"/>
        </w:rPr>
        <w:t>YourIT</w:t>
      </w:r>
      <w:proofErr w:type="spellEnd"/>
      <w:r w:rsidRPr="0038713E">
        <w:rPr>
          <w:rFonts w:eastAsia="Times New Roman"/>
          <w:color w:val="000000" w:themeColor="text1"/>
          <w:kern w:val="24"/>
          <w:sz w:val="24"/>
          <w:szCs w:val="24"/>
          <w:lang w:bidi="ar-SA"/>
        </w:rPr>
        <w:t xml:space="preserve"> ticket is opened, please send the ticket number to </w:t>
      </w:r>
      <w:hyperlink r:id="rId8" w:history="1">
        <w:r w:rsidRPr="0038713E">
          <w:rPr>
            <w:rFonts w:eastAsia="Times New Roman"/>
            <w:color w:val="0563C1"/>
            <w:kern w:val="24"/>
            <w:sz w:val="24"/>
            <w:szCs w:val="24"/>
            <w:u w:val="single"/>
            <w:lang w:bidi="ar-SA"/>
          </w:rPr>
          <w:t>OAR Operations</w:t>
        </w:r>
      </w:hyperlink>
      <w:r w:rsidRPr="0038713E">
        <w:rPr>
          <w:rFonts w:eastAsia="Times New Roman"/>
          <w:color w:val="000000" w:themeColor="text1"/>
          <w:kern w:val="24"/>
          <w:sz w:val="24"/>
          <w:szCs w:val="24"/>
          <w:lang w:bidi="ar-SA"/>
        </w:rPr>
        <w:t>.</w:t>
      </w:r>
    </w:p>
    <w:p w14:paraId="624229FE" w14:textId="4E2E1E58" w:rsidR="0038713E" w:rsidRPr="0038713E" w:rsidRDefault="0038713E" w:rsidP="00447823">
      <w:pPr>
        <w:pStyle w:val="ListParagraph"/>
        <w:widowControl/>
        <w:numPr>
          <w:ilvl w:val="0"/>
          <w:numId w:val="5"/>
        </w:numPr>
        <w:autoSpaceDE/>
        <w:autoSpaceDN/>
        <w:ind w:left="1440"/>
        <w:rPr>
          <w:rFonts w:eastAsia="Times New Roman"/>
          <w:color w:val="000000" w:themeColor="text1"/>
          <w:kern w:val="24"/>
          <w:sz w:val="24"/>
          <w:szCs w:val="24"/>
          <w:lang w:bidi="ar-SA"/>
        </w:rPr>
      </w:pPr>
      <w:r w:rsidRPr="0038713E">
        <w:rPr>
          <w:rFonts w:eastAsia="Times New Roman"/>
          <w:color w:val="000000" w:themeColor="text1"/>
          <w:kern w:val="24"/>
          <w:sz w:val="24"/>
          <w:szCs w:val="24"/>
          <w:lang w:bidi="ar-SA"/>
        </w:rPr>
        <w:t>The purpose of the ticket documents and informs the Caseflow team of the EP establishment issue.</w:t>
      </w:r>
    </w:p>
    <w:p w14:paraId="74523438" w14:textId="77777777" w:rsidR="0038713E" w:rsidRPr="0038713E" w:rsidRDefault="0038713E" w:rsidP="0038713E">
      <w:pPr>
        <w:widowControl/>
        <w:autoSpaceDE/>
        <w:autoSpaceDN/>
        <w:ind w:left="720"/>
        <w:rPr>
          <w:rFonts w:eastAsia="Times New Roman"/>
          <w:sz w:val="24"/>
          <w:szCs w:val="24"/>
          <w:lang w:bidi="ar-SA"/>
        </w:rPr>
      </w:pPr>
    </w:p>
    <w:p w14:paraId="1F51CF31" w14:textId="5FA7F674" w:rsidR="0038713E" w:rsidRPr="000672AC" w:rsidRDefault="0038713E" w:rsidP="007B6C9B">
      <w:pPr>
        <w:pStyle w:val="ListParagraph"/>
        <w:widowControl/>
        <w:numPr>
          <w:ilvl w:val="0"/>
          <w:numId w:val="3"/>
        </w:numPr>
        <w:autoSpaceDE/>
        <w:autoSpaceDN/>
        <w:contextualSpacing/>
        <w:rPr>
          <w:rFonts w:eastAsia="Times New Roman"/>
          <w:sz w:val="24"/>
          <w:szCs w:val="24"/>
          <w:lang w:bidi="ar-SA"/>
        </w:rPr>
      </w:pPr>
      <w:r w:rsidRPr="0038713E">
        <w:rPr>
          <w:rFonts w:eastAsia="Times New Roman"/>
          <w:color w:val="000000" w:themeColor="text1"/>
          <w:kern w:val="24"/>
          <w:sz w:val="24"/>
          <w:szCs w:val="24"/>
          <w:lang w:bidi="ar-SA"/>
        </w:rPr>
        <w:t>Do not establish an EP</w:t>
      </w:r>
      <w:r w:rsidR="007B6C9B">
        <w:rPr>
          <w:rFonts w:eastAsia="Times New Roman"/>
          <w:color w:val="000000" w:themeColor="text1"/>
          <w:kern w:val="24"/>
          <w:sz w:val="24"/>
          <w:szCs w:val="24"/>
          <w:lang w:bidi="ar-SA"/>
        </w:rPr>
        <w:t xml:space="preserve"> </w:t>
      </w:r>
      <w:r w:rsidRPr="0038713E">
        <w:rPr>
          <w:rFonts w:eastAsia="Times New Roman"/>
          <w:color w:val="000000" w:themeColor="text1"/>
          <w:kern w:val="24"/>
          <w:sz w:val="24"/>
          <w:szCs w:val="24"/>
          <w:lang w:bidi="ar-SA"/>
        </w:rPr>
        <w:t>930.  In this specific instance, please allow for the Caseflow team to resolve the issue by establishing the EP</w:t>
      </w:r>
      <w:r w:rsidR="007B6C9B">
        <w:rPr>
          <w:rFonts w:eastAsia="Times New Roman"/>
          <w:color w:val="000000" w:themeColor="text1"/>
          <w:kern w:val="24"/>
          <w:sz w:val="24"/>
          <w:szCs w:val="24"/>
          <w:lang w:bidi="ar-SA"/>
        </w:rPr>
        <w:t xml:space="preserve"> </w:t>
      </w:r>
      <w:r w:rsidRPr="0038713E">
        <w:rPr>
          <w:rFonts w:eastAsia="Times New Roman"/>
          <w:color w:val="000000" w:themeColor="text1"/>
          <w:kern w:val="24"/>
          <w:sz w:val="24"/>
          <w:szCs w:val="24"/>
          <w:lang w:bidi="ar-SA"/>
        </w:rPr>
        <w:t>040.</w:t>
      </w:r>
    </w:p>
    <w:p w14:paraId="201FC49E" w14:textId="77777777" w:rsidR="000672AC" w:rsidRPr="0038713E" w:rsidRDefault="000672AC" w:rsidP="000672AC">
      <w:pPr>
        <w:pStyle w:val="ListParagraph"/>
        <w:widowControl/>
        <w:autoSpaceDE/>
        <w:autoSpaceDN/>
        <w:ind w:left="720" w:firstLine="0"/>
        <w:contextualSpacing/>
        <w:rPr>
          <w:rFonts w:eastAsia="Times New Roman"/>
          <w:sz w:val="24"/>
          <w:szCs w:val="24"/>
          <w:lang w:bidi="ar-SA"/>
        </w:rPr>
      </w:pPr>
    </w:p>
    <w:p w14:paraId="4A7CE68A" w14:textId="77777777" w:rsidR="00C85524" w:rsidRPr="00BE05B0" w:rsidRDefault="00C85524" w:rsidP="00C85524">
      <w:pPr>
        <w:pStyle w:val="Heading1"/>
        <w:pBdr>
          <w:bottom w:val="thinThickLargeGap" w:sz="8" w:space="1" w:color="auto"/>
        </w:pBdr>
        <w:spacing w:before="173"/>
        <w:ind w:left="187" w:right="0"/>
        <w:rPr>
          <w:color w:val="001F5F"/>
          <w:sz w:val="24"/>
          <w:szCs w:val="24"/>
        </w:rPr>
      </w:pPr>
      <w:bookmarkStart w:id="5" w:name="_Toc137544536"/>
      <w:r>
        <w:rPr>
          <w:color w:val="001F5F"/>
          <w:sz w:val="24"/>
          <w:szCs w:val="24"/>
        </w:rPr>
        <w:t>PACT ACT In-Process Reviews (IPRs)</w:t>
      </w:r>
      <w:bookmarkEnd w:id="5"/>
    </w:p>
    <w:p w14:paraId="34A51E5D" w14:textId="77777777" w:rsidR="00C85524" w:rsidRDefault="00C85524" w:rsidP="00C85524">
      <w:pPr>
        <w:pStyle w:val="BodyText"/>
        <w:spacing w:after="240"/>
        <w:ind w:left="187"/>
      </w:pPr>
      <w:r w:rsidRPr="00BE05B0">
        <w:rPr>
          <w:b/>
        </w:rPr>
        <w:t>Target Audience</w:t>
      </w:r>
      <w:r w:rsidRPr="00BE05B0">
        <w:rPr>
          <w:b/>
          <w:bCs/>
        </w:rPr>
        <w:t>:</w:t>
      </w:r>
      <w:r w:rsidRPr="00BE05B0">
        <w:t xml:space="preserve"> </w:t>
      </w:r>
      <w:r>
        <w:t>DROC Management and QRTs</w:t>
      </w:r>
    </w:p>
    <w:p w14:paraId="3D8AB4A5" w14:textId="77777777" w:rsidR="00C85524" w:rsidRDefault="00C85524" w:rsidP="00C85524">
      <w:pPr>
        <w:pStyle w:val="BodyText"/>
        <w:spacing w:after="240"/>
        <w:ind w:left="187"/>
      </w:pPr>
      <w:r w:rsidRPr="00BE05B0">
        <w:rPr>
          <w:b/>
        </w:rPr>
        <w:t xml:space="preserve">Presenter: </w:t>
      </w:r>
      <w:r>
        <w:t>Suzi Ribish</w:t>
      </w:r>
      <w:r w:rsidRPr="00BE05B0">
        <w:t xml:space="preserve">, </w:t>
      </w:r>
      <w:r>
        <w:t>Position</w:t>
      </w:r>
      <w:r w:rsidRPr="00BE05B0">
        <w:t xml:space="preserve">, </w:t>
      </w:r>
      <w:r>
        <w:t>Management and Program Analyst, OAR</w:t>
      </w:r>
    </w:p>
    <w:p w14:paraId="0D40F623" w14:textId="77777777" w:rsidR="00C85524" w:rsidRDefault="00C85524" w:rsidP="00C85524">
      <w:pPr>
        <w:widowControl/>
        <w:autoSpaceDE/>
        <w:autoSpaceDN/>
        <w:ind w:left="187"/>
        <w:rPr>
          <w:rFonts w:eastAsiaTheme="minorEastAsia"/>
          <w:color w:val="000000" w:themeColor="text1"/>
          <w:kern w:val="24"/>
          <w:sz w:val="24"/>
          <w:szCs w:val="24"/>
          <w:lang w:bidi="ar-SA"/>
        </w:rPr>
      </w:pPr>
      <w:r w:rsidRPr="000672AC">
        <w:rPr>
          <w:rFonts w:eastAsiaTheme="minorEastAsia"/>
          <w:color w:val="000000" w:themeColor="text1"/>
          <w:kern w:val="24"/>
          <w:sz w:val="24"/>
          <w:szCs w:val="24"/>
          <w:lang w:bidi="ar-SA"/>
        </w:rPr>
        <w:t>During a recent site visit, OAR identified that errors cited on PACT ACT IPRs were not being supported adequately in a way that provides guidance to the employee to improve quality on PACT related work.</w:t>
      </w:r>
    </w:p>
    <w:p w14:paraId="102F482D" w14:textId="77777777" w:rsidR="00C85524" w:rsidRPr="000672AC" w:rsidRDefault="00C85524" w:rsidP="00C85524">
      <w:pPr>
        <w:widowControl/>
        <w:autoSpaceDE/>
        <w:autoSpaceDN/>
        <w:ind w:left="187"/>
        <w:rPr>
          <w:rFonts w:eastAsia="Times New Roman"/>
          <w:sz w:val="24"/>
          <w:szCs w:val="24"/>
          <w:lang w:bidi="ar-SA"/>
        </w:rPr>
      </w:pPr>
    </w:p>
    <w:p w14:paraId="00F0A751" w14:textId="77777777" w:rsidR="00C85524" w:rsidRDefault="00C85524" w:rsidP="00C85524">
      <w:pPr>
        <w:widowControl/>
        <w:autoSpaceDE/>
        <w:autoSpaceDN/>
        <w:ind w:left="187"/>
        <w:rPr>
          <w:rFonts w:eastAsiaTheme="minorEastAsia"/>
          <w:color w:val="000000" w:themeColor="text1"/>
          <w:kern w:val="24"/>
          <w:sz w:val="24"/>
          <w:szCs w:val="24"/>
          <w:lang w:bidi="ar-SA"/>
        </w:rPr>
      </w:pPr>
      <w:r w:rsidRPr="000672AC">
        <w:rPr>
          <w:rFonts w:eastAsiaTheme="minorEastAsia"/>
          <w:color w:val="000000" w:themeColor="text1"/>
          <w:kern w:val="24"/>
          <w:sz w:val="24"/>
          <w:szCs w:val="24"/>
          <w:lang w:bidi="ar-SA"/>
        </w:rPr>
        <w:t>Going forward, please ensure when citing the PACT</w:t>
      </w:r>
      <w:r>
        <w:rPr>
          <w:rFonts w:eastAsiaTheme="minorEastAsia"/>
          <w:color w:val="000000" w:themeColor="text1"/>
          <w:kern w:val="24"/>
          <w:sz w:val="24"/>
          <w:szCs w:val="24"/>
          <w:lang w:bidi="ar-SA"/>
        </w:rPr>
        <w:t xml:space="preserve"> Standard Operating Procedure (</w:t>
      </w:r>
      <w:r w:rsidRPr="000672AC">
        <w:rPr>
          <w:rFonts w:eastAsiaTheme="minorEastAsia"/>
          <w:color w:val="000000" w:themeColor="text1"/>
          <w:kern w:val="24"/>
          <w:sz w:val="24"/>
          <w:szCs w:val="24"/>
          <w:lang w:bidi="ar-SA"/>
        </w:rPr>
        <w:t>SOP</w:t>
      </w:r>
      <w:r>
        <w:rPr>
          <w:rFonts w:eastAsiaTheme="minorEastAsia"/>
          <w:color w:val="000000" w:themeColor="text1"/>
          <w:kern w:val="24"/>
          <w:sz w:val="24"/>
          <w:szCs w:val="24"/>
          <w:lang w:bidi="ar-SA"/>
        </w:rPr>
        <w:t>)</w:t>
      </w:r>
      <w:r w:rsidRPr="000672AC">
        <w:rPr>
          <w:rFonts w:eastAsiaTheme="minorEastAsia"/>
          <w:color w:val="000000" w:themeColor="text1"/>
          <w:kern w:val="24"/>
          <w:sz w:val="24"/>
          <w:szCs w:val="24"/>
          <w:lang w:bidi="ar-SA"/>
        </w:rPr>
        <w:t xml:space="preserve"> as a reference</w:t>
      </w:r>
      <w:r>
        <w:rPr>
          <w:rFonts w:eastAsiaTheme="minorEastAsia"/>
          <w:color w:val="000000" w:themeColor="text1"/>
          <w:kern w:val="24"/>
          <w:sz w:val="24"/>
          <w:szCs w:val="24"/>
          <w:lang w:bidi="ar-SA"/>
        </w:rPr>
        <w:t xml:space="preserve">, </w:t>
      </w:r>
      <w:r w:rsidRPr="000672AC">
        <w:rPr>
          <w:rFonts w:eastAsiaTheme="minorEastAsia"/>
          <w:color w:val="000000" w:themeColor="text1"/>
          <w:kern w:val="24"/>
          <w:sz w:val="24"/>
          <w:szCs w:val="24"/>
          <w:lang w:bidi="ar-SA"/>
        </w:rPr>
        <w:t xml:space="preserve">also add the PACT SOP version and a page number for reference, so that the employee may easily identify the appropriate guidance. </w:t>
      </w:r>
    </w:p>
    <w:p w14:paraId="2B4F6E0C" w14:textId="77777777" w:rsidR="00C85524" w:rsidRDefault="00C85524" w:rsidP="00C85524">
      <w:pPr>
        <w:widowControl/>
        <w:autoSpaceDE/>
        <w:autoSpaceDN/>
        <w:ind w:left="187"/>
        <w:rPr>
          <w:rFonts w:eastAsiaTheme="minorEastAsia"/>
          <w:color w:val="000000" w:themeColor="text1"/>
          <w:kern w:val="24"/>
          <w:sz w:val="24"/>
          <w:szCs w:val="24"/>
          <w:lang w:bidi="ar-SA"/>
        </w:rPr>
      </w:pPr>
    </w:p>
    <w:p w14:paraId="5ED1BDBB" w14:textId="77777777" w:rsidR="003A6E0D" w:rsidRDefault="003A6E0D">
      <w:pPr>
        <w:rPr>
          <w:b/>
          <w:bCs/>
          <w:color w:val="001F5F"/>
          <w:sz w:val="24"/>
          <w:szCs w:val="24"/>
        </w:rPr>
      </w:pPr>
      <w:r>
        <w:rPr>
          <w:color w:val="001F5F"/>
          <w:sz w:val="24"/>
          <w:szCs w:val="24"/>
        </w:rPr>
        <w:br w:type="page"/>
      </w:r>
    </w:p>
    <w:p w14:paraId="213D8EDD" w14:textId="6AEB4562" w:rsidR="00C85524" w:rsidRPr="00BE05B0" w:rsidRDefault="003A6E0D" w:rsidP="00C85524">
      <w:pPr>
        <w:pStyle w:val="Heading1"/>
        <w:pBdr>
          <w:bottom w:val="thinThickLargeGap" w:sz="8" w:space="1" w:color="auto"/>
        </w:pBdr>
        <w:spacing w:before="173"/>
        <w:ind w:left="187" w:right="0"/>
        <w:rPr>
          <w:color w:val="001F5F"/>
          <w:sz w:val="24"/>
          <w:szCs w:val="24"/>
        </w:rPr>
      </w:pPr>
      <w:bookmarkStart w:id="6" w:name="_Toc137544537"/>
      <w:r>
        <w:rPr>
          <w:color w:val="001F5F"/>
          <w:sz w:val="24"/>
          <w:szCs w:val="24"/>
        </w:rPr>
        <w:lastRenderedPageBreak/>
        <w:t>Questions and Answers</w:t>
      </w:r>
      <w:bookmarkEnd w:id="6"/>
    </w:p>
    <w:p w14:paraId="2D53C58D" w14:textId="31776101" w:rsidR="00002AC7" w:rsidRDefault="003A6E0D" w:rsidP="003A6E0D">
      <w:pPr>
        <w:pStyle w:val="BodyText"/>
        <w:spacing w:after="240"/>
        <w:ind w:left="187"/>
        <w:rPr>
          <w:lang w:bidi="ar-SA"/>
        </w:rPr>
      </w:pPr>
      <w:r>
        <w:rPr>
          <w:lang w:bidi="ar-SA"/>
        </w:rPr>
        <w:t>Several questions arose during the quality call.  We have detailed those questions below.</w:t>
      </w:r>
    </w:p>
    <w:p w14:paraId="140B4F37" w14:textId="6CD3E604" w:rsidR="003A6E0D" w:rsidRDefault="003A6E0D" w:rsidP="003A6E0D">
      <w:pPr>
        <w:pStyle w:val="BodyText"/>
        <w:spacing w:after="240"/>
        <w:ind w:left="187"/>
        <w:rPr>
          <w:b/>
          <w:bCs/>
          <w:lang w:bidi="ar-SA"/>
        </w:rPr>
      </w:pPr>
      <w:r>
        <w:rPr>
          <w:b/>
          <w:bCs/>
          <w:lang w:bidi="ar-SA"/>
        </w:rPr>
        <w:t>Q1: What rises to the level of an error under PACT Act?</w:t>
      </w:r>
    </w:p>
    <w:p w14:paraId="2BBB965C" w14:textId="77777777" w:rsidR="00C12F7B" w:rsidRPr="00C12F7B" w:rsidRDefault="003A6E0D" w:rsidP="00C12F7B">
      <w:pPr>
        <w:pStyle w:val="BodyText"/>
        <w:spacing w:after="240"/>
        <w:ind w:left="187"/>
      </w:pPr>
      <w:r>
        <w:rPr>
          <w:b/>
          <w:bCs/>
          <w:lang w:bidi="ar-SA"/>
        </w:rPr>
        <w:t>A1:</w:t>
      </w:r>
      <w:r w:rsidR="000C59CD">
        <w:rPr>
          <w:b/>
          <w:bCs/>
          <w:lang w:bidi="ar-SA"/>
        </w:rPr>
        <w:t xml:space="preserve"> </w:t>
      </w:r>
      <w:r w:rsidR="000C59CD">
        <w:t xml:space="preserve">The threshold of an error has not changed. QRSs should be citing errors whenever the work completed does not conform to the policy and procedures that have been published. </w:t>
      </w:r>
      <w:r w:rsidR="00C12F7B" w:rsidRPr="00C12F7B">
        <w:t xml:space="preserve">It is expected that all cases are compliant with </w:t>
      </w:r>
      <w:r w:rsidR="00C12F7B" w:rsidRPr="00C12F7B">
        <w:rPr>
          <w:i/>
          <w:iCs/>
        </w:rPr>
        <w:t xml:space="preserve">all </w:t>
      </w:r>
      <w:r w:rsidR="00C12F7B" w:rsidRPr="00C12F7B">
        <w:t>relevant governing references</w:t>
      </w:r>
    </w:p>
    <w:p w14:paraId="164E2363" w14:textId="77777777" w:rsidR="00C12F7B" w:rsidRPr="00C12F7B" w:rsidRDefault="00C12F7B" w:rsidP="00C12F7B">
      <w:pPr>
        <w:pStyle w:val="BodyText"/>
        <w:spacing w:after="240"/>
        <w:ind w:left="187"/>
        <w:rPr>
          <w:rFonts w:eastAsia="Times New Roman"/>
          <w:color w:val="000000"/>
          <w:lang w:bidi="ar-SA"/>
        </w:rPr>
      </w:pPr>
      <w:r>
        <w:t>M21-5 3.A.</w:t>
      </w:r>
      <w:r w:rsidRPr="00C12F7B">
        <w:t xml:space="preserve">4.a. states: </w:t>
      </w:r>
      <w:r w:rsidRPr="00C12F7B">
        <w:rPr>
          <w:rFonts w:eastAsia="Times New Roman"/>
          <w:color w:val="000000"/>
          <w:lang w:bidi="ar-SA"/>
        </w:rPr>
        <w:t>The standard for an error is where the decision made rises to the level of a clear and unmistakable error (CUE) or a clear violation of current regulations or directives.</w:t>
      </w:r>
    </w:p>
    <w:p w14:paraId="6DE884FE" w14:textId="7087F279" w:rsidR="00C12F7B" w:rsidRPr="00C12F7B" w:rsidRDefault="00C12F7B" w:rsidP="00C12F7B">
      <w:pPr>
        <w:pStyle w:val="BodyText"/>
        <w:spacing w:after="240"/>
        <w:ind w:left="187"/>
        <w:rPr>
          <w:color w:val="000000"/>
        </w:rPr>
      </w:pPr>
      <w:r w:rsidRPr="00C12F7B">
        <w:rPr>
          <w:color w:val="000000"/>
        </w:rPr>
        <w:t>For quality review purposes, when VBA Central Office issues interim guidance</w:t>
      </w:r>
      <w:r>
        <w:rPr>
          <w:color w:val="000000"/>
        </w:rPr>
        <w:t>, such as the PACT Act SOP,</w:t>
      </w:r>
      <w:r w:rsidRPr="00C12F7B">
        <w:rPr>
          <w:color w:val="000000"/>
        </w:rPr>
        <w:t xml:space="preserve"> it supersedes the instructions found in the M21-1 or other VA procedural references. While the interim guidance is in effect, quality errors should be cited in instances where claims processors clearly do not follow the interim procedures correctly. </w:t>
      </w:r>
    </w:p>
    <w:p w14:paraId="406A1FE5" w14:textId="77777777" w:rsidR="00C12F7B" w:rsidRPr="00C12F7B" w:rsidRDefault="00C12F7B" w:rsidP="00C12F7B">
      <w:pPr>
        <w:pStyle w:val="BodyText"/>
        <w:spacing w:after="240"/>
        <w:ind w:left="187"/>
        <w:rPr>
          <w:color w:val="000000"/>
        </w:rPr>
      </w:pPr>
      <w:r w:rsidRPr="00C12F7B">
        <w:rPr>
          <w:color w:val="000000"/>
        </w:rPr>
        <w:t xml:space="preserve">It is appropriate to utilize the interim procedures as a valid reference for the error citation. </w:t>
      </w:r>
    </w:p>
    <w:p w14:paraId="78AC76C0" w14:textId="77777777" w:rsidR="00C12F7B" w:rsidRPr="00C12F7B" w:rsidRDefault="00C12F7B" w:rsidP="00C12F7B">
      <w:pPr>
        <w:pStyle w:val="BodyText"/>
        <w:spacing w:after="240"/>
        <w:ind w:left="187"/>
        <w:rPr>
          <w:color w:val="000000"/>
        </w:rPr>
      </w:pPr>
      <w:r w:rsidRPr="00C12F7B">
        <w:rPr>
          <w:color w:val="000000"/>
        </w:rPr>
        <w:t xml:space="preserve">This instruction applies to interim procedures located on the Compensation Service website or other VA-maintained websites. </w:t>
      </w:r>
    </w:p>
    <w:p w14:paraId="60BEF854" w14:textId="4356AB62" w:rsidR="003A6E0D" w:rsidRDefault="003A6E0D" w:rsidP="003A6E0D">
      <w:pPr>
        <w:pStyle w:val="BodyText"/>
        <w:spacing w:after="240"/>
        <w:ind w:left="187"/>
        <w:rPr>
          <w:b/>
          <w:bCs/>
          <w:lang w:bidi="ar-SA"/>
        </w:rPr>
      </w:pPr>
      <w:r>
        <w:rPr>
          <w:b/>
          <w:bCs/>
          <w:lang w:bidi="ar-SA"/>
        </w:rPr>
        <w:t>Q2:</w:t>
      </w:r>
      <w:r w:rsidR="000C59CD">
        <w:rPr>
          <w:b/>
          <w:bCs/>
          <w:lang w:bidi="ar-SA"/>
        </w:rPr>
        <w:t xml:space="preserve"> When does the grace period for IQR errors under PACT end?</w:t>
      </w:r>
    </w:p>
    <w:p w14:paraId="568D7C3F" w14:textId="5F22AA51" w:rsidR="000C59CD" w:rsidRDefault="003A6E0D" w:rsidP="003A6E0D">
      <w:pPr>
        <w:pStyle w:val="BodyText"/>
        <w:spacing w:after="240"/>
        <w:ind w:left="187"/>
        <w:rPr>
          <w:b/>
          <w:bCs/>
          <w:lang w:bidi="ar-SA"/>
        </w:rPr>
      </w:pPr>
      <w:r>
        <w:rPr>
          <w:b/>
          <w:bCs/>
          <w:lang w:bidi="ar-SA"/>
        </w:rPr>
        <w:t>A2:</w:t>
      </w:r>
      <w:r w:rsidR="00A22370">
        <w:rPr>
          <w:b/>
          <w:bCs/>
          <w:lang w:bidi="ar-SA"/>
        </w:rPr>
        <w:t xml:space="preserve"> </w:t>
      </w:r>
      <w:r w:rsidR="00A22370">
        <w:rPr>
          <w:lang w:bidi="ar-SA"/>
        </w:rPr>
        <w:t xml:space="preserve">The grace period for local quality errors pertaining to PACT Act expired on May 31, 2023. </w:t>
      </w:r>
    </w:p>
    <w:p w14:paraId="02F29683" w14:textId="2A6DFEE6" w:rsidR="003A6E0D" w:rsidRDefault="000C59CD" w:rsidP="003A6E0D">
      <w:pPr>
        <w:pStyle w:val="BodyText"/>
        <w:spacing w:after="240"/>
        <w:ind w:left="187"/>
        <w:rPr>
          <w:b/>
          <w:bCs/>
          <w:lang w:bidi="ar-SA"/>
        </w:rPr>
      </w:pPr>
      <w:r>
        <w:rPr>
          <w:b/>
          <w:bCs/>
          <w:lang w:bidi="ar-SA"/>
        </w:rPr>
        <w:t>Additional resources available:</w:t>
      </w:r>
    </w:p>
    <w:p w14:paraId="64504119" w14:textId="60A60D04" w:rsidR="00F65881" w:rsidRDefault="00F65881" w:rsidP="00C12F7B">
      <w:pPr>
        <w:pStyle w:val="BodyText"/>
        <w:numPr>
          <w:ilvl w:val="0"/>
          <w:numId w:val="7"/>
        </w:numPr>
        <w:spacing w:after="240"/>
        <w:rPr>
          <w:lang w:bidi="ar-SA"/>
        </w:rPr>
      </w:pPr>
      <w:r>
        <w:rPr>
          <w:lang w:bidi="ar-SA"/>
        </w:rPr>
        <w:t xml:space="preserve">Please refer to the </w:t>
      </w:r>
      <w:hyperlink r:id="rId9" w:history="1">
        <w:r>
          <w:rPr>
            <w:rStyle w:val="Hyperlink"/>
          </w:rPr>
          <w:t>PACT Act Information Page</w:t>
        </w:r>
      </w:hyperlink>
      <w:r>
        <w:t xml:space="preserve"> for many resources that are available to the field which were issued by Compensation service. </w:t>
      </w:r>
    </w:p>
    <w:p w14:paraId="58D8899B" w14:textId="29C5FA9B" w:rsidR="00C12F7B" w:rsidRDefault="00C12F7B" w:rsidP="00C12F7B">
      <w:pPr>
        <w:pStyle w:val="BodyText"/>
        <w:numPr>
          <w:ilvl w:val="0"/>
          <w:numId w:val="7"/>
        </w:numPr>
        <w:spacing w:after="240"/>
        <w:rPr>
          <w:lang w:bidi="ar-SA"/>
        </w:rPr>
      </w:pPr>
      <w:r>
        <w:t xml:space="preserve">Compensation Service has set up the </w:t>
      </w:r>
      <w:hyperlink r:id="rId10" w:history="1">
        <w:r>
          <w:rPr>
            <w:rStyle w:val="Hyperlink"/>
          </w:rPr>
          <w:t>PACT Act Inquiry Tool</w:t>
        </w:r>
      </w:hyperlink>
      <w:r>
        <w:t xml:space="preserve"> for the field to submit their questions. It should be </w:t>
      </w:r>
      <w:proofErr w:type="gramStart"/>
      <w:r>
        <w:t>noted,</w:t>
      </w:r>
      <w:proofErr w:type="gramEnd"/>
      <w:r>
        <w:t xml:space="preserve"> that many </w:t>
      </w:r>
      <w:proofErr w:type="gramStart"/>
      <w:r>
        <w:t>quality</w:t>
      </w:r>
      <w:proofErr w:type="gramEnd"/>
      <w:r>
        <w:t xml:space="preserve"> related questions have been </w:t>
      </w:r>
      <w:r w:rsidRPr="00A22370">
        <w:t xml:space="preserve">addressed. </w:t>
      </w:r>
      <w:r w:rsidR="006A1C16">
        <w:t xml:space="preserve">DROCs are also encouraged to submit inquires to this tool. </w:t>
      </w:r>
    </w:p>
    <w:p w14:paraId="1CCC367D" w14:textId="5F45E68B" w:rsidR="00F65881" w:rsidRDefault="00F65881" w:rsidP="00C12F7B">
      <w:pPr>
        <w:pStyle w:val="BodyText"/>
        <w:numPr>
          <w:ilvl w:val="0"/>
          <w:numId w:val="7"/>
        </w:numPr>
        <w:spacing w:after="240"/>
      </w:pPr>
      <w:r>
        <w:t xml:space="preserve">Pension and Fiduciary Service also published guidance specific to pension and survivor benefits. Those resources may be located at the </w:t>
      </w:r>
      <w:hyperlink r:id="rId11" w:history="1">
        <w:r>
          <w:rPr>
            <w:rStyle w:val="Hyperlink"/>
          </w:rPr>
          <w:t>PACT Act - Pension and Fiduciary Service</w:t>
        </w:r>
      </w:hyperlink>
      <w:r>
        <w:t xml:space="preserve"> webpage.</w:t>
      </w:r>
    </w:p>
    <w:p w14:paraId="17AA40E9" w14:textId="77777777" w:rsidR="00F65881" w:rsidRDefault="00F65881">
      <w:pPr>
        <w:rPr>
          <w:sz w:val="24"/>
          <w:szCs w:val="24"/>
        </w:rPr>
      </w:pPr>
      <w:r>
        <w:br w:type="page"/>
      </w:r>
    </w:p>
    <w:p w14:paraId="6A9E8AF6" w14:textId="77777777" w:rsidR="00F65881" w:rsidRPr="00A22370" w:rsidRDefault="00F65881" w:rsidP="00F65881">
      <w:pPr>
        <w:pStyle w:val="BodyText"/>
        <w:spacing w:after="240"/>
        <w:ind w:left="547"/>
        <w:rPr>
          <w:lang w:bidi="ar-SA"/>
        </w:rPr>
      </w:pPr>
    </w:p>
    <w:p w14:paraId="07C794B5" w14:textId="51A84D7C" w:rsidR="00A22370" w:rsidRDefault="00A22370" w:rsidP="00A22370">
      <w:pPr>
        <w:pStyle w:val="ListParagraph"/>
        <w:numPr>
          <w:ilvl w:val="0"/>
          <w:numId w:val="7"/>
        </w:numPr>
        <w:rPr>
          <w:bCs/>
          <w:sz w:val="24"/>
          <w:szCs w:val="24"/>
          <w:lang w:bidi="ar-SA"/>
        </w:rPr>
      </w:pPr>
      <w:r w:rsidRPr="00A22370">
        <w:rPr>
          <w:bCs/>
          <w:sz w:val="24"/>
          <w:szCs w:val="24"/>
        </w:rPr>
        <w:t>Talent Management System (TMS) Courses</w:t>
      </w:r>
      <w:r w:rsidR="00F65881">
        <w:rPr>
          <w:bCs/>
          <w:sz w:val="24"/>
          <w:szCs w:val="24"/>
        </w:rPr>
        <w:t xml:space="preserve"> have been published and are detailed below.</w:t>
      </w:r>
    </w:p>
    <w:p w14:paraId="40B1694F" w14:textId="77777777" w:rsidR="00F65881" w:rsidRPr="00A22370" w:rsidRDefault="00F65881" w:rsidP="00F65881">
      <w:pPr>
        <w:pStyle w:val="ListParagraph"/>
        <w:ind w:left="547" w:firstLine="0"/>
        <w:rPr>
          <w:bCs/>
          <w:sz w:val="24"/>
          <w:szCs w:val="24"/>
          <w:lang w:bidi="ar-SA"/>
        </w:rPr>
      </w:pPr>
    </w:p>
    <w:p w14:paraId="0EA0AAA4" w14:textId="35FCF727" w:rsidR="00A22370" w:rsidRPr="00A22370" w:rsidRDefault="00A22370" w:rsidP="00A22370">
      <w:pPr>
        <w:pStyle w:val="ListParagraph"/>
        <w:ind w:left="547" w:firstLine="0"/>
        <w:rPr>
          <w:sz w:val="24"/>
          <w:szCs w:val="24"/>
          <w:u w:val="single"/>
        </w:rPr>
      </w:pPr>
      <w:r w:rsidRPr="00A22370">
        <w:rPr>
          <w:sz w:val="24"/>
          <w:szCs w:val="24"/>
          <w:u w:val="single"/>
        </w:rPr>
        <w:t>Each course contains an assessment to evaluate the claims processor’s understanding of the material.</w:t>
      </w:r>
    </w:p>
    <w:p w14:paraId="44A265E4" w14:textId="77777777" w:rsidR="00A22370" w:rsidRPr="00A22370" w:rsidRDefault="00A22370" w:rsidP="00A22370">
      <w:pPr>
        <w:pStyle w:val="ListParagraph"/>
        <w:ind w:left="547" w:firstLine="0"/>
        <w:rPr>
          <w:sz w:val="24"/>
          <w:szCs w:val="24"/>
          <w:u w:val="single"/>
        </w:rPr>
      </w:pPr>
    </w:p>
    <w:p w14:paraId="44BF029C" w14:textId="77777777" w:rsidR="00A22370" w:rsidRPr="00A22370" w:rsidRDefault="00A22370" w:rsidP="00A22370">
      <w:pPr>
        <w:pStyle w:val="ListParagraph"/>
        <w:ind w:left="547" w:firstLine="0"/>
        <w:rPr>
          <w:sz w:val="24"/>
          <w:szCs w:val="24"/>
        </w:rPr>
      </w:pPr>
      <w:r w:rsidRPr="00A22370">
        <w:rPr>
          <w:i/>
          <w:sz w:val="24"/>
          <w:szCs w:val="24"/>
        </w:rPr>
        <w:t>All Claims Processors (VSC, PMC, DROC)</w:t>
      </w:r>
      <w:r w:rsidRPr="00A22370">
        <w:rPr>
          <w:sz w:val="24"/>
          <w:szCs w:val="24"/>
        </w:rPr>
        <w:t xml:space="preserve"> 20.25 hours </w:t>
      </w:r>
    </w:p>
    <w:tbl>
      <w:tblPr>
        <w:tblStyle w:val="TableGrid"/>
        <w:tblW w:w="9360" w:type="dxa"/>
        <w:tblInd w:w="0" w:type="dxa"/>
        <w:tblLayout w:type="fixed"/>
        <w:tblLook w:val="04A0" w:firstRow="1" w:lastRow="0" w:firstColumn="1" w:lastColumn="0" w:noHBand="0" w:noVBand="1"/>
      </w:tblPr>
      <w:tblGrid>
        <w:gridCol w:w="1530"/>
        <w:gridCol w:w="6390"/>
        <w:gridCol w:w="1440"/>
      </w:tblGrid>
      <w:tr w:rsidR="00A22370" w:rsidRPr="00A22370" w14:paraId="5BA9DB43" w14:textId="77777777" w:rsidTr="00A22370">
        <w:trPr>
          <w:trHeight w:val="601"/>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6ED3FAE1" w14:textId="77777777" w:rsidR="00A22370" w:rsidRPr="00A22370" w:rsidRDefault="00A22370">
            <w:pPr>
              <w:jc w:val="center"/>
              <w:rPr>
                <w:b/>
                <w:color w:val="FFFFFF" w:themeColor="background1"/>
                <w:sz w:val="24"/>
                <w:szCs w:val="24"/>
              </w:rPr>
            </w:pPr>
            <w:r w:rsidRPr="00A22370">
              <w:rPr>
                <w:b/>
                <w:color w:val="FFFFFF" w:themeColor="background1"/>
                <w:sz w:val="24"/>
                <w:szCs w:val="24"/>
              </w:rPr>
              <w:t>TMS Number</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554C6C45" w14:textId="77777777" w:rsidR="00A22370" w:rsidRPr="00A22370" w:rsidRDefault="00A22370">
            <w:pPr>
              <w:jc w:val="center"/>
              <w:rPr>
                <w:b/>
                <w:color w:val="FFFFFF" w:themeColor="background1"/>
                <w:sz w:val="24"/>
                <w:szCs w:val="24"/>
              </w:rPr>
            </w:pPr>
            <w:r w:rsidRPr="00A22370">
              <w:rPr>
                <w:b/>
                <w:color w:val="FFFFFF" w:themeColor="background1"/>
                <w:sz w:val="24"/>
                <w:szCs w:val="24"/>
              </w:rPr>
              <w:t>Course Title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6FE26782" w14:textId="77777777" w:rsidR="00A22370" w:rsidRPr="00A22370" w:rsidRDefault="00A22370">
            <w:pPr>
              <w:jc w:val="center"/>
              <w:rPr>
                <w:b/>
                <w:color w:val="FFFFFF" w:themeColor="background1"/>
                <w:sz w:val="24"/>
                <w:szCs w:val="24"/>
              </w:rPr>
            </w:pPr>
            <w:r w:rsidRPr="00A22370">
              <w:rPr>
                <w:b/>
                <w:color w:val="FFFFFF" w:themeColor="background1"/>
                <w:sz w:val="24"/>
                <w:szCs w:val="24"/>
              </w:rPr>
              <w:t>Learning Hours</w:t>
            </w:r>
          </w:p>
        </w:tc>
      </w:tr>
      <w:tr w:rsidR="00A22370" w:rsidRPr="00A22370" w14:paraId="517AF6ED"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E4D8F0E" w14:textId="77777777" w:rsidR="00A22370" w:rsidRPr="00A22370" w:rsidRDefault="00A22370">
            <w:pPr>
              <w:jc w:val="center"/>
              <w:rPr>
                <w:color w:val="000000" w:themeColor="text1"/>
                <w:sz w:val="24"/>
                <w:szCs w:val="24"/>
              </w:rPr>
            </w:pPr>
            <w:r w:rsidRPr="00A22370">
              <w:rPr>
                <w:color w:val="000000" w:themeColor="text1"/>
                <w:sz w:val="24"/>
                <w:szCs w:val="24"/>
              </w:rPr>
              <w:t>4634424</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75CD47" w14:textId="77777777" w:rsidR="00A22370" w:rsidRPr="00A22370" w:rsidRDefault="00A22370">
            <w:pPr>
              <w:rPr>
                <w:color w:val="000000" w:themeColor="text1"/>
                <w:sz w:val="24"/>
                <w:szCs w:val="24"/>
              </w:rPr>
            </w:pPr>
            <w:r w:rsidRPr="00A22370">
              <w:rPr>
                <w:color w:val="000000" w:themeColor="text1"/>
                <w:sz w:val="24"/>
                <w:szCs w:val="24"/>
              </w:rPr>
              <w:t>Overview of the PACT Act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50D151" w14:textId="77777777" w:rsidR="00A22370" w:rsidRPr="00A22370" w:rsidRDefault="00A22370">
            <w:pPr>
              <w:jc w:val="center"/>
              <w:rPr>
                <w:color w:val="000000" w:themeColor="text1"/>
                <w:sz w:val="24"/>
                <w:szCs w:val="24"/>
              </w:rPr>
            </w:pPr>
            <w:r w:rsidRPr="00A22370">
              <w:rPr>
                <w:color w:val="000000" w:themeColor="text1"/>
                <w:sz w:val="24"/>
                <w:szCs w:val="24"/>
              </w:rPr>
              <w:t>2.00</w:t>
            </w:r>
          </w:p>
        </w:tc>
      </w:tr>
      <w:tr w:rsidR="00A22370" w:rsidRPr="00A22370" w14:paraId="44A2D964"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5FCE84" w14:textId="77777777" w:rsidR="00A22370" w:rsidRPr="00A22370" w:rsidRDefault="00A22370">
            <w:pPr>
              <w:jc w:val="center"/>
              <w:rPr>
                <w:color w:val="000000" w:themeColor="text1"/>
                <w:sz w:val="24"/>
                <w:szCs w:val="24"/>
              </w:rPr>
            </w:pPr>
            <w:r w:rsidRPr="00A22370">
              <w:rPr>
                <w:color w:val="000000" w:themeColor="text1"/>
                <w:sz w:val="24"/>
                <w:szCs w:val="24"/>
              </w:rPr>
              <w:t>4626459</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8297C9" w14:textId="77777777" w:rsidR="00A22370" w:rsidRPr="00A22370" w:rsidRDefault="00A22370">
            <w:pPr>
              <w:rPr>
                <w:color w:val="000000" w:themeColor="text1"/>
                <w:sz w:val="24"/>
                <w:szCs w:val="24"/>
              </w:rPr>
            </w:pPr>
            <w:r w:rsidRPr="00A22370">
              <w:rPr>
                <w:color w:val="000000" w:themeColor="text1"/>
                <w:sz w:val="24"/>
                <w:szCs w:val="24"/>
              </w:rPr>
              <w:t>Individual Longitudinal Exposure Record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05E158" w14:textId="77777777" w:rsidR="00A22370" w:rsidRPr="00A22370" w:rsidRDefault="00A22370">
            <w:pPr>
              <w:jc w:val="center"/>
              <w:rPr>
                <w:color w:val="000000" w:themeColor="text1"/>
                <w:sz w:val="24"/>
                <w:szCs w:val="24"/>
              </w:rPr>
            </w:pPr>
            <w:r w:rsidRPr="00A22370">
              <w:rPr>
                <w:color w:val="000000" w:themeColor="text1"/>
                <w:sz w:val="24"/>
                <w:szCs w:val="24"/>
              </w:rPr>
              <w:t>1.00</w:t>
            </w:r>
          </w:p>
        </w:tc>
      </w:tr>
      <w:tr w:rsidR="00A22370" w:rsidRPr="00A22370" w14:paraId="3C668A35"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7AA4CD" w14:textId="77777777" w:rsidR="00A22370" w:rsidRPr="00A22370" w:rsidRDefault="00A22370">
            <w:pPr>
              <w:jc w:val="center"/>
              <w:rPr>
                <w:color w:val="000000" w:themeColor="text1"/>
                <w:sz w:val="24"/>
                <w:szCs w:val="24"/>
              </w:rPr>
            </w:pPr>
            <w:r w:rsidRPr="00A22370">
              <w:rPr>
                <w:color w:val="000000" w:themeColor="text1"/>
                <w:sz w:val="24"/>
                <w:szCs w:val="24"/>
              </w:rPr>
              <w:t>4637094</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110D4A" w14:textId="77777777" w:rsidR="00A22370" w:rsidRPr="00A22370" w:rsidRDefault="00A22370">
            <w:pPr>
              <w:rPr>
                <w:color w:val="000000" w:themeColor="text1"/>
                <w:sz w:val="24"/>
                <w:szCs w:val="24"/>
              </w:rPr>
            </w:pPr>
            <w:r w:rsidRPr="00A22370">
              <w:rPr>
                <w:color w:val="000000" w:themeColor="text1"/>
                <w:sz w:val="24"/>
                <w:szCs w:val="24"/>
              </w:rPr>
              <w:t>PACT Act Implementation Overview</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3787EF" w14:textId="77777777" w:rsidR="00A22370" w:rsidRPr="00A22370" w:rsidRDefault="00A22370">
            <w:pPr>
              <w:jc w:val="center"/>
              <w:rPr>
                <w:color w:val="000000" w:themeColor="text1"/>
                <w:sz w:val="24"/>
                <w:szCs w:val="24"/>
              </w:rPr>
            </w:pPr>
            <w:r w:rsidRPr="00A22370">
              <w:rPr>
                <w:color w:val="000000" w:themeColor="text1"/>
                <w:sz w:val="24"/>
                <w:szCs w:val="24"/>
              </w:rPr>
              <w:t>0.75</w:t>
            </w:r>
          </w:p>
        </w:tc>
      </w:tr>
      <w:tr w:rsidR="00A22370" w:rsidRPr="00A22370" w14:paraId="391E1278"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4D0D770" w14:textId="77777777" w:rsidR="00A22370" w:rsidRPr="00A22370" w:rsidRDefault="00A22370">
            <w:pPr>
              <w:jc w:val="center"/>
              <w:rPr>
                <w:color w:val="000000" w:themeColor="text1"/>
                <w:sz w:val="24"/>
                <w:szCs w:val="24"/>
              </w:rPr>
            </w:pPr>
            <w:r w:rsidRPr="00A22370">
              <w:rPr>
                <w:color w:val="000000" w:themeColor="text1"/>
                <w:sz w:val="24"/>
                <w:szCs w:val="24"/>
              </w:rPr>
              <w:t>4637093</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AE5C8C5" w14:textId="77777777" w:rsidR="00A22370" w:rsidRPr="00A22370" w:rsidRDefault="00A22370">
            <w:pPr>
              <w:rPr>
                <w:color w:val="000000" w:themeColor="text1"/>
                <w:sz w:val="24"/>
                <w:szCs w:val="24"/>
              </w:rPr>
            </w:pPr>
            <w:r w:rsidRPr="00A22370">
              <w:rPr>
                <w:color w:val="000000" w:themeColor="text1"/>
                <w:sz w:val="24"/>
                <w:szCs w:val="24"/>
              </w:rPr>
              <w:t>PACT Act Implementation: Radiation Exposure Claims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53E250" w14:textId="77777777" w:rsidR="00A22370" w:rsidRPr="00A22370" w:rsidRDefault="00A22370">
            <w:pPr>
              <w:jc w:val="center"/>
              <w:rPr>
                <w:color w:val="000000" w:themeColor="text1"/>
                <w:sz w:val="24"/>
                <w:szCs w:val="24"/>
              </w:rPr>
            </w:pPr>
            <w:r w:rsidRPr="00A22370">
              <w:rPr>
                <w:color w:val="000000" w:themeColor="text1"/>
                <w:sz w:val="24"/>
                <w:szCs w:val="24"/>
              </w:rPr>
              <w:t>0.75</w:t>
            </w:r>
          </w:p>
        </w:tc>
      </w:tr>
      <w:tr w:rsidR="00A22370" w:rsidRPr="00A22370" w14:paraId="22D821CD"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B765BA" w14:textId="77777777" w:rsidR="00A22370" w:rsidRPr="00A22370" w:rsidRDefault="00A22370">
            <w:pPr>
              <w:jc w:val="center"/>
              <w:rPr>
                <w:color w:val="000000" w:themeColor="text1"/>
                <w:sz w:val="24"/>
                <w:szCs w:val="24"/>
              </w:rPr>
            </w:pPr>
            <w:r w:rsidRPr="00A22370">
              <w:rPr>
                <w:color w:val="000000" w:themeColor="text1"/>
                <w:sz w:val="24"/>
                <w:szCs w:val="24"/>
              </w:rPr>
              <w:t>4637040</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C66C23" w14:textId="77777777" w:rsidR="00A22370" w:rsidRPr="00A22370" w:rsidRDefault="00A22370">
            <w:pPr>
              <w:rPr>
                <w:color w:val="000000" w:themeColor="text1"/>
                <w:sz w:val="24"/>
                <w:szCs w:val="24"/>
              </w:rPr>
            </w:pPr>
            <w:r w:rsidRPr="00A22370">
              <w:rPr>
                <w:color w:val="000000" w:themeColor="text1"/>
                <w:sz w:val="24"/>
                <w:szCs w:val="24"/>
              </w:rPr>
              <w:t>PACT Act Herbicide Exposure Claims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E2F2CD7" w14:textId="77777777" w:rsidR="00A22370" w:rsidRPr="00A22370" w:rsidRDefault="00A22370">
            <w:pPr>
              <w:jc w:val="center"/>
              <w:rPr>
                <w:color w:val="000000" w:themeColor="text1"/>
                <w:sz w:val="24"/>
                <w:szCs w:val="24"/>
              </w:rPr>
            </w:pPr>
            <w:r w:rsidRPr="00A22370">
              <w:rPr>
                <w:color w:val="000000" w:themeColor="text1"/>
                <w:sz w:val="24"/>
                <w:szCs w:val="24"/>
              </w:rPr>
              <w:t>1.50</w:t>
            </w:r>
          </w:p>
        </w:tc>
      </w:tr>
      <w:tr w:rsidR="00A22370" w:rsidRPr="00A22370" w14:paraId="44130021"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958C50" w14:textId="77777777" w:rsidR="00A22370" w:rsidRPr="00A22370" w:rsidRDefault="00A22370">
            <w:pPr>
              <w:jc w:val="center"/>
              <w:rPr>
                <w:color w:val="000000" w:themeColor="text1"/>
                <w:sz w:val="24"/>
                <w:szCs w:val="24"/>
              </w:rPr>
            </w:pPr>
            <w:r w:rsidRPr="00A22370">
              <w:rPr>
                <w:color w:val="000000" w:themeColor="text1"/>
                <w:sz w:val="24"/>
                <w:szCs w:val="24"/>
              </w:rPr>
              <w:t>4637095</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C34C6E7" w14:textId="77777777" w:rsidR="00A22370" w:rsidRPr="00A22370" w:rsidRDefault="00A22370">
            <w:pPr>
              <w:rPr>
                <w:color w:val="000000" w:themeColor="text1"/>
                <w:sz w:val="24"/>
                <w:szCs w:val="24"/>
              </w:rPr>
            </w:pPr>
            <w:r w:rsidRPr="00A22370">
              <w:rPr>
                <w:color w:val="000000" w:themeColor="text1"/>
                <w:sz w:val="24"/>
                <w:szCs w:val="24"/>
              </w:rPr>
              <w:t xml:space="preserve">PACT Act Undiagnosed Illnesses and Medically Unexplained Chronic </w:t>
            </w:r>
            <w:proofErr w:type="spellStart"/>
            <w:r w:rsidRPr="00A22370">
              <w:rPr>
                <w:color w:val="000000" w:themeColor="text1"/>
                <w:sz w:val="24"/>
                <w:szCs w:val="24"/>
              </w:rPr>
              <w:t>Multisymptom</w:t>
            </w:r>
            <w:proofErr w:type="spellEnd"/>
            <w:r w:rsidRPr="00A22370">
              <w:rPr>
                <w:color w:val="000000" w:themeColor="text1"/>
                <w:sz w:val="24"/>
                <w:szCs w:val="24"/>
              </w:rPr>
              <w:t xml:space="preserve"> Illnesses (MUCMIs)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BF9710" w14:textId="77777777" w:rsidR="00A22370" w:rsidRPr="00A22370" w:rsidRDefault="00A22370">
            <w:pPr>
              <w:jc w:val="center"/>
              <w:rPr>
                <w:color w:val="000000" w:themeColor="text1"/>
                <w:sz w:val="24"/>
                <w:szCs w:val="24"/>
              </w:rPr>
            </w:pPr>
            <w:r w:rsidRPr="00A22370">
              <w:rPr>
                <w:color w:val="000000" w:themeColor="text1"/>
                <w:sz w:val="24"/>
                <w:szCs w:val="24"/>
              </w:rPr>
              <w:t>1.00</w:t>
            </w:r>
          </w:p>
        </w:tc>
      </w:tr>
      <w:tr w:rsidR="00A22370" w:rsidRPr="00A22370" w14:paraId="099C716B"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F8B81F" w14:textId="77777777" w:rsidR="00A22370" w:rsidRPr="00A22370" w:rsidRDefault="00A22370">
            <w:pPr>
              <w:jc w:val="center"/>
              <w:rPr>
                <w:color w:val="000000" w:themeColor="text1"/>
                <w:sz w:val="24"/>
                <w:szCs w:val="24"/>
              </w:rPr>
            </w:pPr>
            <w:r w:rsidRPr="00A22370">
              <w:rPr>
                <w:color w:val="000000" w:themeColor="text1"/>
                <w:sz w:val="24"/>
                <w:szCs w:val="24"/>
              </w:rPr>
              <w:t>4637096</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BC57B4" w14:textId="77777777" w:rsidR="00A22370" w:rsidRPr="00A22370" w:rsidRDefault="00A22370">
            <w:pPr>
              <w:rPr>
                <w:color w:val="000000" w:themeColor="text1"/>
                <w:sz w:val="24"/>
                <w:szCs w:val="24"/>
              </w:rPr>
            </w:pPr>
            <w:r w:rsidRPr="00A22370">
              <w:rPr>
                <w:color w:val="000000" w:themeColor="text1"/>
                <w:sz w:val="24"/>
                <w:szCs w:val="24"/>
              </w:rPr>
              <w:t>PACT Act Implementation: Presumptive SC Based on Exposure to Burn Pits and Other Toxins, Including Fine Particulate Matter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7D5115" w14:textId="77777777" w:rsidR="00A22370" w:rsidRPr="00A22370" w:rsidRDefault="00A22370">
            <w:pPr>
              <w:jc w:val="center"/>
              <w:rPr>
                <w:color w:val="000000" w:themeColor="text1"/>
                <w:sz w:val="24"/>
                <w:szCs w:val="24"/>
              </w:rPr>
            </w:pPr>
            <w:r w:rsidRPr="00A22370">
              <w:rPr>
                <w:color w:val="000000" w:themeColor="text1"/>
                <w:sz w:val="24"/>
                <w:szCs w:val="24"/>
              </w:rPr>
              <w:t>1.25</w:t>
            </w:r>
          </w:p>
        </w:tc>
      </w:tr>
      <w:tr w:rsidR="00A22370" w:rsidRPr="00A22370" w14:paraId="2924AB06"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B7C0BB" w14:textId="77777777" w:rsidR="00A22370" w:rsidRPr="00A22370" w:rsidRDefault="00A22370">
            <w:pPr>
              <w:jc w:val="center"/>
              <w:rPr>
                <w:color w:val="000000" w:themeColor="text1"/>
                <w:sz w:val="24"/>
                <w:szCs w:val="24"/>
              </w:rPr>
            </w:pPr>
            <w:r w:rsidRPr="00A22370">
              <w:rPr>
                <w:color w:val="000000" w:themeColor="text1"/>
                <w:sz w:val="24"/>
                <w:szCs w:val="24"/>
              </w:rPr>
              <w:t>4637064</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699BE1" w14:textId="77777777" w:rsidR="00A22370" w:rsidRPr="00A22370" w:rsidRDefault="00A22370">
            <w:pPr>
              <w:rPr>
                <w:sz w:val="24"/>
                <w:szCs w:val="24"/>
              </w:rPr>
            </w:pPr>
            <w:r w:rsidRPr="00A22370">
              <w:rPr>
                <w:color w:val="000000" w:themeColor="text1"/>
                <w:sz w:val="24"/>
                <w:szCs w:val="24"/>
              </w:rPr>
              <w:t>PACT Act Implementation Standard Operating Procedure (SOP)</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B8DC754" w14:textId="77777777" w:rsidR="00A22370" w:rsidRPr="00A22370" w:rsidRDefault="00A22370">
            <w:pPr>
              <w:jc w:val="center"/>
              <w:rPr>
                <w:color w:val="000000" w:themeColor="text1"/>
                <w:sz w:val="24"/>
                <w:szCs w:val="24"/>
              </w:rPr>
            </w:pPr>
            <w:r w:rsidRPr="00A22370">
              <w:rPr>
                <w:color w:val="000000" w:themeColor="text1"/>
                <w:sz w:val="24"/>
                <w:szCs w:val="24"/>
              </w:rPr>
              <w:t>4.00</w:t>
            </w:r>
          </w:p>
        </w:tc>
      </w:tr>
      <w:tr w:rsidR="00A22370" w:rsidRPr="00A22370" w14:paraId="7A9E5A6B"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EC1BFEC" w14:textId="77777777" w:rsidR="00A22370" w:rsidRPr="00A22370" w:rsidRDefault="00A22370">
            <w:pPr>
              <w:jc w:val="center"/>
              <w:rPr>
                <w:color w:val="000000" w:themeColor="text1"/>
                <w:sz w:val="24"/>
                <w:szCs w:val="24"/>
              </w:rPr>
            </w:pPr>
            <w:r w:rsidRPr="00A22370">
              <w:rPr>
                <w:color w:val="000000" w:themeColor="text1"/>
                <w:sz w:val="24"/>
                <w:szCs w:val="24"/>
              </w:rPr>
              <w:t>4639866</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ECAA28" w14:textId="77777777" w:rsidR="00A22370" w:rsidRPr="00A22370" w:rsidRDefault="00A22370">
            <w:pPr>
              <w:rPr>
                <w:color w:val="000000" w:themeColor="text1"/>
                <w:sz w:val="24"/>
                <w:szCs w:val="24"/>
              </w:rPr>
            </w:pPr>
            <w:r w:rsidRPr="00A22370">
              <w:rPr>
                <w:color w:val="000000" w:themeColor="text1"/>
                <w:sz w:val="24"/>
                <w:szCs w:val="24"/>
              </w:rPr>
              <w:t>PACT Act SOP Updates, FAQ, and ILER Guidance Updates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48B040" w14:textId="77777777" w:rsidR="00A22370" w:rsidRPr="00A22370" w:rsidRDefault="00A22370">
            <w:pPr>
              <w:jc w:val="center"/>
              <w:rPr>
                <w:color w:val="000000" w:themeColor="text1"/>
                <w:sz w:val="24"/>
                <w:szCs w:val="24"/>
              </w:rPr>
            </w:pPr>
            <w:r w:rsidRPr="00A22370">
              <w:rPr>
                <w:color w:val="000000" w:themeColor="text1"/>
                <w:sz w:val="24"/>
                <w:szCs w:val="24"/>
              </w:rPr>
              <w:t>2.00</w:t>
            </w:r>
          </w:p>
        </w:tc>
      </w:tr>
      <w:tr w:rsidR="00A22370" w:rsidRPr="00A22370" w14:paraId="6B6D5D86"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FFAC8A" w14:textId="77777777" w:rsidR="00A22370" w:rsidRPr="00A22370" w:rsidRDefault="00A22370">
            <w:pPr>
              <w:jc w:val="center"/>
              <w:rPr>
                <w:color w:val="000000" w:themeColor="text1"/>
                <w:sz w:val="24"/>
                <w:szCs w:val="24"/>
              </w:rPr>
            </w:pPr>
            <w:r w:rsidRPr="00A22370">
              <w:rPr>
                <w:color w:val="000000" w:themeColor="text1"/>
                <w:sz w:val="24"/>
                <w:szCs w:val="24"/>
              </w:rPr>
              <w:t>4637572</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68AF2BE" w14:textId="77777777" w:rsidR="00A22370" w:rsidRPr="00A22370" w:rsidRDefault="00A22370">
            <w:pPr>
              <w:rPr>
                <w:color w:val="000000" w:themeColor="text1"/>
                <w:sz w:val="24"/>
                <w:szCs w:val="24"/>
              </w:rPr>
            </w:pPr>
            <w:r w:rsidRPr="00A22370">
              <w:rPr>
                <w:color w:val="000000" w:themeColor="text1"/>
                <w:sz w:val="24"/>
                <w:szCs w:val="24"/>
              </w:rPr>
              <w:t>PACT Act SOP Review Live Local Training</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8F16DF" w14:textId="77777777" w:rsidR="00A22370" w:rsidRPr="00A22370" w:rsidRDefault="00A22370">
            <w:pPr>
              <w:jc w:val="center"/>
              <w:rPr>
                <w:color w:val="000000" w:themeColor="text1"/>
                <w:sz w:val="24"/>
                <w:szCs w:val="24"/>
              </w:rPr>
            </w:pPr>
            <w:r w:rsidRPr="00A22370">
              <w:rPr>
                <w:color w:val="000000" w:themeColor="text1"/>
                <w:sz w:val="24"/>
                <w:szCs w:val="24"/>
              </w:rPr>
              <w:t>2.00</w:t>
            </w:r>
          </w:p>
        </w:tc>
      </w:tr>
      <w:tr w:rsidR="00A22370" w:rsidRPr="00A22370" w14:paraId="2BEBD222"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A9C8E7" w14:textId="77777777" w:rsidR="00A22370" w:rsidRPr="00A22370" w:rsidRDefault="00A22370">
            <w:pPr>
              <w:jc w:val="center"/>
              <w:rPr>
                <w:color w:val="000000" w:themeColor="text1"/>
                <w:sz w:val="24"/>
                <w:szCs w:val="24"/>
              </w:rPr>
            </w:pPr>
            <w:r w:rsidRPr="00A22370">
              <w:rPr>
                <w:color w:val="000000" w:themeColor="text1"/>
                <w:sz w:val="24"/>
                <w:szCs w:val="24"/>
              </w:rPr>
              <w:t>4639997</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58D1D0F" w14:textId="77777777" w:rsidR="00A22370" w:rsidRPr="00A22370" w:rsidRDefault="00A22370">
            <w:pPr>
              <w:rPr>
                <w:color w:val="000000" w:themeColor="text1"/>
                <w:sz w:val="24"/>
                <w:szCs w:val="24"/>
              </w:rPr>
            </w:pPr>
            <w:r w:rsidRPr="00A22370">
              <w:rPr>
                <w:color w:val="000000" w:themeColor="text1"/>
                <w:sz w:val="24"/>
                <w:szCs w:val="24"/>
              </w:rPr>
              <w:t>PACT Act SOP and FAQs Review (Version 2.0) Live Local Training</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A0ABCE" w14:textId="77777777" w:rsidR="00A22370" w:rsidRPr="00A22370" w:rsidRDefault="00A22370">
            <w:pPr>
              <w:jc w:val="center"/>
              <w:rPr>
                <w:color w:val="000000" w:themeColor="text1"/>
                <w:sz w:val="24"/>
                <w:szCs w:val="24"/>
              </w:rPr>
            </w:pPr>
            <w:r w:rsidRPr="00A22370">
              <w:rPr>
                <w:color w:val="000000" w:themeColor="text1"/>
                <w:sz w:val="24"/>
                <w:szCs w:val="24"/>
              </w:rPr>
              <w:t>2.00</w:t>
            </w:r>
          </w:p>
        </w:tc>
      </w:tr>
      <w:tr w:rsidR="00A22370" w:rsidRPr="00A22370" w14:paraId="7947BCA1"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0E92318" w14:textId="77777777" w:rsidR="00A22370" w:rsidRPr="00A22370" w:rsidRDefault="00A22370">
            <w:pPr>
              <w:jc w:val="center"/>
              <w:rPr>
                <w:color w:val="000000" w:themeColor="text1"/>
                <w:sz w:val="24"/>
                <w:szCs w:val="24"/>
              </w:rPr>
            </w:pPr>
            <w:r w:rsidRPr="00A22370">
              <w:rPr>
                <w:color w:val="000000" w:themeColor="text1"/>
                <w:sz w:val="24"/>
                <w:szCs w:val="24"/>
              </w:rPr>
              <w:t>4640001</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F400CC" w14:textId="77777777" w:rsidR="00A22370" w:rsidRPr="00A22370" w:rsidRDefault="00A22370">
            <w:pPr>
              <w:rPr>
                <w:color w:val="000000" w:themeColor="text1"/>
                <w:sz w:val="24"/>
                <w:szCs w:val="24"/>
              </w:rPr>
            </w:pPr>
            <w:r w:rsidRPr="00A22370">
              <w:rPr>
                <w:color w:val="000000" w:themeColor="text1"/>
                <w:sz w:val="24"/>
                <w:szCs w:val="24"/>
              </w:rPr>
              <w:t>Introduction to the TERA Tool Live Local Training</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CF6AF9" w14:textId="77777777" w:rsidR="00A22370" w:rsidRPr="00A22370" w:rsidRDefault="00A22370">
            <w:pPr>
              <w:jc w:val="center"/>
              <w:rPr>
                <w:color w:val="000000" w:themeColor="text1"/>
                <w:sz w:val="24"/>
                <w:szCs w:val="24"/>
              </w:rPr>
            </w:pPr>
            <w:r w:rsidRPr="00A22370">
              <w:rPr>
                <w:color w:val="000000" w:themeColor="text1"/>
                <w:sz w:val="24"/>
                <w:szCs w:val="24"/>
              </w:rPr>
              <w:t>2.00</w:t>
            </w:r>
          </w:p>
        </w:tc>
      </w:tr>
    </w:tbl>
    <w:p w14:paraId="69F91CB5" w14:textId="0A512611" w:rsidR="00A22370" w:rsidRPr="00A22370" w:rsidRDefault="00A22370" w:rsidP="00A22370">
      <w:pPr>
        <w:rPr>
          <w:i/>
          <w:sz w:val="24"/>
          <w:szCs w:val="24"/>
        </w:rPr>
      </w:pPr>
    </w:p>
    <w:p w14:paraId="14CF454A" w14:textId="77777777" w:rsidR="00A22370" w:rsidRPr="00A22370" w:rsidRDefault="00A22370" w:rsidP="00A22370">
      <w:pPr>
        <w:pStyle w:val="ListParagraph"/>
        <w:ind w:left="547" w:firstLine="0"/>
        <w:rPr>
          <w:i/>
          <w:sz w:val="24"/>
          <w:szCs w:val="24"/>
        </w:rPr>
      </w:pPr>
    </w:p>
    <w:p w14:paraId="6EA1F32F" w14:textId="77777777" w:rsidR="00A22370" w:rsidRPr="00A22370" w:rsidRDefault="00A22370" w:rsidP="00A22370">
      <w:pPr>
        <w:pStyle w:val="ListParagraph"/>
        <w:ind w:left="547" w:firstLine="0"/>
        <w:rPr>
          <w:sz w:val="24"/>
          <w:szCs w:val="24"/>
        </w:rPr>
      </w:pPr>
      <w:r w:rsidRPr="00A22370">
        <w:rPr>
          <w:i/>
          <w:sz w:val="24"/>
          <w:szCs w:val="24"/>
        </w:rPr>
        <w:t>All Claims Processors (VSC, PMC, DROC)</w:t>
      </w:r>
      <w:r w:rsidRPr="00A22370">
        <w:rPr>
          <w:sz w:val="24"/>
          <w:szCs w:val="24"/>
        </w:rPr>
        <w:t xml:space="preserve"> 3.75 hours</w:t>
      </w:r>
    </w:p>
    <w:tbl>
      <w:tblPr>
        <w:tblStyle w:val="TableGrid"/>
        <w:tblW w:w="0" w:type="auto"/>
        <w:tblInd w:w="0" w:type="dxa"/>
        <w:tblLayout w:type="fixed"/>
        <w:tblLook w:val="04A0" w:firstRow="1" w:lastRow="0" w:firstColumn="1" w:lastColumn="0" w:noHBand="0" w:noVBand="1"/>
      </w:tblPr>
      <w:tblGrid>
        <w:gridCol w:w="1530"/>
        <w:gridCol w:w="6390"/>
        <w:gridCol w:w="1440"/>
      </w:tblGrid>
      <w:tr w:rsidR="00A22370" w:rsidRPr="00A22370" w14:paraId="0705F027"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55FB40F8" w14:textId="77777777" w:rsidR="00A22370" w:rsidRPr="00A22370" w:rsidRDefault="00A22370">
            <w:pPr>
              <w:jc w:val="center"/>
              <w:rPr>
                <w:b/>
                <w:color w:val="FFFFFF" w:themeColor="background1"/>
                <w:sz w:val="24"/>
                <w:szCs w:val="24"/>
              </w:rPr>
            </w:pPr>
            <w:r w:rsidRPr="00A22370">
              <w:rPr>
                <w:b/>
                <w:color w:val="FFFFFF" w:themeColor="background1"/>
                <w:sz w:val="24"/>
                <w:szCs w:val="24"/>
              </w:rPr>
              <w:t>TMS Number</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22F83D57" w14:textId="77777777" w:rsidR="00A22370" w:rsidRPr="00A22370" w:rsidRDefault="00A22370">
            <w:pPr>
              <w:jc w:val="center"/>
              <w:rPr>
                <w:b/>
                <w:color w:val="FFFFFF" w:themeColor="background1"/>
                <w:sz w:val="24"/>
                <w:szCs w:val="24"/>
              </w:rPr>
            </w:pPr>
            <w:r w:rsidRPr="00A22370">
              <w:rPr>
                <w:b/>
                <w:color w:val="FFFFFF" w:themeColor="background1"/>
                <w:sz w:val="24"/>
                <w:szCs w:val="24"/>
              </w:rPr>
              <w:t>Course Title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285604E1" w14:textId="77777777" w:rsidR="00A22370" w:rsidRPr="00A22370" w:rsidRDefault="00A22370">
            <w:pPr>
              <w:jc w:val="center"/>
              <w:rPr>
                <w:b/>
                <w:color w:val="FFFFFF" w:themeColor="background1"/>
                <w:sz w:val="24"/>
                <w:szCs w:val="24"/>
              </w:rPr>
            </w:pPr>
            <w:r w:rsidRPr="00A22370">
              <w:rPr>
                <w:b/>
                <w:color w:val="FFFFFF" w:themeColor="background1"/>
                <w:sz w:val="24"/>
                <w:szCs w:val="24"/>
              </w:rPr>
              <w:t>Learning Hours</w:t>
            </w:r>
          </w:p>
        </w:tc>
      </w:tr>
      <w:tr w:rsidR="00A22370" w:rsidRPr="00A22370" w14:paraId="3D4CCCFE"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9DAB56E" w14:textId="77777777" w:rsidR="00A22370" w:rsidRPr="00A22370" w:rsidRDefault="00A22370">
            <w:pPr>
              <w:jc w:val="center"/>
              <w:rPr>
                <w:color w:val="000000" w:themeColor="text1"/>
                <w:sz w:val="24"/>
                <w:szCs w:val="24"/>
              </w:rPr>
            </w:pPr>
            <w:r w:rsidRPr="00A22370">
              <w:rPr>
                <w:color w:val="000000" w:themeColor="text1"/>
                <w:sz w:val="24"/>
                <w:szCs w:val="24"/>
              </w:rPr>
              <w:t>4637477</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6EE559" w14:textId="77777777" w:rsidR="00A22370" w:rsidRPr="00A22370" w:rsidRDefault="00A22370">
            <w:pPr>
              <w:rPr>
                <w:color w:val="000000" w:themeColor="text1"/>
                <w:sz w:val="24"/>
                <w:szCs w:val="24"/>
              </w:rPr>
            </w:pPr>
            <w:r w:rsidRPr="00A22370">
              <w:rPr>
                <w:color w:val="000000" w:themeColor="text1"/>
                <w:sz w:val="24"/>
                <w:szCs w:val="24"/>
              </w:rPr>
              <w:t>Introduction to Toxic Exposure Risk Activity (TERA)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7615D81" w14:textId="77777777" w:rsidR="00A22370" w:rsidRPr="00A22370" w:rsidRDefault="00A22370">
            <w:pPr>
              <w:jc w:val="center"/>
              <w:rPr>
                <w:color w:val="000000" w:themeColor="text1"/>
                <w:sz w:val="24"/>
                <w:szCs w:val="24"/>
              </w:rPr>
            </w:pPr>
            <w:r w:rsidRPr="00A22370">
              <w:rPr>
                <w:color w:val="000000" w:themeColor="text1"/>
                <w:sz w:val="24"/>
                <w:szCs w:val="24"/>
              </w:rPr>
              <w:t>0.50</w:t>
            </w:r>
          </w:p>
        </w:tc>
      </w:tr>
      <w:tr w:rsidR="00A22370" w:rsidRPr="00A22370" w14:paraId="12346C54"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6610FC7" w14:textId="77777777" w:rsidR="00A22370" w:rsidRPr="00A22370" w:rsidRDefault="00A22370">
            <w:pPr>
              <w:jc w:val="center"/>
              <w:rPr>
                <w:color w:val="000000" w:themeColor="text1"/>
                <w:sz w:val="24"/>
                <w:szCs w:val="24"/>
              </w:rPr>
            </w:pPr>
            <w:r w:rsidRPr="00A22370">
              <w:rPr>
                <w:color w:val="000000" w:themeColor="text1"/>
                <w:sz w:val="24"/>
                <w:szCs w:val="24"/>
              </w:rPr>
              <w:t>4637568</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A72787" w14:textId="77777777" w:rsidR="00A22370" w:rsidRPr="00A22370" w:rsidRDefault="00A22370">
            <w:pPr>
              <w:rPr>
                <w:color w:val="000000" w:themeColor="text1"/>
                <w:sz w:val="24"/>
                <w:szCs w:val="24"/>
              </w:rPr>
            </w:pPr>
            <w:r w:rsidRPr="00A22370">
              <w:rPr>
                <w:color w:val="000000" w:themeColor="text1"/>
                <w:sz w:val="24"/>
                <w:szCs w:val="24"/>
              </w:rPr>
              <w:t>Toxic Exposure Risk Activity (TERA) Procedures for Non-Presumptive Claims and Examinations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BA41E89" w14:textId="77777777" w:rsidR="00A22370" w:rsidRPr="00A22370" w:rsidRDefault="00A22370">
            <w:pPr>
              <w:jc w:val="center"/>
              <w:rPr>
                <w:color w:val="000000" w:themeColor="text1"/>
                <w:sz w:val="24"/>
                <w:szCs w:val="24"/>
              </w:rPr>
            </w:pPr>
            <w:r w:rsidRPr="00A22370">
              <w:rPr>
                <w:color w:val="000000" w:themeColor="text1"/>
                <w:sz w:val="24"/>
                <w:szCs w:val="24"/>
              </w:rPr>
              <w:t>1.50</w:t>
            </w:r>
          </w:p>
        </w:tc>
      </w:tr>
      <w:tr w:rsidR="00A22370" w:rsidRPr="00A22370" w14:paraId="1A7B2275"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2C7E0E" w14:textId="77777777" w:rsidR="00A22370" w:rsidRPr="00A22370" w:rsidRDefault="00A22370">
            <w:pPr>
              <w:jc w:val="center"/>
              <w:rPr>
                <w:color w:val="000000" w:themeColor="text1"/>
                <w:sz w:val="24"/>
                <w:szCs w:val="24"/>
              </w:rPr>
            </w:pPr>
            <w:r w:rsidRPr="00A22370">
              <w:rPr>
                <w:color w:val="000000" w:themeColor="text1"/>
                <w:sz w:val="24"/>
                <w:szCs w:val="24"/>
              </w:rPr>
              <w:t>4637707</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5EC80A7" w14:textId="77777777" w:rsidR="00A22370" w:rsidRPr="00A22370" w:rsidRDefault="00A22370">
            <w:pPr>
              <w:rPr>
                <w:color w:val="000000" w:themeColor="text1"/>
                <w:sz w:val="24"/>
                <w:szCs w:val="24"/>
              </w:rPr>
            </w:pPr>
            <w:r w:rsidRPr="00A22370">
              <w:rPr>
                <w:color w:val="000000" w:themeColor="text1"/>
                <w:sz w:val="24"/>
                <w:szCs w:val="24"/>
              </w:rPr>
              <w:t>Toxic Exposure Risk Activity (TERA) Procedures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106EE6" w14:textId="77777777" w:rsidR="00A22370" w:rsidRPr="00A22370" w:rsidRDefault="00A22370">
            <w:pPr>
              <w:jc w:val="center"/>
              <w:rPr>
                <w:color w:val="000000" w:themeColor="text1"/>
                <w:sz w:val="24"/>
                <w:szCs w:val="24"/>
              </w:rPr>
            </w:pPr>
            <w:r w:rsidRPr="00A22370">
              <w:rPr>
                <w:color w:val="000000" w:themeColor="text1"/>
                <w:sz w:val="24"/>
                <w:szCs w:val="24"/>
              </w:rPr>
              <w:t>0.75</w:t>
            </w:r>
          </w:p>
        </w:tc>
      </w:tr>
      <w:tr w:rsidR="00A22370" w:rsidRPr="00A22370" w14:paraId="2C1485BD"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E59F20" w14:textId="77777777" w:rsidR="00A22370" w:rsidRPr="00A22370" w:rsidRDefault="00A22370">
            <w:pPr>
              <w:jc w:val="center"/>
              <w:rPr>
                <w:color w:val="000000" w:themeColor="text1"/>
                <w:sz w:val="24"/>
                <w:szCs w:val="24"/>
              </w:rPr>
            </w:pPr>
            <w:r w:rsidRPr="00A22370">
              <w:rPr>
                <w:color w:val="000000" w:themeColor="text1"/>
                <w:sz w:val="24"/>
                <w:szCs w:val="24"/>
              </w:rPr>
              <w:t>4637573</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4164015" w14:textId="77777777" w:rsidR="00A22370" w:rsidRPr="00A22370" w:rsidRDefault="00A22370">
            <w:pPr>
              <w:rPr>
                <w:color w:val="000000" w:themeColor="text1"/>
                <w:sz w:val="24"/>
                <w:szCs w:val="24"/>
              </w:rPr>
            </w:pPr>
            <w:r w:rsidRPr="00A22370">
              <w:rPr>
                <w:color w:val="000000" w:themeColor="text1"/>
                <w:sz w:val="24"/>
                <w:szCs w:val="24"/>
              </w:rPr>
              <w:t>PACT Act Implementation: Rating Claims Based on Participation in TERA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A5149C" w14:textId="77777777" w:rsidR="00A22370" w:rsidRPr="00A22370" w:rsidRDefault="00A22370">
            <w:pPr>
              <w:jc w:val="center"/>
              <w:rPr>
                <w:color w:val="000000" w:themeColor="text1"/>
                <w:sz w:val="24"/>
                <w:szCs w:val="24"/>
              </w:rPr>
            </w:pPr>
            <w:r w:rsidRPr="00A22370">
              <w:rPr>
                <w:color w:val="000000" w:themeColor="text1"/>
                <w:sz w:val="24"/>
                <w:szCs w:val="24"/>
              </w:rPr>
              <w:t>0.75</w:t>
            </w:r>
          </w:p>
        </w:tc>
      </w:tr>
    </w:tbl>
    <w:p w14:paraId="2A5B6ED1" w14:textId="77777777" w:rsidR="00A22370" w:rsidRPr="00A22370" w:rsidRDefault="00A22370" w:rsidP="00A22370">
      <w:pPr>
        <w:pStyle w:val="ListParagraph"/>
        <w:ind w:left="547" w:firstLine="0"/>
        <w:rPr>
          <w:sz w:val="24"/>
          <w:szCs w:val="24"/>
        </w:rPr>
      </w:pPr>
      <w:r w:rsidRPr="00A22370">
        <w:rPr>
          <w:sz w:val="24"/>
          <w:szCs w:val="24"/>
        </w:rPr>
        <w:t xml:space="preserve"> </w:t>
      </w:r>
    </w:p>
    <w:p w14:paraId="0681023F" w14:textId="77777777" w:rsidR="006A2883" w:rsidRDefault="006A2883">
      <w:pPr>
        <w:rPr>
          <w:i/>
          <w:iCs/>
          <w:sz w:val="24"/>
          <w:szCs w:val="24"/>
        </w:rPr>
      </w:pPr>
      <w:r>
        <w:rPr>
          <w:i/>
          <w:iCs/>
          <w:sz w:val="24"/>
          <w:szCs w:val="24"/>
        </w:rPr>
        <w:br w:type="page"/>
      </w:r>
    </w:p>
    <w:p w14:paraId="10B70286" w14:textId="644D59F5" w:rsidR="00A22370" w:rsidRPr="00A22370" w:rsidRDefault="00A22370" w:rsidP="00A22370">
      <w:pPr>
        <w:pStyle w:val="ListParagraph"/>
        <w:ind w:left="547" w:firstLine="0"/>
        <w:rPr>
          <w:sz w:val="24"/>
          <w:szCs w:val="24"/>
        </w:rPr>
      </w:pPr>
      <w:r w:rsidRPr="00A22370">
        <w:rPr>
          <w:i/>
          <w:iCs/>
          <w:sz w:val="24"/>
          <w:szCs w:val="24"/>
        </w:rPr>
        <w:lastRenderedPageBreak/>
        <w:t>Only PMC Claims Processors</w:t>
      </w:r>
      <w:r w:rsidRPr="00A22370">
        <w:rPr>
          <w:sz w:val="24"/>
          <w:szCs w:val="24"/>
        </w:rPr>
        <w:t xml:space="preserve"> 4.5 hours </w:t>
      </w:r>
    </w:p>
    <w:tbl>
      <w:tblPr>
        <w:tblStyle w:val="TableGrid"/>
        <w:tblW w:w="0" w:type="auto"/>
        <w:tblInd w:w="0" w:type="dxa"/>
        <w:tblLayout w:type="fixed"/>
        <w:tblLook w:val="04A0" w:firstRow="1" w:lastRow="0" w:firstColumn="1" w:lastColumn="0" w:noHBand="0" w:noVBand="1"/>
      </w:tblPr>
      <w:tblGrid>
        <w:gridCol w:w="1530"/>
        <w:gridCol w:w="6390"/>
        <w:gridCol w:w="1440"/>
      </w:tblGrid>
      <w:tr w:rsidR="00A22370" w:rsidRPr="00A22370" w14:paraId="22EDEAD8"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57E883CD" w14:textId="77777777" w:rsidR="00A22370" w:rsidRPr="00A22370" w:rsidRDefault="00A22370">
            <w:pPr>
              <w:jc w:val="center"/>
              <w:rPr>
                <w:b/>
                <w:color w:val="FFFFFF" w:themeColor="background1"/>
                <w:sz w:val="24"/>
                <w:szCs w:val="24"/>
              </w:rPr>
            </w:pPr>
            <w:r w:rsidRPr="00A22370">
              <w:rPr>
                <w:b/>
                <w:color w:val="FFFFFF" w:themeColor="background1"/>
                <w:sz w:val="24"/>
                <w:szCs w:val="24"/>
              </w:rPr>
              <w:t>TMS Number</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0E15475C" w14:textId="77777777" w:rsidR="00A22370" w:rsidRPr="00A22370" w:rsidRDefault="00A22370">
            <w:pPr>
              <w:jc w:val="center"/>
              <w:rPr>
                <w:b/>
                <w:color w:val="FFFFFF" w:themeColor="background1"/>
                <w:sz w:val="24"/>
                <w:szCs w:val="24"/>
              </w:rPr>
            </w:pPr>
            <w:r w:rsidRPr="00A22370">
              <w:rPr>
                <w:b/>
                <w:color w:val="FFFFFF" w:themeColor="background1"/>
                <w:sz w:val="24"/>
                <w:szCs w:val="24"/>
              </w:rPr>
              <w:t>Course Title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615F5FDF" w14:textId="77777777" w:rsidR="00A22370" w:rsidRPr="00A22370" w:rsidRDefault="00A22370">
            <w:pPr>
              <w:jc w:val="center"/>
              <w:rPr>
                <w:b/>
                <w:color w:val="FFFFFF" w:themeColor="background1"/>
                <w:sz w:val="24"/>
                <w:szCs w:val="24"/>
              </w:rPr>
            </w:pPr>
            <w:r w:rsidRPr="00A22370">
              <w:rPr>
                <w:b/>
                <w:color w:val="FFFFFF" w:themeColor="background1"/>
                <w:sz w:val="24"/>
                <w:szCs w:val="24"/>
              </w:rPr>
              <w:t>Learning Hours</w:t>
            </w:r>
          </w:p>
        </w:tc>
      </w:tr>
      <w:tr w:rsidR="00A22370" w:rsidRPr="00A22370" w14:paraId="3F860EFF"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572B79" w14:textId="77777777" w:rsidR="00A22370" w:rsidRPr="00A22370" w:rsidRDefault="00A22370">
            <w:pPr>
              <w:jc w:val="center"/>
              <w:rPr>
                <w:color w:val="000000" w:themeColor="text1"/>
                <w:sz w:val="24"/>
                <w:szCs w:val="24"/>
              </w:rPr>
            </w:pPr>
            <w:r w:rsidRPr="00A22370">
              <w:rPr>
                <w:color w:val="000000" w:themeColor="text1"/>
                <w:sz w:val="24"/>
                <w:szCs w:val="24"/>
              </w:rPr>
              <w:t>4637103</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72B93FA" w14:textId="77777777" w:rsidR="00A22370" w:rsidRPr="00A22370" w:rsidRDefault="00A22370">
            <w:pPr>
              <w:rPr>
                <w:color w:val="000000" w:themeColor="text1"/>
                <w:sz w:val="24"/>
                <w:szCs w:val="24"/>
              </w:rPr>
            </w:pPr>
            <w:r w:rsidRPr="00A22370">
              <w:rPr>
                <w:color w:val="000000" w:themeColor="text1"/>
                <w:sz w:val="24"/>
                <w:szCs w:val="24"/>
              </w:rPr>
              <w:t>PACT Act Effect on Burial and Accrued Claims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D8C18D" w14:textId="77777777" w:rsidR="00A22370" w:rsidRPr="00A22370" w:rsidRDefault="00A22370">
            <w:pPr>
              <w:jc w:val="center"/>
              <w:rPr>
                <w:color w:val="000000" w:themeColor="text1"/>
                <w:sz w:val="24"/>
                <w:szCs w:val="24"/>
              </w:rPr>
            </w:pPr>
            <w:r w:rsidRPr="00A22370">
              <w:rPr>
                <w:color w:val="000000" w:themeColor="text1"/>
                <w:sz w:val="24"/>
                <w:szCs w:val="24"/>
              </w:rPr>
              <w:t>1.5</w:t>
            </w:r>
          </w:p>
        </w:tc>
      </w:tr>
      <w:tr w:rsidR="00A22370" w:rsidRPr="00A22370" w14:paraId="5876981C"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FA1F23" w14:textId="77777777" w:rsidR="00A22370" w:rsidRPr="00A22370" w:rsidRDefault="00A22370">
            <w:pPr>
              <w:jc w:val="center"/>
              <w:rPr>
                <w:color w:val="000000" w:themeColor="text1"/>
                <w:sz w:val="24"/>
                <w:szCs w:val="24"/>
              </w:rPr>
            </w:pPr>
            <w:r w:rsidRPr="00A22370">
              <w:rPr>
                <w:color w:val="000000" w:themeColor="text1"/>
                <w:sz w:val="24"/>
                <w:szCs w:val="24"/>
              </w:rPr>
              <w:t>4637104</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8934AA" w14:textId="77777777" w:rsidR="00A22370" w:rsidRPr="00A22370" w:rsidRDefault="00A22370">
            <w:pPr>
              <w:rPr>
                <w:color w:val="000000" w:themeColor="text1"/>
                <w:sz w:val="24"/>
                <w:szCs w:val="24"/>
              </w:rPr>
            </w:pPr>
            <w:r w:rsidRPr="00A22370">
              <w:rPr>
                <w:color w:val="000000" w:themeColor="text1"/>
                <w:sz w:val="24"/>
                <w:szCs w:val="24"/>
              </w:rPr>
              <w:t>PACT Act Original and Reevaluation of DIC Claims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B64B60" w14:textId="77777777" w:rsidR="00A22370" w:rsidRPr="00A22370" w:rsidRDefault="00A22370">
            <w:pPr>
              <w:jc w:val="center"/>
              <w:rPr>
                <w:color w:val="000000" w:themeColor="text1"/>
                <w:sz w:val="24"/>
                <w:szCs w:val="24"/>
              </w:rPr>
            </w:pPr>
            <w:r w:rsidRPr="00A22370">
              <w:rPr>
                <w:color w:val="000000" w:themeColor="text1"/>
                <w:sz w:val="24"/>
                <w:szCs w:val="24"/>
              </w:rPr>
              <w:t>2.0</w:t>
            </w:r>
          </w:p>
        </w:tc>
      </w:tr>
      <w:tr w:rsidR="00A22370" w:rsidRPr="00A22370" w14:paraId="4F54C8F3"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B65C23" w14:textId="77777777" w:rsidR="00A22370" w:rsidRPr="00A22370" w:rsidRDefault="00A22370">
            <w:pPr>
              <w:jc w:val="center"/>
              <w:rPr>
                <w:color w:val="000000" w:themeColor="text1"/>
                <w:sz w:val="24"/>
                <w:szCs w:val="24"/>
              </w:rPr>
            </w:pPr>
            <w:r w:rsidRPr="00A22370">
              <w:rPr>
                <w:color w:val="000000" w:themeColor="text1"/>
                <w:sz w:val="24"/>
                <w:szCs w:val="24"/>
              </w:rPr>
              <w:t>TBD</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F98F1E" w14:textId="77777777" w:rsidR="00A22370" w:rsidRPr="00A22370" w:rsidRDefault="00A22370">
            <w:pPr>
              <w:rPr>
                <w:color w:val="000000" w:themeColor="text1"/>
                <w:sz w:val="24"/>
                <w:szCs w:val="24"/>
              </w:rPr>
            </w:pPr>
            <w:r w:rsidRPr="00A22370">
              <w:rPr>
                <w:color w:val="000000" w:themeColor="text1"/>
                <w:sz w:val="24"/>
                <w:szCs w:val="24"/>
              </w:rPr>
              <w:t>Updates to PMCs on PACT Act Claims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F45B07" w14:textId="77777777" w:rsidR="00A22370" w:rsidRPr="00A22370" w:rsidRDefault="00A22370">
            <w:pPr>
              <w:jc w:val="center"/>
              <w:rPr>
                <w:color w:val="000000" w:themeColor="text1"/>
                <w:sz w:val="24"/>
                <w:szCs w:val="24"/>
              </w:rPr>
            </w:pPr>
            <w:r w:rsidRPr="00A22370">
              <w:rPr>
                <w:color w:val="000000" w:themeColor="text1"/>
                <w:sz w:val="24"/>
                <w:szCs w:val="24"/>
              </w:rPr>
              <w:t>1.0</w:t>
            </w:r>
          </w:p>
        </w:tc>
      </w:tr>
      <w:tr w:rsidR="00A22370" w:rsidRPr="00A22370" w14:paraId="461846E5"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ADEEF8" w14:textId="77777777" w:rsidR="00A22370" w:rsidRPr="00A22370" w:rsidRDefault="00A22370">
            <w:pPr>
              <w:jc w:val="center"/>
              <w:rPr>
                <w:color w:val="000000" w:themeColor="text1"/>
                <w:sz w:val="24"/>
                <w:szCs w:val="24"/>
              </w:rPr>
            </w:pPr>
            <w:r w:rsidRPr="00A22370">
              <w:rPr>
                <w:color w:val="000000" w:themeColor="text1"/>
                <w:sz w:val="24"/>
                <w:szCs w:val="24"/>
              </w:rPr>
              <w:t>TBD</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B547A7" w14:textId="77777777" w:rsidR="00A22370" w:rsidRPr="00A22370" w:rsidRDefault="00A22370">
            <w:pPr>
              <w:rPr>
                <w:color w:val="000000" w:themeColor="text1"/>
                <w:sz w:val="24"/>
                <w:szCs w:val="24"/>
              </w:rPr>
            </w:pPr>
            <w:r w:rsidRPr="00A22370">
              <w:rPr>
                <w:color w:val="000000" w:themeColor="text1"/>
                <w:sz w:val="24"/>
                <w:szCs w:val="24"/>
              </w:rPr>
              <w:t>PMC TERA Tool Training</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68ACE46" w14:textId="77777777" w:rsidR="00A22370" w:rsidRPr="00A22370" w:rsidRDefault="00A22370">
            <w:pPr>
              <w:jc w:val="center"/>
              <w:rPr>
                <w:color w:val="000000" w:themeColor="text1"/>
                <w:sz w:val="24"/>
                <w:szCs w:val="24"/>
              </w:rPr>
            </w:pPr>
            <w:r w:rsidRPr="00A22370">
              <w:rPr>
                <w:color w:val="000000" w:themeColor="text1"/>
                <w:sz w:val="24"/>
                <w:szCs w:val="24"/>
              </w:rPr>
              <w:t>TBD</w:t>
            </w:r>
          </w:p>
        </w:tc>
      </w:tr>
    </w:tbl>
    <w:p w14:paraId="2C649596" w14:textId="77777777" w:rsidR="00A22370" w:rsidRPr="00A22370" w:rsidRDefault="00A22370" w:rsidP="00A22370">
      <w:pPr>
        <w:pStyle w:val="ListParagraph"/>
        <w:numPr>
          <w:ilvl w:val="0"/>
          <w:numId w:val="7"/>
        </w:numPr>
        <w:rPr>
          <w:color w:val="FFFFFF" w:themeColor="background1"/>
          <w:sz w:val="24"/>
          <w:szCs w:val="24"/>
        </w:rPr>
      </w:pPr>
      <w:r w:rsidRPr="00A22370">
        <w:rPr>
          <w:color w:val="FFFFFF" w:themeColor="background1"/>
          <w:sz w:val="24"/>
          <w:szCs w:val="24"/>
        </w:rPr>
        <w:t xml:space="preserve"> </w:t>
      </w:r>
    </w:p>
    <w:p w14:paraId="29CB5F87" w14:textId="77777777" w:rsidR="00A22370" w:rsidRPr="00A22370" w:rsidRDefault="00A22370" w:rsidP="00A22370">
      <w:pPr>
        <w:pStyle w:val="ListParagraph"/>
        <w:ind w:left="547" w:firstLine="0"/>
        <w:rPr>
          <w:sz w:val="24"/>
          <w:szCs w:val="24"/>
        </w:rPr>
      </w:pPr>
      <w:r w:rsidRPr="00A22370">
        <w:rPr>
          <w:i/>
          <w:iCs/>
          <w:sz w:val="24"/>
          <w:szCs w:val="24"/>
        </w:rPr>
        <w:t>Only DROC Claims Processors</w:t>
      </w:r>
      <w:r w:rsidRPr="00A22370">
        <w:rPr>
          <w:sz w:val="24"/>
          <w:szCs w:val="24"/>
        </w:rPr>
        <w:t xml:space="preserve"> 1.5 hours</w:t>
      </w:r>
    </w:p>
    <w:tbl>
      <w:tblPr>
        <w:tblStyle w:val="TableGrid"/>
        <w:tblW w:w="0" w:type="auto"/>
        <w:tblInd w:w="0" w:type="dxa"/>
        <w:tblLayout w:type="fixed"/>
        <w:tblLook w:val="04A0" w:firstRow="1" w:lastRow="0" w:firstColumn="1" w:lastColumn="0" w:noHBand="0" w:noVBand="1"/>
      </w:tblPr>
      <w:tblGrid>
        <w:gridCol w:w="1530"/>
        <w:gridCol w:w="6390"/>
        <w:gridCol w:w="1440"/>
      </w:tblGrid>
      <w:tr w:rsidR="00A22370" w:rsidRPr="00A22370" w14:paraId="5FF53B74"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7A1C952E" w14:textId="77777777" w:rsidR="00A22370" w:rsidRPr="00A22370" w:rsidRDefault="00A22370">
            <w:pPr>
              <w:jc w:val="center"/>
              <w:rPr>
                <w:b/>
                <w:color w:val="FFFFFF" w:themeColor="background1"/>
                <w:sz w:val="24"/>
                <w:szCs w:val="24"/>
              </w:rPr>
            </w:pPr>
            <w:r w:rsidRPr="00A22370">
              <w:rPr>
                <w:b/>
                <w:color w:val="FFFFFF" w:themeColor="background1"/>
                <w:sz w:val="24"/>
                <w:szCs w:val="24"/>
              </w:rPr>
              <w:t>TMS Number</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35940F6E" w14:textId="77777777" w:rsidR="00A22370" w:rsidRPr="00A22370" w:rsidRDefault="00A22370">
            <w:pPr>
              <w:jc w:val="center"/>
              <w:rPr>
                <w:b/>
                <w:color w:val="FFFFFF" w:themeColor="background1"/>
                <w:sz w:val="24"/>
                <w:szCs w:val="24"/>
              </w:rPr>
            </w:pPr>
            <w:r w:rsidRPr="00A22370">
              <w:rPr>
                <w:b/>
                <w:color w:val="FFFFFF" w:themeColor="background1"/>
                <w:sz w:val="24"/>
                <w:szCs w:val="24"/>
              </w:rPr>
              <w:t>Course Title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3F72"/>
            <w:hideMark/>
          </w:tcPr>
          <w:p w14:paraId="0C20C369" w14:textId="77777777" w:rsidR="00A22370" w:rsidRPr="00A22370" w:rsidRDefault="00A22370">
            <w:pPr>
              <w:jc w:val="center"/>
              <w:rPr>
                <w:b/>
                <w:color w:val="FFFFFF" w:themeColor="background1"/>
                <w:sz w:val="24"/>
                <w:szCs w:val="24"/>
              </w:rPr>
            </w:pPr>
            <w:r w:rsidRPr="00A22370">
              <w:rPr>
                <w:b/>
                <w:color w:val="FFFFFF" w:themeColor="background1"/>
                <w:sz w:val="24"/>
                <w:szCs w:val="24"/>
              </w:rPr>
              <w:t>Learning Hours</w:t>
            </w:r>
          </w:p>
        </w:tc>
      </w:tr>
      <w:tr w:rsidR="00A22370" w:rsidRPr="00A22370" w14:paraId="56BF9586"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F6C6B4" w14:textId="77777777" w:rsidR="00A22370" w:rsidRPr="00A22370" w:rsidRDefault="00A22370">
            <w:pPr>
              <w:jc w:val="center"/>
              <w:rPr>
                <w:color w:val="000000" w:themeColor="text1"/>
                <w:sz w:val="24"/>
                <w:szCs w:val="24"/>
              </w:rPr>
            </w:pPr>
            <w:r w:rsidRPr="00A22370">
              <w:rPr>
                <w:color w:val="000000" w:themeColor="text1"/>
                <w:sz w:val="24"/>
                <w:szCs w:val="24"/>
              </w:rPr>
              <w:t xml:space="preserve"> 4638082</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31C101" w14:textId="77777777" w:rsidR="00A22370" w:rsidRPr="00A22370" w:rsidRDefault="00A22370">
            <w:pPr>
              <w:rPr>
                <w:color w:val="000000" w:themeColor="text1"/>
                <w:sz w:val="24"/>
                <w:szCs w:val="24"/>
              </w:rPr>
            </w:pPr>
            <w:r w:rsidRPr="00A22370">
              <w:rPr>
                <w:color w:val="000000" w:themeColor="text1"/>
                <w:sz w:val="24"/>
                <w:szCs w:val="24"/>
              </w:rPr>
              <w:t>PACT Act Job Aid: Processing Higher-Level Reviews (HLR)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C6267F" w14:textId="77777777" w:rsidR="00A22370" w:rsidRPr="00A22370" w:rsidRDefault="00A22370">
            <w:pPr>
              <w:jc w:val="center"/>
              <w:rPr>
                <w:color w:val="000000" w:themeColor="text1"/>
                <w:sz w:val="24"/>
                <w:szCs w:val="24"/>
              </w:rPr>
            </w:pPr>
            <w:r w:rsidRPr="00A22370">
              <w:rPr>
                <w:color w:val="000000" w:themeColor="text1"/>
                <w:sz w:val="24"/>
                <w:szCs w:val="24"/>
              </w:rPr>
              <w:t>0.5</w:t>
            </w:r>
          </w:p>
        </w:tc>
      </w:tr>
      <w:tr w:rsidR="00A22370" w:rsidRPr="00A22370" w14:paraId="5B17968B"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D82926" w14:textId="77777777" w:rsidR="00A22370" w:rsidRPr="00A22370" w:rsidRDefault="00A22370">
            <w:pPr>
              <w:jc w:val="center"/>
              <w:rPr>
                <w:color w:val="000000" w:themeColor="text1"/>
                <w:sz w:val="24"/>
                <w:szCs w:val="24"/>
              </w:rPr>
            </w:pPr>
            <w:r w:rsidRPr="00A22370">
              <w:rPr>
                <w:color w:val="000000" w:themeColor="text1"/>
                <w:sz w:val="24"/>
                <w:szCs w:val="24"/>
              </w:rPr>
              <w:t xml:space="preserve"> 4638080</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AF46C3" w14:textId="77777777" w:rsidR="00A22370" w:rsidRPr="00A22370" w:rsidRDefault="00A22370">
            <w:pPr>
              <w:rPr>
                <w:color w:val="000000" w:themeColor="text1"/>
                <w:sz w:val="24"/>
                <w:szCs w:val="24"/>
              </w:rPr>
            </w:pPr>
            <w:r w:rsidRPr="00A22370">
              <w:rPr>
                <w:color w:val="000000" w:themeColor="text1"/>
                <w:sz w:val="24"/>
                <w:szCs w:val="24"/>
              </w:rPr>
              <w:t xml:space="preserve"> PACT Act Job Aid: Processing AMA Grants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3A63E9" w14:textId="77777777" w:rsidR="00A22370" w:rsidRPr="00A22370" w:rsidRDefault="00A22370">
            <w:pPr>
              <w:jc w:val="center"/>
              <w:rPr>
                <w:color w:val="000000" w:themeColor="text1"/>
                <w:sz w:val="24"/>
                <w:szCs w:val="24"/>
              </w:rPr>
            </w:pPr>
            <w:r w:rsidRPr="00A22370">
              <w:rPr>
                <w:color w:val="000000" w:themeColor="text1"/>
                <w:sz w:val="24"/>
                <w:szCs w:val="24"/>
              </w:rPr>
              <w:t>0.5</w:t>
            </w:r>
          </w:p>
        </w:tc>
      </w:tr>
      <w:tr w:rsidR="00A22370" w:rsidRPr="00A22370" w14:paraId="49B3ED06" w14:textId="77777777" w:rsidTr="00A22370">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2F7357B" w14:textId="77777777" w:rsidR="00A22370" w:rsidRPr="00A22370" w:rsidRDefault="00A22370">
            <w:pPr>
              <w:jc w:val="center"/>
              <w:rPr>
                <w:color w:val="000000" w:themeColor="text1"/>
                <w:sz w:val="24"/>
                <w:szCs w:val="24"/>
              </w:rPr>
            </w:pPr>
            <w:r w:rsidRPr="00A22370">
              <w:rPr>
                <w:color w:val="000000" w:themeColor="text1"/>
                <w:sz w:val="24"/>
                <w:szCs w:val="24"/>
              </w:rPr>
              <w:t xml:space="preserve"> 4638081</w:t>
            </w:r>
          </w:p>
        </w:tc>
        <w:tc>
          <w:tcPr>
            <w:tcW w:w="63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0CB6F86" w14:textId="77777777" w:rsidR="00A22370" w:rsidRPr="00A22370" w:rsidRDefault="00A22370">
            <w:pPr>
              <w:rPr>
                <w:color w:val="000000" w:themeColor="text1"/>
                <w:sz w:val="24"/>
                <w:szCs w:val="24"/>
              </w:rPr>
            </w:pPr>
            <w:r w:rsidRPr="00A22370">
              <w:rPr>
                <w:color w:val="000000" w:themeColor="text1"/>
                <w:sz w:val="24"/>
                <w:szCs w:val="24"/>
              </w:rPr>
              <w:t xml:space="preserve"> PACT Act Job Aid: Processing Legacy Appeal Grants and Remands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82383B" w14:textId="77777777" w:rsidR="00A22370" w:rsidRPr="00A22370" w:rsidRDefault="00A22370">
            <w:pPr>
              <w:jc w:val="center"/>
              <w:rPr>
                <w:color w:val="000000" w:themeColor="text1"/>
                <w:sz w:val="24"/>
                <w:szCs w:val="24"/>
              </w:rPr>
            </w:pPr>
            <w:r w:rsidRPr="00A22370">
              <w:rPr>
                <w:color w:val="000000" w:themeColor="text1"/>
                <w:sz w:val="24"/>
                <w:szCs w:val="24"/>
              </w:rPr>
              <w:t>0.5</w:t>
            </w:r>
          </w:p>
        </w:tc>
      </w:tr>
    </w:tbl>
    <w:p w14:paraId="49238B38" w14:textId="77777777" w:rsidR="00A22370" w:rsidRPr="00C12F7B" w:rsidRDefault="00A22370" w:rsidP="00A22370">
      <w:pPr>
        <w:pStyle w:val="BodyText"/>
        <w:spacing w:after="240"/>
        <w:ind w:left="187"/>
        <w:rPr>
          <w:lang w:bidi="ar-SA"/>
        </w:rPr>
      </w:pPr>
    </w:p>
    <w:sectPr w:rsidR="00A22370" w:rsidRPr="00C12F7B">
      <w:headerReference w:type="default" r:id="rId12"/>
      <w:footerReference w:type="default" r:id="rId13"/>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A1C1" w14:textId="77777777" w:rsidR="00970FD0" w:rsidRDefault="00970FD0">
      <w:r>
        <w:separator/>
      </w:r>
    </w:p>
  </w:endnote>
  <w:endnote w:type="continuationSeparator" w:id="0">
    <w:p w14:paraId="5ED04679" w14:textId="77777777" w:rsidR="00970FD0" w:rsidRDefault="0097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51E99FE5">
              <wp:simplePos x="0" y="0"/>
              <wp:positionH relativeFrom="page">
                <wp:posOffset>6257925</wp:posOffset>
              </wp:positionH>
              <wp:positionV relativeFrom="bottomMargin">
                <wp:posOffset>88265</wp:posOffset>
              </wp:positionV>
              <wp:extent cx="625475" cy="219075"/>
              <wp:effectExtent l="0" t="0" r="3175" b="952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0AA7E651">
              <wp:simplePos x="0" y="0"/>
              <wp:positionH relativeFrom="page">
                <wp:posOffset>904875</wp:posOffset>
              </wp:positionH>
              <wp:positionV relativeFrom="bottomMargin">
                <wp:posOffset>104775</wp:posOffset>
              </wp:positionV>
              <wp:extent cx="2209800" cy="180975"/>
              <wp:effectExtent l="0" t="0" r="0" b="952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016D62F7" w:rsidR="00032A4F" w:rsidRDefault="0038713E">
                          <w:pPr>
                            <w:pStyle w:val="BodyText"/>
                            <w:spacing w:before="12"/>
                            <w:ind w:left="20"/>
                          </w:pPr>
                          <w:r>
                            <w:t>June 2023</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95BB" id="Text Box 2" o:spid="_x0000_s1028" type="#_x0000_t202" alt="&quot;&quot;"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016D62F7" w:rsidR="00032A4F" w:rsidRDefault="0038713E">
                    <w:pPr>
                      <w:pStyle w:val="BodyText"/>
                      <w:spacing w:before="12"/>
                      <w:ind w:left="20"/>
                    </w:pPr>
                    <w:r>
                      <w:t>June 2023</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6829" w14:textId="77777777" w:rsidR="00970FD0" w:rsidRDefault="00970FD0">
      <w:r>
        <w:separator/>
      </w:r>
    </w:p>
  </w:footnote>
  <w:footnote w:type="continuationSeparator" w:id="0">
    <w:p w14:paraId="5EEE3EE8" w14:textId="77777777" w:rsidR="00970FD0" w:rsidRDefault="0097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68305124">
              <wp:simplePos x="0" y="0"/>
              <wp:positionH relativeFrom="page">
                <wp:posOffset>368300</wp:posOffset>
              </wp:positionH>
              <wp:positionV relativeFrom="page">
                <wp:posOffset>224790</wp:posOffset>
              </wp:positionV>
              <wp:extent cx="6502400" cy="897255"/>
              <wp:effectExtent l="0" t="0" r="0" b="0"/>
              <wp:wrapNone/>
              <wp:docPr id="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7BF1BA04" w:rsidR="00032A4F" w:rsidRDefault="001237D0">
                          <w:pPr>
                            <w:spacing w:before="7"/>
                            <w:ind w:left="20"/>
                            <w:rPr>
                              <w:b/>
                              <w:sz w:val="40"/>
                            </w:rPr>
                          </w:pPr>
                          <w:r>
                            <w:rPr>
                              <w:b/>
                              <w:color w:val="FFFFFF"/>
                              <w:sz w:val="40"/>
                            </w:rPr>
                            <w:t>June 2023</w:t>
                          </w:r>
                          <w:r w:rsidR="008858D6">
                            <w:rPr>
                              <w:b/>
                              <w:color w:val="FFFFFF"/>
                              <w:sz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alt="&quot;&quot;"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7BF1BA04" w:rsidR="00032A4F" w:rsidRDefault="001237D0">
                    <w:pPr>
                      <w:spacing w:before="7"/>
                      <w:ind w:left="20"/>
                      <w:rPr>
                        <w:b/>
                        <w:sz w:val="40"/>
                      </w:rPr>
                    </w:pPr>
                    <w:r>
                      <w:rPr>
                        <w:b/>
                        <w:color w:val="FFFFFF"/>
                        <w:sz w:val="40"/>
                      </w:rPr>
                      <w:t>June 2023</w:t>
                    </w:r>
                    <w:r w:rsidR="008858D6">
                      <w:rPr>
                        <w:b/>
                        <w:color w:val="FFFFFF"/>
                        <w:sz w:val="4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0C9"/>
    <w:multiLevelType w:val="multilevel"/>
    <w:tmpl w:val="748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D52827"/>
    <w:multiLevelType w:val="hybridMultilevel"/>
    <w:tmpl w:val="CB7CE5B8"/>
    <w:lvl w:ilvl="0" w:tplc="77F4694E">
      <w:numFmt w:val="bullet"/>
      <w:lvlText w:val="-"/>
      <w:lvlJc w:val="left"/>
      <w:pPr>
        <w:ind w:left="1080" w:hanging="360"/>
      </w:pPr>
      <w:rPr>
        <w:rFonts w:ascii="Arial" w:eastAsia="Times New Roman" w:hAnsi="Arial" w:cs="Aria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CB029C2"/>
    <w:multiLevelType w:val="hybridMultilevel"/>
    <w:tmpl w:val="91329B38"/>
    <w:lvl w:ilvl="0" w:tplc="47B2FF0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53411"/>
    <w:multiLevelType w:val="hybridMultilevel"/>
    <w:tmpl w:val="474E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86F34"/>
    <w:multiLevelType w:val="hybridMultilevel"/>
    <w:tmpl w:val="F55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C237D"/>
    <w:multiLevelType w:val="hybridMultilevel"/>
    <w:tmpl w:val="877C222C"/>
    <w:lvl w:ilvl="0" w:tplc="04090003">
      <w:start w:val="1"/>
      <w:numFmt w:val="bullet"/>
      <w:lvlText w:val="o"/>
      <w:lvlJc w:val="left"/>
      <w:pPr>
        <w:ind w:left="1080" w:hanging="360"/>
      </w:pPr>
      <w:rPr>
        <w:rFonts w:ascii="Courier New" w:hAnsi="Courier New" w:cs="Courier New"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D6D3A34"/>
    <w:multiLevelType w:val="hybridMultilevel"/>
    <w:tmpl w:val="32101C7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16cid:durableId="919678240">
    <w:abstractNumId w:val="4"/>
  </w:num>
  <w:num w:numId="2" w16cid:durableId="2141532721">
    <w:abstractNumId w:val="3"/>
  </w:num>
  <w:num w:numId="3" w16cid:durableId="508713860">
    <w:abstractNumId w:val="2"/>
  </w:num>
  <w:num w:numId="4" w16cid:durableId="374694363">
    <w:abstractNumId w:val="1"/>
  </w:num>
  <w:num w:numId="5" w16cid:durableId="877398224">
    <w:abstractNumId w:val="5"/>
  </w:num>
  <w:num w:numId="6" w16cid:durableId="533736001">
    <w:abstractNumId w:val="0"/>
  </w:num>
  <w:num w:numId="7" w16cid:durableId="21254227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7D16"/>
    <w:rsid w:val="00057A83"/>
    <w:rsid w:val="00062382"/>
    <w:rsid w:val="00063458"/>
    <w:rsid w:val="000672AC"/>
    <w:rsid w:val="00074104"/>
    <w:rsid w:val="00074F85"/>
    <w:rsid w:val="00080742"/>
    <w:rsid w:val="00090F8F"/>
    <w:rsid w:val="00095A02"/>
    <w:rsid w:val="000A02FD"/>
    <w:rsid w:val="000A036D"/>
    <w:rsid w:val="000A0590"/>
    <w:rsid w:val="000A2097"/>
    <w:rsid w:val="000A2FF9"/>
    <w:rsid w:val="000A38CD"/>
    <w:rsid w:val="000A45E1"/>
    <w:rsid w:val="000A4A9E"/>
    <w:rsid w:val="000A57CD"/>
    <w:rsid w:val="000B31A9"/>
    <w:rsid w:val="000C2427"/>
    <w:rsid w:val="000C59CD"/>
    <w:rsid w:val="000C65FD"/>
    <w:rsid w:val="000D6AAC"/>
    <w:rsid w:val="000E1B24"/>
    <w:rsid w:val="000E362A"/>
    <w:rsid w:val="000E44E7"/>
    <w:rsid w:val="000E5C07"/>
    <w:rsid w:val="000E6565"/>
    <w:rsid w:val="000F1D94"/>
    <w:rsid w:val="000F40B0"/>
    <w:rsid w:val="000F6A28"/>
    <w:rsid w:val="00100D42"/>
    <w:rsid w:val="00103083"/>
    <w:rsid w:val="00104C72"/>
    <w:rsid w:val="00104CA8"/>
    <w:rsid w:val="00105A9A"/>
    <w:rsid w:val="0011280C"/>
    <w:rsid w:val="00121DB7"/>
    <w:rsid w:val="001237D0"/>
    <w:rsid w:val="001254A2"/>
    <w:rsid w:val="00132D59"/>
    <w:rsid w:val="00137572"/>
    <w:rsid w:val="00137B44"/>
    <w:rsid w:val="001439B6"/>
    <w:rsid w:val="00143A59"/>
    <w:rsid w:val="0014613D"/>
    <w:rsid w:val="00154AB2"/>
    <w:rsid w:val="0016697E"/>
    <w:rsid w:val="00166BB4"/>
    <w:rsid w:val="00170E21"/>
    <w:rsid w:val="001752DE"/>
    <w:rsid w:val="00176C1A"/>
    <w:rsid w:val="0018271A"/>
    <w:rsid w:val="00182A46"/>
    <w:rsid w:val="00184963"/>
    <w:rsid w:val="001850F8"/>
    <w:rsid w:val="00192FA5"/>
    <w:rsid w:val="0019656B"/>
    <w:rsid w:val="001978AC"/>
    <w:rsid w:val="001A16DD"/>
    <w:rsid w:val="001A5BC1"/>
    <w:rsid w:val="001B1C21"/>
    <w:rsid w:val="001B1D82"/>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67DB4"/>
    <w:rsid w:val="00271724"/>
    <w:rsid w:val="002748A6"/>
    <w:rsid w:val="00282055"/>
    <w:rsid w:val="00284246"/>
    <w:rsid w:val="002846E1"/>
    <w:rsid w:val="00284FA6"/>
    <w:rsid w:val="002968F6"/>
    <w:rsid w:val="002A7991"/>
    <w:rsid w:val="002A7D28"/>
    <w:rsid w:val="002B0B87"/>
    <w:rsid w:val="002B135B"/>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996"/>
    <w:rsid w:val="00305FC1"/>
    <w:rsid w:val="00307D0E"/>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2DAF"/>
    <w:rsid w:val="0038525F"/>
    <w:rsid w:val="0038645E"/>
    <w:rsid w:val="0038713E"/>
    <w:rsid w:val="003871C5"/>
    <w:rsid w:val="003919FA"/>
    <w:rsid w:val="00394AED"/>
    <w:rsid w:val="003956BF"/>
    <w:rsid w:val="003A1898"/>
    <w:rsid w:val="003A1F41"/>
    <w:rsid w:val="003A6E0D"/>
    <w:rsid w:val="003A7FE9"/>
    <w:rsid w:val="003B19EF"/>
    <w:rsid w:val="003B3E1F"/>
    <w:rsid w:val="003B5E00"/>
    <w:rsid w:val="003D1246"/>
    <w:rsid w:val="003D6B9F"/>
    <w:rsid w:val="003E776A"/>
    <w:rsid w:val="003F14FD"/>
    <w:rsid w:val="003F1AAD"/>
    <w:rsid w:val="003F5BD8"/>
    <w:rsid w:val="00400F79"/>
    <w:rsid w:val="00401E05"/>
    <w:rsid w:val="004051CF"/>
    <w:rsid w:val="00410208"/>
    <w:rsid w:val="0041021C"/>
    <w:rsid w:val="004129C2"/>
    <w:rsid w:val="0042045B"/>
    <w:rsid w:val="00420BBD"/>
    <w:rsid w:val="00427B4D"/>
    <w:rsid w:val="0043671B"/>
    <w:rsid w:val="004415DE"/>
    <w:rsid w:val="0044630D"/>
    <w:rsid w:val="00447141"/>
    <w:rsid w:val="00447823"/>
    <w:rsid w:val="004516E3"/>
    <w:rsid w:val="00470030"/>
    <w:rsid w:val="0047008B"/>
    <w:rsid w:val="004706B9"/>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54FA"/>
    <w:rsid w:val="004E7264"/>
    <w:rsid w:val="004F105F"/>
    <w:rsid w:val="004F6513"/>
    <w:rsid w:val="005075B7"/>
    <w:rsid w:val="005122EC"/>
    <w:rsid w:val="00514A22"/>
    <w:rsid w:val="005168E0"/>
    <w:rsid w:val="00523172"/>
    <w:rsid w:val="005248AE"/>
    <w:rsid w:val="00530689"/>
    <w:rsid w:val="00532734"/>
    <w:rsid w:val="0053383A"/>
    <w:rsid w:val="005438B3"/>
    <w:rsid w:val="00550E5F"/>
    <w:rsid w:val="0055265A"/>
    <w:rsid w:val="00555A17"/>
    <w:rsid w:val="005569F2"/>
    <w:rsid w:val="0056005E"/>
    <w:rsid w:val="00563874"/>
    <w:rsid w:val="00566CFA"/>
    <w:rsid w:val="00582189"/>
    <w:rsid w:val="0058367A"/>
    <w:rsid w:val="00584A58"/>
    <w:rsid w:val="00590463"/>
    <w:rsid w:val="005974E7"/>
    <w:rsid w:val="005A0EF0"/>
    <w:rsid w:val="005A276C"/>
    <w:rsid w:val="005A35CA"/>
    <w:rsid w:val="005B43F6"/>
    <w:rsid w:val="005B5486"/>
    <w:rsid w:val="005C4CB4"/>
    <w:rsid w:val="005C71DC"/>
    <w:rsid w:val="005D2333"/>
    <w:rsid w:val="005D7D4E"/>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335C1"/>
    <w:rsid w:val="0064224C"/>
    <w:rsid w:val="00645291"/>
    <w:rsid w:val="0065254C"/>
    <w:rsid w:val="006542D7"/>
    <w:rsid w:val="0065586E"/>
    <w:rsid w:val="00662353"/>
    <w:rsid w:val="00666EEB"/>
    <w:rsid w:val="006701D2"/>
    <w:rsid w:val="00670979"/>
    <w:rsid w:val="00672401"/>
    <w:rsid w:val="0067291C"/>
    <w:rsid w:val="006729CB"/>
    <w:rsid w:val="00673B50"/>
    <w:rsid w:val="0067725C"/>
    <w:rsid w:val="00683849"/>
    <w:rsid w:val="0068585E"/>
    <w:rsid w:val="00694928"/>
    <w:rsid w:val="00697C2A"/>
    <w:rsid w:val="006A1C16"/>
    <w:rsid w:val="006A22E4"/>
    <w:rsid w:val="006A2883"/>
    <w:rsid w:val="006A7664"/>
    <w:rsid w:val="006B60DE"/>
    <w:rsid w:val="006C32AE"/>
    <w:rsid w:val="006C421E"/>
    <w:rsid w:val="006C5205"/>
    <w:rsid w:val="006D21F4"/>
    <w:rsid w:val="006D5495"/>
    <w:rsid w:val="006E0415"/>
    <w:rsid w:val="006E5F47"/>
    <w:rsid w:val="006E64C4"/>
    <w:rsid w:val="006E693E"/>
    <w:rsid w:val="006F2F21"/>
    <w:rsid w:val="006F3E7A"/>
    <w:rsid w:val="0070119E"/>
    <w:rsid w:val="0070137D"/>
    <w:rsid w:val="007065AF"/>
    <w:rsid w:val="00706ABB"/>
    <w:rsid w:val="00716D1F"/>
    <w:rsid w:val="00717A52"/>
    <w:rsid w:val="00733369"/>
    <w:rsid w:val="00742F10"/>
    <w:rsid w:val="00743A2C"/>
    <w:rsid w:val="00745C57"/>
    <w:rsid w:val="00747C42"/>
    <w:rsid w:val="007503ED"/>
    <w:rsid w:val="00753641"/>
    <w:rsid w:val="00753B27"/>
    <w:rsid w:val="00754344"/>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6BF3"/>
    <w:rsid w:val="007A7895"/>
    <w:rsid w:val="007B4CD7"/>
    <w:rsid w:val="007B5121"/>
    <w:rsid w:val="007B6C9B"/>
    <w:rsid w:val="007C5A78"/>
    <w:rsid w:val="007D24FA"/>
    <w:rsid w:val="007D3867"/>
    <w:rsid w:val="007D7D3E"/>
    <w:rsid w:val="007E00EA"/>
    <w:rsid w:val="007E09E7"/>
    <w:rsid w:val="007F5007"/>
    <w:rsid w:val="007F552D"/>
    <w:rsid w:val="007F7D37"/>
    <w:rsid w:val="00801A65"/>
    <w:rsid w:val="00803ED4"/>
    <w:rsid w:val="008076E9"/>
    <w:rsid w:val="00812A63"/>
    <w:rsid w:val="00813CB8"/>
    <w:rsid w:val="00816EDB"/>
    <w:rsid w:val="008177C9"/>
    <w:rsid w:val="008227AA"/>
    <w:rsid w:val="008246F6"/>
    <w:rsid w:val="00826855"/>
    <w:rsid w:val="0082763F"/>
    <w:rsid w:val="008316AB"/>
    <w:rsid w:val="00832947"/>
    <w:rsid w:val="00834F9F"/>
    <w:rsid w:val="00835A46"/>
    <w:rsid w:val="0084538A"/>
    <w:rsid w:val="0084608E"/>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48C7"/>
    <w:rsid w:val="00936656"/>
    <w:rsid w:val="00940449"/>
    <w:rsid w:val="00941BA9"/>
    <w:rsid w:val="00944E7B"/>
    <w:rsid w:val="00945EB9"/>
    <w:rsid w:val="00946405"/>
    <w:rsid w:val="00946C2C"/>
    <w:rsid w:val="00965240"/>
    <w:rsid w:val="00967C52"/>
    <w:rsid w:val="00970FD0"/>
    <w:rsid w:val="0098077D"/>
    <w:rsid w:val="00985F8C"/>
    <w:rsid w:val="009907F3"/>
    <w:rsid w:val="00991F89"/>
    <w:rsid w:val="009924CB"/>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2370"/>
    <w:rsid w:val="00A249D3"/>
    <w:rsid w:val="00A24C4F"/>
    <w:rsid w:val="00A35CD4"/>
    <w:rsid w:val="00A3748B"/>
    <w:rsid w:val="00A374BB"/>
    <w:rsid w:val="00A45056"/>
    <w:rsid w:val="00A469C4"/>
    <w:rsid w:val="00A47173"/>
    <w:rsid w:val="00A568CB"/>
    <w:rsid w:val="00A6115E"/>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C00A5"/>
    <w:rsid w:val="00AC2CD0"/>
    <w:rsid w:val="00AD0E22"/>
    <w:rsid w:val="00AD317C"/>
    <w:rsid w:val="00AD4431"/>
    <w:rsid w:val="00AD44C6"/>
    <w:rsid w:val="00AD57DA"/>
    <w:rsid w:val="00AD60B7"/>
    <w:rsid w:val="00AE148E"/>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21C7F"/>
    <w:rsid w:val="00B2277E"/>
    <w:rsid w:val="00B31AD9"/>
    <w:rsid w:val="00B35CD8"/>
    <w:rsid w:val="00B36263"/>
    <w:rsid w:val="00B42B3E"/>
    <w:rsid w:val="00B44ABF"/>
    <w:rsid w:val="00B50F9D"/>
    <w:rsid w:val="00B62628"/>
    <w:rsid w:val="00B636DD"/>
    <w:rsid w:val="00B7002A"/>
    <w:rsid w:val="00B7265C"/>
    <w:rsid w:val="00B77638"/>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A81"/>
    <w:rsid w:val="00C067CC"/>
    <w:rsid w:val="00C07BCD"/>
    <w:rsid w:val="00C108C5"/>
    <w:rsid w:val="00C12F7B"/>
    <w:rsid w:val="00C158AD"/>
    <w:rsid w:val="00C160C8"/>
    <w:rsid w:val="00C2308E"/>
    <w:rsid w:val="00C23B13"/>
    <w:rsid w:val="00C255B4"/>
    <w:rsid w:val="00C25679"/>
    <w:rsid w:val="00C3607D"/>
    <w:rsid w:val="00C36A0B"/>
    <w:rsid w:val="00C44AF5"/>
    <w:rsid w:val="00C44DFC"/>
    <w:rsid w:val="00C479C9"/>
    <w:rsid w:val="00C52184"/>
    <w:rsid w:val="00C54120"/>
    <w:rsid w:val="00C55CCE"/>
    <w:rsid w:val="00C56084"/>
    <w:rsid w:val="00C56820"/>
    <w:rsid w:val="00C60B7A"/>
    <w:rsid w:val="00C60CA9"/>
    <w:rsid w:val="00C62293"/>
    <w:rsid w:val="00C644BF"/>
    <w:rsid w:val="00C7766C"/>
    <w:rsid w:val="00C84B2B"/>
    <w:rsid w:val="00C85524"/>
    <w:rsid w:val="00C86AEA"/>
    <w:rsid w:val="00C90B6A"/>
    <w:rsid w:val="00C956B4"/>
    <w:rsid w:val="00C95AB6"/>
    <w:rsid w:val="00CA0B2E"/>
    <w:rsid w:val="00CA1F68"/>
    <w:rsid w:val="00CA364E"/>
    <w:rsid w:val="00CA41C8"/>
    <w:rsid w:val="00CB1E13"/>
    <w:rsid w:val="00CB4358"/>
    <w:rsid w:val="00CB4511"/>
    <w:rsid w:val="00CB47CD"/>
    <w:rsid w:val="00CB5809"/>
    <w:rsid w:val="00CB735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ECC"/>
    <w:rsid w:val="00D37F7C"/>
    <w:rsid w:val="00D40C2E"/>
    <w:rsid w:val="00D45EBF"/>
    <w:rsid w:val="00D47CC4"/>
    <w:rsid w:val="00D5353E"/>
    <w:rsid w:val="00D543D3"/>
    <w:rsid w:val="00D56342"/>
    <w:rsid w:val="00D62195"/>
    <w:rsid w:val="00D6271E"/>
    <w:rsid w:val="00D62ABE"/>
    <w:rsid w:val="00D62E16"/>
    <w:rsid w:val="00D63BD8"/>
    <w:rsid w:val="00D6637F"/>
    <w:rsid w:val="00D7173E"/>
    <w:rsid w:val="00D74534"/>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B5E"/>
    <w:rsid w:val="00E32CEE"/>
    <w:rsid w:val="00E354E7"/>
    <w:rsid w:val="00E43619"/>
    <w:rsid w:val="00E51282"/>
    <w:rsid w:val="00E5166F"/>
    <w:rsid w:val="00E51BAF"/>
    <w:rsid w:val="00E52F2B"/>
    <w:rsid w:val="00E54B53"/>
    <w:rsid w:val="00E559E5"/>
    <w:rsid w:val="00E56147"/>
    <w:rsid w:val="00E56E6F"/>
    <w:rsid w:val="00E63015"/>
    <w:rsid w:val="00E647FB"/>
    <w:rsid w:val="00E67EF2"/>
    <w:rsid w:val="00E706F7"/>
    <w:rsid w:val="00E70BBF"/>
    <w:rsid w:val="00E74E09"/>
    <w:rsid w:val="00E92113"/>
    <w:rsid w:val="00E937BC"/>
    <w:rsid w:val="00EA0725"/>
    <w:rsid w:val="00EA4BD9"/>
    <w:rsid w:val="00EA4F6A"/>
    <w:rsid w:val="00EB25E2"/>
    <w:rsid w:val="00EB4218"/>
    <w:rsid w:val="00EB74C3"/>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5881"/>
    <w:rsid w:val="00F66CC1"/>
    <w:rsid w:val="00F66E3D"/>
    <w:rsid w:val="00F67E91"/>
    <w:rsid w:val="00F71C4E"/>
    <w:rsid w:val="00F77E2B"/>
    <w:rsid w:val="00F80577"/>
    <w:rsid w:val="00F8159B"/>
    <w:rsid w:val="00F81930"/>
    <w:rsid w:val="00F84014"/>
    <w:rsid w:val="00F90F2C"/>
    <w:rsid w:val="00F930FB"/>
    <w:rsid w:val="00F941C6"/>
    <w:rsid w:val="00FA03BF"/>
    <w:rsid w:val="00FB3A17"/>
    <w:rsid w:val="00FB76D5"/>
    <w:rsid w:val="00FC460E"/>
    <w:rsid w:val="00FC5A36"/>
    <w:rsid w:val="00FC65E1"/>
    <w:rsid w:val="00FD12BD"/>
    <w:rsid w:val="00FD2D38"/>
    <w:rsid w:val="00FD478C"/>
    <w:rsid w:val="00FE33A8"/>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table" w:styleId="TableGrid">
    <w:name w:val="Table Grid"/>
    <w:basedOn w:val="TableNormal"/>
    <w:uiPriority w:val="39"/>
    <w:rsid w:val="00A22370"/>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49890044">
      <w:bodyDiv w:val="1"/>
      <w:marLeft w:val="0"/>
      <w:marRight w:val="0"/>
      <w:marTop w:val="0"/>
      <w:marBottom w:val="0"/>
      <w:divBdr>
        <w:top w:val="none" w:sz="0" w:space="0" w:color="auto"/>
        <w:left w:val="none" w:sz="0" w:space="0" w:color="auto"/>
        <w:bottom w:val="none" w:sz="0" w:space="0" w:color="auto"/>
        <w:right w:val="none" w:sz="0" w:space="0" w:color="auto"/>
      </w:divBdr>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78076667">
      <w:bodyDiv w:val="1"/>
      <w:marLeft w:val="0"/>
      <w:marRight w:val="0"/>
      <w:marTop w:val="0"/>
      <w:marBottom w:val="0"/>
      <w:divBdr>
        <w:top w:val="none" w:sz="0" w:space="0" w:color="auto"/>
        <w:left w:val="none" w:sz="0" w:space="0" w:color="auto"/>
        <w:bottom w:val="none" w:sz="0" w:space="0" w:color="auto"/>
        <w:right w:val="none" w:sz="0" w:space="0" w:color="auto"/>
      </w:divBdr>
      <w:divsChild>
        <w:div w:id="1709452188">
          <w:marLeft w:val="0"/>
          <w:marRight w:val="0"/>
          <w:marTop w:val="0"/>
          <w:marBottom w:val="0"/>
          <w:divBdr>
            <w:top w:val="none" w:sz="0" w:space="0" w:color="auto"/>
            <w:left w:val="none" w:sz="0" w:space="0" w:color="auto"/>
            <w:bottom w:val="none" w:sz="0" w:space="0" w:color="auto"/>
            <w:right w:val="none" w:sz="0" w:space="0" w:color="auto"/>
          </w:divBdr>
        </w:div>
      </w:divsChild>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59963983">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0462303">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53418303">
      <w:bodyDiv w:val="1"/>
      <w:marLeft w:val="0"/>
      <w:marRight w:val="0"/>
      <w:marTop w:val="0"/>
      <w:marBottom w:val="0"/>
      <w:divBdr>
        <w:top w:val="none" w:sz="0" w:space="0" w:color="auto"/>
        <w:left w:val="none" w:sz="0" w:space="0" w:color="auto"/>
        <w:bottom w:val="none" w:sz="0" w:space="0" w:color="auto"/>
        <w:right w:val="none" w:sz="0" w:space="0" w:color="auto"/>
      </w:divBdr>
      <w:divsChild>
        <w:div w:id="1995715203">
          <w:marLeft w:val="0"/>
          <w:marRight w:val="0"/>
          <w:marTop w:val="0"/>
          <w:marBottom w:val="0"/>
          <w:divBdr>
            <w:top w:val="none" w:sz="0" w:space="0" w:color="auto"/>
            <w:left w:val="none" w:sz="0" w:space="0" w:color="auto"/>
            <w:bottom w:val="none" w:sz="0" w:space="0" w:color="auto"/>
            <w:right w:val="none" w:sz="0" w:space="0" w:color="auto"/>
          </w:divBdr>
        </w:div>
        <w:div w:id="1584609653">
          <w:marLeft w:val="0"/>
          <w:marRight w:val="0"/>
          <w:marTop w:val="0"/>
          <w:marBottom w:val="0"/>
          <w:divBdr>
            <w:top w:val="none" w:sz="0" w:space="0" w:color="auto"/>
            <w:left w:val="none" w:sz="0" w:space="0" w:color="auto"/>
            <w:bottom w:val="none" w:sz="0" w:space="0" w:color="auto"/>
            <w:right w:val="none" w:sz="0" w:space="0" w:color="auto"/>
          </w:divBdr>
        </w:div>
        <w:div w:id="1516142416">
          <w:marLeft w:val="0"/>
          <w:marRight w:val="0"/>
          <w:marTop w:val="0"/>
          <w:marBottom w:val="0"/>
          <w:divBdr>
            <w:top w:val="none" w:sz="0" w:space="0" w:color="auto"/>
            <w:left w:val="none" w:sz="0" w:space="0" w:color="auto"/>
            <w:bottom w:val="none" w:sz="0" w:space="0" w:color="auto"/>
            <w:right w:val="none" w:sz="0" w:space="0" w:color="auto"/>
          </w:divBdr>
        </w:div>
        <w:div w:id="1626348143">
          <w:marLeft w:val="0"/>
          <w:marRight w:val="0"/>
          <w:marTop w:val="0"/>
          <w:marBottom w:val="0"/>
          <w:divBdr>
            <w:top w:val="none" w:sz="0" w:space="0" w:color="auto"/>
            <w:left w:val="none" w:sz="0" w:space="0" w:color="auto"/>
            <w:bottom w:val="none" w:sz="0" w:space="0" w:color="auto"/>
            <w:right w:val="none" w:sz="0" w:space="0" w:color="auto"/>
          </w:divBdr>
        </w:div>
        <w:div w:id="307125312">
          <w:marLeft w:val="0"/>
          <w:marRight w:val="0"/>
          <w:marTop w:val="0"/>
          <w:marBottom w:val="0"/>
          <w:divBdr>
            <w:top w:val="none" w:sz="0" w:space="0" w:color="auto"/>
            <w:left w:val="none" w:sz="0" w:space="0" w:color="auto"/>
            <w:bottom w:val="none" w:sz="0" w:space="0" w:color="auto"/>
            <w:right w:val="none" w:sz="0" w:space="0" w:color="auto"/>
          </w:divBdr>
        </w:div>
      </w:divsChild>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0494103">
      <w:bodyDiv w:val="1"/>
      <w:marLeft w:val="0"/>
      <w:marRight w:val="0"/>
      <w:marTop w:val="0"/>
      <w:marBottom w:val="0"/>
      <w:divBdr>
        <w:top w:val="none" w:sz="0" w:space="0" w:color="auto"/>
        <w:left w:val="none" w:sz="0" w:space="0" w:color="auto"/>
        <w:bottom w:val="none" w:sz="0" w:space="0" w:color="auto"/>
        <w:right w:val="none" w:sz="0" w:space="0" w:color="auto"/>
      </w:divBdr>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17361068">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1940613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774026">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87852271">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74747983">
      <w:bodyDiv w:val="1"/>
      <w:marLeft w:val="0"/>
      <w:marRight w:val="0"/>
      <w:marTop w:val="0"/>
      <w:marBottom w:val="0"/>
      <w:divBdr>
        <w:top w:val="none" w:sz="0" w:space="0" w:color="auto"/>
        <w:left w:val="none" w:sz="0" w:space="0" w:color="auto"/>
        <w:bottom w:val="none" w:sz="0" w:space="0" w:color="auto"/>
        <w:right w:val="none" w:sz="0" w:space="0" w:color="auto"/>
      </w:divBdr>
      <w:divsChild>
        <w:div w:id="441152756">
          <w:marLeft w:val="806"/>
          <w:marRight w:val="0"/>
          <w:marTop w:val="0"/>
          <w:marBottom w:val="0"/>
          <w:divBdr>
            <w:top w:val="none" w:sz="0" w:space="0" w:color="auto"/>
            <w:left w:val="none" w:sz="0" w:space="0" w:color="auto"/>
            <w:bottom w:val="none" w:sz="0" w:space="0" w:color="auto"/>
            <w:right w:val="none" w:sz="0" w:space="0" w:color="auto"/>
          </w:divBdr>
        </w:div>
        <w:div w:id="736127467">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191655">
      <w:bodyDiv w:val="1"/>
      <w:marLeft w:val="0"/>
      <w:marRight w:val="0"/>
      <w:marTop w:val="0"/>
      <w:marBottom w:val="0"/>
      <w:divBdr>
        <w:top w:val="none" w:sz="0" w:space="0" w:color="auto"/>
        <w:left w:val="none" w:sz="0" w:space="0" w:color="auto"/>
        <w:bottom w:val="none" w:sz="0" w:space="0" w:color="auto"/>
        <w:right w:val="none" w:sz="0" w:space="0" w:color="auto"/>
      </w:divBdr>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ROPS.VBAWAS@v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aw.vba.va.gov/pensionandfiduciary/pact-act.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vagov.sharepoint.com/sites/VBA21CPACTACT/Inquiry/SitePages/PACTActHome.aspx?ovuser=e95f1b23-abaf-45ee-821d-b7ab251ab3bf%2cjames.parhalo%40va.gov&amp;OR=Teams-HL&amp;CT=1685710640245&amp;clickparams=eyJBcHBOYW1lIjoiVGVhbXMtRGVza3RvcCIsIkFwcFZlcnNpb24iOiIyNy8yMzA1MDEwMDQyMiIsIkhhc0ZlZGVyYXRlZFVzZXIiOmZhbHNlfQ%3D%3D"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vbaw.vba.va.gov%2Fbl%2F21%2Fpact.htm&amp;data=05%7C01%7C%7C8246064b831f4b92eaef08db4273598a%7Ce95f1b23abaf45ee821db7ab251ab3bf%7C0%7C0%7C638176835408445003%7CUnknown%7CTWFpbGZsb3d8eyJWIjoiMC4wLjAwMDAiLCJQIjoiV2luMzIiLCJBTiI6Ik1haWwiLCJXVCI6Mn0%3D%7C3000%7C%7C%7C&amp;sdata=kWAYxJUqB1%2BueXxY1akCgEPHlghgmDLgB0RjK2voL%2Bo%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June 2023 OAR Monthly Quality Call Bulletin</vt:lpstr>
    </vt:vector>
  </TitlesOfParts>
  <Company>Veterans Benefits Administration</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OAR Monthly Quality Call Bulletin</dc:title>
  <dc:subject/>
  <dc:creator>Department of Veterans Affairs, Veterans Benefits Administration, Office of Administrative Review, STAFF</dc:creator>
  <cp:keywords/>
  <dc:description/>
  <cp:lastModifiedBy>Kathy Poole</cp:lastModifiedBy>
  <cp:revision>5</cp:revision>
  <cp:lastPrinted>2021-10-28T16:37:00Z</cp:lastPrinted>
  <dcterms:created xsi:type="dcterms:W3CDTF">2023-06-14T18:29:00Z</dcterms:created>
  <dcterms:modified xsi:type="dcterms:W3CDTF">2023-06-21T15:55:00Z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