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7E07DAF2" w14:textId="13EA02A1" w:rsidR="00854B58"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18963411" w:history="1">
            <w:r w:rsidR="00854B58" w:rsidRPr="00F24302">
              <w:rPr>
                <w:rStyle w:val="Hyperlink"/>
                <w:noProof/>
              </w:rPr>
              <w:t xml:space="preserve">Automated Decision Support </w:t>
            </w:r>
            <w:r w:rsidR="000F10EF">
              <w:rPr>
                <w:rStyle w:val="Hyperlink"/>
                <w:noProof/>
              </w:rPr>
              <w:t xml:space="preserve">(ADS) </w:t>
            </w:r>
            <w:r w:rsidR="00854B58" w:rsidRPr="00F24302">
              <w:rPr>
                <w:rStyle w:val="Hyperlink"/>
                <w:noProof/>
              </w:rPr>
              <w:t>Claims</w:t>
            </w:r>
            <w:r w:rsidR="00854B58">
              <w:rPr>
                <w:noProof/>
                <w:webHidden/>
              </w:rPr>
              <w:tab/>
            </w:r>
            <w:r w:rsidR="00854B58">
              <w:rPr>
                <w:noProof/>
                <w:webHidden/>
              </w:rPr>
              <w:fldChar w:fldCharType="begin"/>
            </w:r>
            <w:r w:rsidR="00854B58">
              <w:rPr>
                <w:noProof/>
                <w:webHidden/>
              </w:rPr>
              <w:instrText xml:space="preserve"> PAGEREF _Toc118963411 \h </w:instrText>
            </w:r>
            <w:r w:rsidR="00854B58">
              <w:rPr>
                <w:noProof/>
                <w:webHidden/>
              </w:rPr>
            </w:r>
            <w:r w:rsidR="00854B58">
              <w:rPr>
                <w:noProof/>
                <w:webHidden/>
              </w:rPr>
              <w:fldChar w:fldCharType="separate"/>
            </w:r>
            <w:r w:rsidR="00190661">
              <w:rPr>
                <w:noProof/>
                <w:webHidden/>
              </w:rPr>
              <w:t>1</w:t>
            </w:r>
            <w:r w:rsidR="00854B58">
              <w:rPr>
                <w:noProof/>
                <w:webHidden/>
              </w:rPr>
              <w:fldChar w:fldCharType="end"/>
            </w:r>
          </w:hyperlink>
        </w:p>
        <w:p w14:paraId="0E6762CA" w14:textId="0B930AFF" w:rsidR="00854B58" w:rsidRDefault="00735F00">
          <w:pPr>
            <w:pStyle w:val="TOC1"/>
            <w:tabs>
              <w:tab w:val="right" w:leader="dot" w:pos="9630"/>
            </w:tabs>
            <w:rPr>
              <w:rFonts w:asciiTheme="minorHAnsi" w:eastAsiaTheme="minorEastAsia" w:hAnsiTheme="minorHAnsi" w:cstheme="minorBidi"/>
              <w:noProof/>
              <w:sz w:val="22"/>
              <w:szCs w:val="22"/>
              <w:lang w:bidi="ar-SA"/>
            </w:rPr>
          </w:pPr>
          <w:hyperlink w:anchor="_Toc118963412" w:history="1">
            <w:r w:rsidR="00854B58" w:rsidRPr="00F24302">
              <w:rPr>
                <w:rStyle w:val="Hyperlink"/>
                <w:noProof/>
              </w:rPr>
              <w:t>Fiscal Year 2022 (FY22) Quality Review Team Individual Quality Review (QRTIQR) Error Trends</w:t>
            </w:r>
            <w:r w:rsidR="00854B58">
              <w:rPr>
                <w:noProof/>
                <w:webHidden/>
              </w:rPr>
              <w:tab/>
            </w:r>
            <w:r w:rsidR="00854B58">
              <w:rPr>
                <w:noProof/>
                <w:webHidden/>
              </w:rPr>
              <w:fldChar w:fldCharType="begin"/>
            </w:r>
            <w:r w:rsidR="00854B58">
              <w:rPr>
                <w:noProof/>
                <w:webHidden/>
              </w:rPr>
              <w:instrText xml:space="preserve"> PAGEREF _Toc118963412 \h </w:instrText>
            </w:r>
            <w:r w:rsidR="00854B58">
              <w:rPr>
                <w:noProof/>
                <w:webHidden/>
              </w:rPr>
            </w:r>
            <w:r w:rsidR="00854B58">
              <w:rPr>
                <w:noProof/>
                <w:webHidden/>
              </w:rPr>
              <w:fldChar w:fldCharType="separate"/>
            </w:r>
            <w:r w:rsidR="00190661">
              <w:rPr>
                <w:noProof/>
                <w:webHidden/>
              </w:rPr>
              <w:t>3</w:t>
            </w:r>
            <w:r w:rsidR="00854B58">
              <w:rPr>
                <w:noProof/>
                <w:webHidden/>
              </w:rPr>
              <w:fldChar w:fldCharType="end"/>
            </w:r>
          </w:hyperlink>
        </w:p>
        <w:p w14:paraId="2F459E66" w14:textId="132ABC25" w:rsidR="00854B58" w:rsidRDefault="00735F00">
          <w:pPr>
            <w:pStyle w:val="TOC1"/>
            <w:tabs>
              <w:tab w:val="right" w:leader="dot" w:pos="9630"/>
            </w:tabs>
            <w:rPr>
              <w:rFonts w:asciiTheme="minorHAnsi" w:eastAsiaTheme="minorEastAsia" w:hAnsiTheme="minorHAnsi" w:cstheme="minorBidi"/>
              <w:noProof/>
              <w:sz w:val="22"/>
              <w:szCs w:val="22"/>
              <w:lang w:bidi="ar-SA"/>
            </w:rPr>
          </w:pPr>
          <w:hyperlink w:anchor="_Toc118963413" w:history="1">
            <w:r w:rsidR="00854B58" w:rsidRPr="00F24302">
              <w:rPr>
                <w:rStyle w:val="Hyperlink"/>
                <w:noProof/>
              </w:rPr>
              <w:t>FY22 OAR National Error Trends</w:t>
            </w:r>
            <w:r w:rsidR="00854B58">
              <w:rPr>
                <w:noProof/>
                <w:webHidden/>
              </w:rPr>
              <w:tab/>
            </w:r>
            <w:r w:rsidR="00854B58">
              <w:rPr>
                <w:noProof/>
                <w:webHidden/>
              </w:rPr>
              <w:fldChar w:fldCharType="begin"/>
            </w:r>
            <w:r w:rsidR="00854B58">
              <w:rPr>
                <w:noProof/>
                <w:webHidden/>
              </w:rPr>
              <w:instrText xml:space="preserve"> PAGEREF _Toc118963413 \h </w:instrText>
            </w:r>
            <w:r w:rsidR="00854B58">
              <w:rPr>
                <w:noProof/>
                <w:webHidden/>
              </w:rPr>
            </w:r>
            <w:r w:rsidR="00854B58">
              <w:rPr>
                <w:noProof/>
                <w:webHidden/>
              </w:rPr>
              <w:fldChar w:fldCharType="separate"/>
            </w:r>
            <w:r w:rsidR="00190661">
              <w:rPr>
                <w:noProof/>
                <w:webHidden/>
              </w:rPr>
              <w:t>5</w:t>
            </w:r>
            <w:r w:rsidR="00854B58">
              <w:rPr>
                <w:noProof/>
                <w:webHidden/>
              </w:rPr>
              <w:fldChar w:fldCharType="end"/>
            </w:r>
          </w:hyperlink>
        </w:p>
        <w:p w14:paraId="1CDA7FAE" w14:textId="2AD59AD9" w:rsidR="00854B58" w:rsidRDefault="00735F00">
          <w:pPr>
            <w:pStyle w:val="TOC1"/>
            <w:tabs>
              <w:tab w:val="right" w:leader="dot" w:pos="9630"/>
            </w:tabs>
            <w:rPr>
              <w:rFonts w:asciiTheme="minorHAnsi" w:eastAsiaTheme="minorEastAsia" w:hAnsiTheme="minorHAnsi" w:cstheme="minorBidi"/>
              <w:noProof/>
              <w:sz w:val="22"/>
              <w:szCs w:val="22"/>
              <w:lang w:bidi="ar-SA"/>
            </w:rPr>
          </w:pPr>
          <w:hyperlink w:anchor="_Toc118963414" w:history="1">
            <w:r w:rsidR="00854B58" w:rsidRPr="00F24302">
              <w:rPr>
                <w:rStyle w:val="Hyperlink"/>
                <w:noProof/>
              </w:rPr>
              <w:t>Agent and Attorney Fee Coordinator (AAFC) Monthly Call</w:t>
            </w:r>
            <w:r w:rsidR="00854B58">
              <w:rPr>
                <w:noProof/>
                <w:webHidden/>
              </w:rPr>
              <w:tab/>
            </w:r>
            <w:r w:rsidR="00854B58">
              <w:rPr>
                <w:noProof/>
                <w:webHidden/>
              </w:rPr>
              <w:fldChar w:fldCharType="begin"/>
            </w:r>
            <w:r w:rsidR="00854B58">
              <w:rPr>
                <w:noProof/>
                <w:webHidden/>
              </w:rPr>
              <w:instrText xml:space="preserve"> PAGEREF _Toc118963414 \h </w:instrText>
            </w:r>
            <w:r w:rsidR="00854B58">
              <w:rPr>
                <w:noProof/>
                <w:webHidden/>
              </w:rPr>
            </w:r>
            <w:r w:rsidR="00854B58">
              <w:rPr>
                <w:noProof/>
                <w:webHidden/>
              </w:rPr>
              <w:fldChar w:fldCharType="separate"/>
            </w:r>
            <w:r w:rsidR="00190661">
              <w:rPr>
                <w:noProof/>
                <w:webHidden/>
              </w:rPr>
              <w:t>8</w:t>
            </w:r>
            <w:r w:rsidR="00854B58">
              <w:rPr>
                <w:noProof/>
                <w:webHidden/>
              </w:rPr>
              <w:fldChar w:fldCharType="end"/>
            </w:r>
          </w:hyperlink>
        </w:p>
        <w:p w14:paraId="44F67274" w14:textId="0560FAC6" w:rsidR="00666EEB" w:rsidRPr="00F66E3D" w:rsidRDefault="00666EEB" w:rsidP="00B50F9D">
          <w:pPr>
            <w:ind w:left="187"/>
            <w:rPr>
              <w:sz w:val="24"/>
              <w:szCs w:val="24"/>
            </w:rPr>
          </w:pPr>
          <w:r w:rsidRPr="00F66E3D">
            <w:rPr>
              <w:b/>
              <w:bCs/>
              <w:noProof/>
              <w:sz w:val="24"/>
              <w:szCs w:val="24"/>
            </w:rPr>
            <w:fldChar w:fldCharType="end"/>
          </w:r>
        </w:p>
      </w:sdtContent>
    </w:sdt>
    <w:p w14:paraId="300089BF" w14:textId="79F02FF2" w:rsidR="00DE6445" w:rsidRPr="00BE05B0" w:rsidRDefault="0047346C" w:rsidP="00B50F9D">
      <w:pPr>
        <w:pStyle w:val="Heading1"/>
        <w:pBdr>
          <w:bottom w:val="thinThickLargeGap" w:sz="8" w:space="1" w:color="auto"/>
        </w:pBdr>
        <w:spacing w:before="173"/>
        <w:ind w:left="187" w:right="0"/>
        <w:rPr>
          <w:color w:val="001F5F"/>
          <w:sz w:val="24"/>
          <w:szCs w:val="24"/>
        </w:rPr>
      </w:pPr>
      <w:bookmarkStart w:id="0" w:name="_Toc118963411"/>
      <w:r>
        <w:rPr>
          <w:color w:val="001F5F"/>
          <w:sz w:val="24"/>
          <w:szCs w:val="24"/>
        </w:rPr>
        <w:t xml:space="preserve">Automated Decision Support </w:t>
      </w:r>
      <w:r w:rsidR="000F10EF">
        <w:rPr>
          <w:color w:val="001F5F"/>
          <w:sz w:val="24"/>
          <w:szCs w:val="24"/>
        </w:rPr>
        <w:t xml:space="preserve">(ADS) </w:t>
      </w:r>
      <w:r>
        <w:rPr>
          <w:color w:val="001F5F"/>
          <w:sz w:val="24"/>
          <w:szCs w:val="24"/>
        </w:rPr>
        <w:t>Claims</w:t>
      </w:r>
      <w:bookmarkEnd w:id="0"/>
    </w:p>
    <w:p w14:paraId="51C966AE" w14:textId="4421CEB2"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 and Claims Assistants (CA)</w:t>
      </w:r>
    </w:p>
    <w:p w14:paraId="3674F9DA" w14:textId="53530853" w:rsidR="008858D6" w:rsidRDefault="008858D6" w:rsidP="008858D6">
      <w:pPr>
        <w:pStyle w:val="BodyText"/>
        <w:spacing w:after="240"/>
        <w:ind w:left="187"/>
      </w:pPr>
      <w:r w:rsidRPr="00BE05B0">
        <w:rPr>
          <w:b/>
        </w:rPr>
        <w:t xml:space="preserve">Presenter: </w:t>
      </w:r>
      <w:r w:rsidR="00A11629">
        <w:t>Paula Tusia, Program Analyst, Office of Production Optimization</w:t>
      </w:r>
      <w:r>
        <w:t xml:space="preserve"> </w:t>
      </w:r>
      <w:r w:rsidR="00A11629">
        <w:t>(OPO)</w:t>
      </w:r>
    </w:p>
    <w:p w14:paraId="2E779E3B" w14:textId="77777777" w:rsidR="00521A1B" w:rsidRDefault="00521A1B" w:rsidP="00521A1B">
      <w:pPr>
        <w:tabs>
          <w:tab w:val="left" w:pos="720"/>
        </w:tabs>
        <w:ind w:left="180"/>
        <w:rPr>
          <w:b/>
          <w:bCs/>
          <w:sz w:val="24"/>
          <w:szCs w:val="24"/>
        </w:rPr>
      </w:pPr>
      <w:r>
        <w:rPr>
          <w:b/>
          <w:bCs/>
          <w:sz w:val="24"/>
          <w:szCs w:val="24"/>
        </w:rPr>
        <w:t>Background</w:t>
      </w:r>
    </w:p>
    <w:p w14:paraId="45ECC020" w14:textId="31C7B6B6" w:rsidR="00521A1B" w:rsidRPr="00521A1B" w:rsidRDefault="00521A1B" w:rsidP="00521A1B">
      <w:pPr>
        <w:tabs>
          <w:tab w:val="left" w:pos="720"/>
        </w:tabs>
        <w:ind w:left="180"/>
        <w:rPr>
          <w:sz w:val="24"/>
          <w:szCs w:val="24"/>
        </w:rPr>
      </w:pPr>
      <w:r w:rsidRPr="00521A1B">
        <w:rPr>
          <w:sz w:val="24"/>
          <w:szCs w:val="24"/>
        </w:rPr>
        <w:t xml:space="preserve">ADS leverages available technology to automate specific areas of development within the claim cycle. The Office of Business Integration has worked with </w:t>
      </w:r>
      <w:r w:rsidR="00A11629">
        <w:rPr>
          <w:sz w:val="24"/>
          <w:szCs w:val="24"/>
        </w:rPr>
        <w:t>the Office of Information Technology (</w:t>
      </w:r>
      <w:r w:rsidRPr="00521A1B">
        <w:rPr>
          <w:sz w:val="24"/>
          <w:szCs w:val="24"/>
        </w:rPr>
        <w:t>OIT</w:t>
      </w:r>
      <w:r w:rsidR="00A11629">
        <w:rPr>
          <w:sz w:val="24"/>
          <w:szCs w:val="24"/>
        </w:rPr>
        <w:t>)</w:t>
      </w:r>
      <w:r w:rsidRPr="00521A1B">
        <w:rPr>
          <w:sz w:val="24"/>
          <w:szCs w:val="24"/>
        </w:rPr>
        <w:t xml:space="preserve"> to analyze the claim process and determine which parts of processing a claim requires human intervention. They have used technology, data, and even employee feedback to automate specific administrative tasks to reduce the burden on claim processors. ADS is not end-to-end automation. It does not replace the need for employee validation. The goal of Automated Decision Support will result in Faster more accurate and consistent decisions, creating a better user experience for processors, and enhancing the customer experience for Veterans and their beneficiaries. </w:t>
      </w:r>
    </w:p>
    <w:p w14:paraId="5CEA0968" w14:textId="6C2BCCCC" w:rsidR="008858D6" w:rsidRDefault="008858D6" w:rsidP="008858D6">
      <w:pPr>
        <w:tabs>
          <w:tab w:val="left" w:pos="720"/>
        </w:tabs>
        <w:ind w:left="180"/>
        <w:rPr>
          <w:sz w:val="24"/>
          <w:szCs w:val="24"/>
          <w:lang w:bidi="ar-SA"/>
        </w:rPr>
      </w:pPr>
    </w:p>
    <w:p w14:paraId="3DE3A878" w14:textId="77777777" w:rsidR="00521A1B" w:rsidRDefault="00521A1B" w:rsidP="00521A1B">
      <w:pPr>
        <w:tabs>
          <w:tab w:val="left" w:pos="720"/>
        </w:tabs>
        <w:ind w:left="180"/>
        <w:rPr>
          <w:b/>
          <w:bCs/>
          <w:sz w:val="24"/>
          <w:szCs w:val="24"/>
          <w:lang w:bidi="ar-SA"/>
        </w:rPr>
      </w:pPr>
      <w:r>
        <w:rPr>
          <w:b/>
          <w:bCs/>
          <w:sz w:val="24"/>
          <w:szCs w:val="24"/>
          <w:lang w:bidi="ar-SA"/>
        </w:rPr>
        <w:t>Ready for Decision and Automated Exam Functionality</w:t>
      </w:r>
    </w:p>
    <w:p w14:paraId="3083ADD0" w14:textId="7CC57D73" w:rsidR="00521A1B" w:rsidRPr="00521A1B" w:rsidRDefault="00521A1B" w:rsidP="00521A1B">
      <w:pPr>
        <w:tabs>
          <w:tab w:val="left" w:pos="720"/>
        </w:tabs>
        <w:ind w:left="180"/>
        <w:rPr>
          <w:sz w:val="24"/>
          <w:szCs w:val="24"/>
          <w:lang w:bidi="ar-SA"/>
        </w:rPr>
      </w:pPr>
      <w:r w:rsidRPr="00521A1B">
        <w:rPr>
          <w:sz w:val="24"/>
          <w:szCs w:val="24"/>
          <w:lang w:bidi="ar-SA"/>
        </w:rPr>
        <w:t xml:space="preserve">There are two main parts of automation. Once a claim </w:t>
      </w:r>
      <w:r w:rsidR="00A11629">
        <w:rPr>
          <w:sz w:val="24"/>
          <w:szCs w:val="24"/>
          <w:lang w:bidi="ar-SA"/>
        </w:rPr>
        <w:t>has been</w:t>
      </w:r>
      <w:r w:rsidRPr="00521A1B">
        <w:rPr>
          <w:sz w:val="24"/>
          <w:szCs w:val="24"/>
          <w:lang w:bidi="ar-SA"/>
        </w:rPr>
        <w:t xml:space="preserve"> established, the automation logic determines if a claim is ready for decision or if an examination needs to be ordered. If there is sufficient medical evidence within the Veteran</w:t>
      </w:r>
      <w:r w:rsidR="00A11629">
        <w:rPr>
          <w:sz w:val="24"/>
          <w:szCs w:val="24"/>
          <w:lang w:bidi="ar-SA"/>
        </w:rPr>
        <w:t>’</w:t>
      </w:r>
      <w:r w:rsidRPr="00521A1B">
        <w:rPr>
          <w:sz w:val="24"/>
          <w:szCs w:val="24"/>
          <w:lang w:bidi="ar-SA"/>
        </w:rPr>
        <w:t xml:space="preserve">s eFolder to </w:t>
      </w:r>
      <w:r w:rsidR="00A11629" w:rsidRPr="00521A1B">
        <w:rPr>
          <w:sz w:val="24"/>
          <w:szCs w:val="24"/>
          <w:lang w:bidi="ar-SA"/>
        </w:rPr>
        <w:t>decide</w:t>
      </w:r>
      <w:r w:rsidRPr="00521A1B">
        <w:rPr>
          <w:sz w:val="24"/>
          <w:szCs w:val="24"/>
          <w:lang w:bidi="ar-SA"/>
        </w:rPr>
        <w:t xml:space="preserve">, </w:t>
      </w:r>
      <w:r w:rsidR="00A11629">
        <w:rPr>
          <w:sz w:val="24"/>
          <w:szCs w:val="24"/>
          <w:lang w:bidi="ar-SA"/>
        </w:rPr>
        <w:t>the evidence</w:t>
      </w:r>
      <w:r w:rsidRPr="00521A1B">
        <w:rPr>
          <w:sz w:val="24"/>
          <w:szCs w:val="24"/>
          <w:lang w:bidi="ar-SA"/>
        </w:rPr>
        <w:t xml:space="preserve"> will be compiled and indexed into the Automated Review Summary Document (ARSD). If there is not enough evidence of record to decide the claim, an automated examination request will be submitted through the </w:t>
      </w:r>
      <w:r w:rsidR="00A11629">
        <w:rPr>
          <w:sz w:val="24"/>
          <w:szCs w:val="24"/>
          <w:lang w:bidi="ar-SA"/>
        </w:rPr>
        <w:t>Veterans Benefit Management System (</w:t>
      </w:r>
      <w:r w:rsidRPr="00521A1B">
        <w:rPr>
          <w:sz w:val="24"/>
          <w:szCs w:val="24"/>
          <w:lang w:bidi="ar-SA"/>
        </w:rPr>
        <w:t>VBMS</w:t>
      </w:r>
      <w:r w:rsidR="00A11629">
        <w:rPr>
          <w:sz w:val="24"/>
          <w:szCs w:val="24"/>
          <w:lang w:bidi="ar-SA"/>
        </w:rPr>
        <w:t>)</w:t>
      </w:r>
      <w:r w:rsidRPr="00521A1B">
        <w:rPr>
          <w:sz w:val="24"/>
          <w:szCs w:val="24"/>
          <w:lang w:bidi="ar-SA"/>
        </w:rPr>
        <w:t xml:space="preserve"> Exam Management System. </w:t>
      </w:r>
    </w:p>
    <w:p w14:paraId="69C28584" w14:textId="77777777" w:rsidR="00521A1B" w:rsidRDefault="00521A1B" w:rsidP="00521A1B">
      <w:pPr>
        <w:tabs>
          <w:tab w:val="left" w:pos="720"/>
        </w:tabs>
        <w:ind w:left="180"/>
        <w:rPr>
          <w:sz w:val="24"/>
          <w:szCs w:val="24"/>
          <w:lang w:bidi="ar-SA"/>
        </w:rPr>
      </w:pPr>
    </w:p>
    <w:p w14:paraId="46AFC9A5" w14:textId="3496E534" w:rsidR="00521A1B" w:rsidRPr="00521A1B" w:rsidRDefault="00521A1B" w:rsidP="00521A1B">
      <w:pPr>
        <w:tabs>
          <w:tab w:val="left" w:pos="720"/>
        </w:tabs>
        <w:ind w:left="180"/>
        <w:rPr>
          <w:sz w:val="24"/>
          <w:szCs w:val="24"/>
          <w:lang w:bidi="ar-SA"/>
        </w:rPr>
      </w:pPr>
      <w:r w:rsidRPr="00521A1B">
        <w:rPr>
          <w:sz w:val="24"/>
          <w:szCs w:val="24"/>
          <w:lang w:bidi="ar-SA"/>
        </w:rPr>
        <w:t xml:space="preserve">The ARSD is a decision support tool that identifies documents in the Veterans eFolder to assist claims processors in their review. For automation eligible contentions, medical evidence is compiled into this document. If you are working on a presumptive condition, the summary document identifies possible military service locations related to that contention and possible evaluation criteria. When a claim is established with an </w:t>
      </w:r>
      <w:r w:rsidRPr="00521A1B">
        <w:rPr>
          <w:sz w:val="24"/>
          <w:szCs w:val="24"/>
          <w:lang w:bidi="ar-SA"/>
        </w:rPr>
        <w:lastRenderedPageBreak/>
        <w:t xml:space="preserve">automation eligible contention, the ARSD is generated and uploaded into the Veteran’s eFolder. </w:t>
      </w:r>
    </w:p>
    <w:p w14:paraId="675CA0F9" w14:textId="1BE3D548" w:rsidR="00521A1B" w:rsidRDefault="00521A1B" w:rsidP="008858D6">
      <w:pPr>
        <w:tabs>
          <w:tab w:val="left" w:pos="720"/>
        </w:tabs>
        <w:ind w:left="180"/>
        <w:rPr>
          <w:sz w:val="24"/>
          <w:szCs w:val="24"/>
          <w:lang w:bidi="ar-SA"/>
        </w:rPr>
      </w:pPr>
    </w:p>
    <w:p w14:paraId="00A408C7" w14:textId="77777777" w:rsidR="00521A1B" w:rsidRDefault="00521A1B" w:rsidP="00521A1B">
      <w:pPr>
        <w:tabs>
          <w:tab w:val="left" w:pos="720"/>
        </w:tabs>
        <w:ind w:left="180"/>
        <w:rPr>
          <w:b/>
          <w:bCs/>
          <w:sz w:val="24"/>
          <w:szCs w:val="24"/>
          <w:lang w:bidi="ar-SA"/>
        </w:rPr>
      </w:pPr>
      <w:r>
        <w:rPr>
          <w:b/>
          <w:bCs/>
          <w:sz w:val="24"/>
          <w:szCs w:val="24"/>
          <w:lang w:bidi="ar-SA"/>
        </w:rPr>
        <w:t>User Role Responsibility</w:t>
      </w:r>
    </w:p>
    <w:p w14:paraId="34B70874" w14:textId="3DE12061" w:rsidR="00521A1B" w:rsidRDefault="00521A1B" w:rsidP="00521A1B">
      <w:pPr>
        <w:tabs>
          <w:tab w:val="left" w:pos="720"/>
        </w:tabs>
        <w:ind w:left="180"/>
        <w:rPr>
          <w:sz w:val="24"/>
          <w:szCs w:val="24"/>
          <w:lang w:bidi="ar-SA"/>
        </w:rPr>
      </w:pPr>
      <w:r w:rsidRPr="00521A1B">
        <w:rPr>
          <w:sz w:val="24"/>
          <w:szCs w:val="24"/>
          <w:lang w:bidi="ar-SA"/>
        </w:rPr>
        <w:t xml:space="preserve">Automated Decision Support assists claims processors in making faster, more accurate and consistent decisions for Veterans. ADS plays a role for each VBA employee processing claims. </w:t>
      </w:r>
    </w:p>
    <w:p w14:paraId="4ECAC618" w14:textId="77777777" w:rsidR="00521A1B" w:rsidRPr="00521A1B" w:rsidRDefault="00521A1B" w:rsidP="00521A1B">
      <w:pPr>
        <w:tabs>
          <w:tab w:val="left" w:pos="720"/>
        </w:tabs>
        <w:ind w:left="180"/>
        <w:rPr>
          <w:sz w:val="24"/>
          <w:szCs w:val="24"/>
          <w:lang w:bidi="ar-SA"/>
        </w:rPr>
      </w:pPr>
    </w:p>
    <w:p w14:paraId="6CCC09D4" w14:textId="57174D9B" w:rsidR="00521A1B" w:rsidRPr="00521A1B" w:rsidRDefault="00521A1B" w:rsidP="00EF2328">
      <w:pPr>
        <w:pStyle w:val="ListParagraph"/>
        <w:numPr>
          <w:ilvl w:val="0"/>
          <w:numId w:val="1"/>
        </w:numPr>
        <w:tabs>
          <w:tab w:val="left" w:pos="720"/>
        </w:tabs>
        <w:rPr>
          <w:sz w:val="24"/>
          <w:szCs w:val="24"/>
          <w:lang w:bidi="ar-SA"/>
        </w:rPr>
      </w:pPr>
      <w:r w:rsidRPr="00521A1B">
        <w:rPr>
          <w:b/>
          <w:bCs/>
          <w:i/>
          <w:iCs/>
          <w:sz w:val="24"/>
          <w:szCs w:val="24"/>
          <w:lang w:bidi="ar-SA"/>
        </w:rPr>
        <w:t>Veterans Service Representative</w:t>
      </w:r>
      <w:r w:rsidR="006A2E45">
        <w:rPr>
          <w:b/>
          <w:bCs/>
          <w:i/>
          <w:iCs/>
          <w:sz w:val="24"/>
          <w:szCs w:val="24"/>
          <w:lang w:bidi="ar-SA"/>
        </w:rPr>
        <w:t xml:space="preserve"> (VSR)</w:t>
      </w:r>
      <w:r w:rsidRPr="00521A1B">
        <w:rPr>
          <w:b/>
          <w:bCs/>
          <w:i/>
          <w:iCs/>
          <w:sz w:val="24"/>
          <w:szCs w:val="24"/>
          <w:lang w:bidi="ar-SA"/>
        </w:rPr>
        <w:t>:</w:t>
      </w:r>
      <w:r w:rsidRPr="00521A1B">
        <w:rPr>
          <w:sz w:val="24"/>
          <w:szCs w:val="24"/>
          <w:lang w:bidi="ar-SA"/>
        </w:rPr>
        <w:t xml:space="preserve"> VSRs may see draft examinations in VBMS and</w:t>
      </w:r>
      <w:r w:rsidR="00A11629">
        <w:rPr>
          <w:sz w:val="24"/>
          <w:szCs w:val="24"/>
          <w:lang w:bidi="ar-SA"/>
        </w:rPr>
        <w:t xml:space="preserve"> VSRs</w:t>
      </w:r>
      <w:r w:rsidRPr="00521A1B">
        <w:rPr>
          <w:sz w:val="24"/>
          <w:szCs w:val="24"/>
          <w:lang w:bidi="ar-SA"/>
        </w:rPr>
        <w:t xml:space="preserve"> are required to take the appropriate steps in ordering an exam. VSRs are responsible for confirming if an ADS claim is RFD if additional development actions are required</w:t>
      </w:r>
    </w:p>
    <w:p w14:paraId="6AA1F2FD" w14:textId="1F52E9B3" w:rsidR="00521A1B" w:rsidRPr="00521A1B" w:rsidRDefault="00521A1B" w:rsidP="00EF2328">
      <w:pPr>
        <w:pStyle w:val="ListParagraph"/>
        <w:numPr>
          <w:ilvl w:val="0"/>
          <w:numId w:val="1"/>
        </w:numPr>
        <w:tabs>
          <w:tab w:val="left" w:pos="720"/>
        </w:tabs>
        <w:rPr>
          <w:sz w:val="24"/>
          <w:szCs w:val="24"/>
          <w:lang w:bidi="ar-SA"/>
        </w:rPr>
      </w:pPr>
      <w:r w:rsidRPr="00521A1B">
        <w:rPr>
          <w:b/>
          <w:bCs/>
          <w:i/>
          <w:iCs/>
          <w:sz w:val="24"/>
          <w:szCs w:val="24"/>
          <w:lang w:bidi="ar-SA"/>
        </w:rPr>
        <w:t>Rating Veterans Service Representative</w:t>
      </w:r>
      <w:r w:rsidR="006A2E45">
        <w:rPr>
          <w:b/>
          <w:bCs/>
          <w:i/>
          <w:iCs/>
          <w:sz w:val="24"/>
          <w:szCs w:val="24"/>
          <w:lang w:bidi="ar-SA"/>
        </w:rPr>
        <w:t xml:space="preserve"> (RVSR)</w:t>
      </w:r>
      <w:r w:rsidRPr="00521A1B">
        <w:rPr>
          <w:i/>
          <w:iCs/>
          <w:sz w:val="24"/>
          <w:szCs w:val="24"/>
          <w:lang w:bidi="ar-SA"/>
        </w:rPr>
        <w:t xml:space="preserve">: </w:t>
      </w:r>
      <w:r w:rsidRPr="00521A1B">
        <w:rPr>
          <w:sz w:val="24"/>
          <w:szCs w:val="24"/>
          <w:lang w:bidi="ar-SA"/>
        </w:rPr>
        <w:t xml:space="preserve">RVSRs are responsible for reviewing relevant evidence and </w:t>
      </w:r>
      <w:proofErr w:type="gramStart"/>
      <w:r w:rsidRPr="00521A1B">
        <w:rPr>
          <w:sz w:val="24"/>
          <w:szCs w:val="24"/>
          <w:lang w:bidi="ar-SA"/>
        </w:rPr>
        <w:t>making a decision</w:t>
      </w:r>
      <w:proofErr w:type="gramEnd"/>
      <w:r w:rsidRPr="00521A1B">
        <w:rPr>
          <w:sz w:val="24"/>
          <w:szCs w:val="24"/>
          <w:lang w:bidi="ar-SA"/>
        </w:rPr>
        <w:t xml:space="preserve"> on the Veterans claim. RVSRs can utilize the ARSD as a decision support tool to assist with quickly identifying evidence and locating key terms to help with their final decision. </w:t>
      </w:r>
    </w:p>
    <w:p w14:paraId="61F3C02E" w14:textId="7591EC5C" w:rsidR="00521A1B" w:rsidRPr="00521A1B" w:rsidRDefault="00521A1B" w:rsidP="00EF2328">
      <w:pPr>
        <w:pStyle w:val="ListParagraph"/>
        <w:numPr>
          <w:ilvl w:val="0"/>
          <w:numId w:val="1"/>
        </w:numPr>
        <w:tabs>
          <w:tab w:val="left" w:pos="720"/>
        </w:tabs>
        <w:rPr>
          <w:sz w:val="24"/>
          <w:szCs w:val="24"/>
          <w:lang w:bidi="ar-SA"/>
        </w:rPr>
      </w:pPr>
      <w:r w:rsidRPr="00521A1B">
        <w:rPr>
          <w:b/>
          <w:bCs/>
          <w:i/>
          <w:iCs/>
          <w:sz w:val="24"/>
          <w:szCs w:val="24"/>
          <w:lang w:bidi="ar-SA"/>
        </w:rPr>
        <w:t>Quality Review Specialist</w:t>
      </w:r>
      <w:r w:rsidR="006A2E45">
        <w:rPr>
          <w:b/>
          <w:bCs/>
          <w:i/>
          <w:iCs/>
          <w:sz w:val="24"/>
          <w:szCs w:val="24"/>
          <w:lang w:bidi="ar-SA"/>
        </w:rPr>
        <w:t xml:space="preserve"> (QRS)</w:t>
      </w:r>
      <w:r w:rsidRPr="00521A1B">
        <w:rPr>
          <w:b/>
          <w:bCs/>
          <w:i/>
          <w:iCs/>
          <w:sz w:val="24"/>
          <w:szCs w:val="24"/>
          <w:lang w:bidi="ar-SA"/>
        </w:rPr>
        <w:t xml:space="preserve">: </w:t>
      </w:r>
      <w:r w:rsidRPr="00521A1B">
        <w:rPr>
          <w:sz w:val="24"/>
          <w:szCs w:val="24"/>
          <w:lang w:bidi="ar-SA"/>
        </w:rPr>
        <w:t>The QRS will begin seeing Individual Quality Reviews for claims impacted by automation. They should continue following current review policies and procedures for these claims.</w:t>
      </w:r>
      <w:r w:rsidRPr="00521A1B">
        <w:rPr>
          <w:i/>
          <w:iCs/>
          <w:sz w:val="24"/>
          <w:szCs w:val="24"/>
          <w:lang w:bidi="ar-SA"/>
        </w:rPr>
        <w:t xml:space="preserve"> </w:t>
      </w:r>
      <w:r w:rsidRPr="00521A1B">
        <w:rPr>
          <w:sz w:val="24"/>
          <w:szCs w:val="24"/>
          <w:lang w:bidi="ar-SA"/>
        </w:rPr>
        <w:t xml:space="preserve">There is a separate quality team that deals with automation actions that will have no impact to an individual user. </w:t>
      </w:r>
    </w:p>
    <w:p w14:paraId="0E79F962" w14:textId="171DB25B" w:rsidR="00521A1B" w:rsidRDefault="00521A1B" w:rsidP="008858D6">
      <w:pPr>
        <w:tabs>
          <w:tab w:val="left" w:pos="720"/>
        </w:tabs>
        <w:ind w:left="180"/>
        <w:rPr>
          <w:sz w:val="24"/>
          <w:szCs w:val="24"/>
          <w:lang w:bidi="ar-SA"/>
        </w:rPr>
      </w:pPr>
    </w:p>
    <w:p w14:paraId="69501D01" w14:textId="7A29CE6B" w:rsidR="00521A1B" w:rsidRPr="00521A1B" w:rsidRDefault="00521A1B" w:rsidP="008858D6">
      <w:pPr>
        <w:tabs>
          <w:tab w:val="left" w:pos="720"/>
        </w:tabs>
        <w:ind w:left="180"/>
        <w:rPr>
          <w:b/>
          <w:bCs/>
          <w:sz w:val="24"/>
          <w:szCs w:val="24"/>
          <w:lang w:bidi="ar-SA"/>
        </w:rPr>
      </w:pPr>
      <w:r>
        <w:rPr>
          <w:b/>
          <w:bCs/>
          <w:sz w:val="24"/>
          <w:szCs w:val="24"/>
          <w:lang w:bidi="ar-SA"/>
        </w:rPr>
        <w:t>Training Information</w:t>
      </w:r>
    </w:p>
    <w:p w14:paraId="40E20F1E" w14:textId="0B2A535C" w:rsidR="00521A1B" w:rsidRDefault="00A11629" w:rsidP="00521A1B">
      <w:pPr>
        <w:tabs>
          <w:tab w:val="left" w:pos="720"/>
        </w:tabs>
        <w:ind w:left="180"/>
        <w:rPr>
          <w:sz w:val="24"/>
          <w:szCs w:val="24"/>
          <w:lang w:bidi="ar-SA"/>
        </w:rPr>
      </w:pPr>
      <w:r>
        <w:rPr>
          <w:sz w:val="24"/>
          <w:szCs w:val="24"/>
          <w:lang w:bidi="ar-SA"/>
        </w:rPr>
        <w:t>OPO</w:t>
      </w:r>
      <w:r w:rsidR="00521A1B" w:rsidRPr="00521A1B">
        <w:rPr>
          <w:sz w:val="24"/>
          <w:szCs w:val="24"/>
          <w:lang w:bidi="ar-SA"/>
        </w:rPr>
        <w:t xml:space="preserve"> with the support of OBI</w:t>
      </w:r>
      <w:r>
        <w:rPr>
          <w:sz w:val="24"/>
          <w:szCs w:val="24"/>
          <w:lang w:bidi="ar-SA"/>
        </w:rPr>
        <w:t>,</w:t>
      </w:r>
      <w:r w:rsidR="00521A1B" w:rsidRPr="00521A1B">
        <w:rPr>
          <w:sz w:val="24"/>
          <w:szCs w:val="24"/>
          <w:lang w:bidi="ar-SA"/>
        </w:rPr>
        <w:t xml:space="preserve"> is currently training each district using the train the trainer approach. Each District receives three training sessions. For RVSRs they will receive All Automation Eligible Contention Training and Multi-Issue Contention training, and VSRs will receive Examination training on ADS claims. Training for the Northeast and Southeast District stations began in October and will continue with Continental and Pacific Districts through mid-December. There is no official date when this functionality will go live at the stations, but we are making sure we train all stations in preparation. </w:t>
      </w:r>
    </w:p>
    <w:p w14:paraId="2A930E14" w14:textId="77777777" w:rsidR="00521A1B" w:rsidRPr="00521A1B" w:rsidRDefault="00521A1B" w:rsidP="00521A1B">
      <w:pPr>
        <w:tabs>
          <w:tab w:val="left" w:pos="720"/>
        </w:tabs>
        <w:ind w:left="180"/>
        <w:rPr>
          <w:sz w:val="24"/>
          <w:szCs w:val="24"/>
          <w:lang w:bidi="ar-SA"/>
        </w:rPr>
      </w:pPr>
    </w:p>
    <w:p w14:paraId="3B6AD3AE" w14:textId="77777777" w:rsidR="00521A1B" w:rsidRPr="00521A1B" w:rsidRDefault="00521A1B" w:rsidP="00521A1B">
      <w:pPr>
        <w:tabs>
          <w:tab w:val="left" w:pos="720"/>
        </w:tabs>
        <w:ind w:left="180"/>
        <w:rPr>
          <w:sz w:val="24"/>
          <w:szCs w:val="24"/>
          <w:lang w:bidi="ar-SA"/>
        </w:rPr>
      </w:pPr>
      <w:r w:rsidRPr="00521A1B">
        <w:rPr>
          <w:sz w:val="24"/>
          <w:szCs w:val="24"/>
          <w:lang w:bidi="ar-SA"/>
        </w:rPr>
        <w:t xml:space="preserve">Training focuses on Automation Decision Support, the Automated Review Summary Document, Claim Processing Procedures, Quality Assurance, and Helpful Tips and Tricks and Resources. OBI also provides a live demonstration within these trainings to show the ARSD in the eFolder and discuss the technology that occurs behind the scenes. </w:t>
      </w:r>
    </w:p>
    <w:p w14:paraId="07A16498" w14:textId="3388D2EC" w:rsidR="0066147E" w:rsidRDefault="0066147E">
      <w:pPr>
        <w:rPr>
          <w:sz w:val="24"/>
          <w:szCs w:val="24"/>
          <w:lang w:bidi="ar-SA"/>
        </w:rPr>
      </w:pPr>
      <w:r>
        <w:rPr>
          <w:sz w:val="24"/>
          <w:szCs w:val="24"/>
          <w:lang w:bidi="ar-SA"/>
        </w:rPr>
        <w:br w:type="page"/>
      </w:r>
    </w:p>
    <w:p w14:paraId="2310730B" w14:textId="77777777" w:rsidR="00521A1B" w:rsidRPr="008858D6" w:rsidRDefault="00521A1B" w:rsidP="008858D6">
      <w:pPr>
        <w:tabs>
          <w:tab w:val="left" w:pos="720"/>
        </w:tabs>
        <w:ind w:left="180"/>
        <w:rPr>
          <w:sz w:val="24"/>
          <w:szCs w:val="24"/>
          <w:lang w:bidi="ar-SA"/>
        </w:rPr>
      </w:pPr>
    </w:p>
    <w:p w14:paraId="5B78D257" w14:textId="5E1CB969" w:rsidR="00E03D44" w:rsidRPr="00BE05B0" w:rsidRDefault="0047346C" w:rsidP="00B50F9D">
      <w:pPr>
        <w:pStyle w:val="Heading1"/>
        <w:pBdr>
          <w:bottom w:val="thinThickLargeGap" w:sz="8" w:space="1" w:color="auto"/>
        </w:pBdr>
        <w:spacing w:before="173"/>
        <w:ind w:left="187" w:right="0"/>
        <w:rPr>
          <w:color w:val="001F5F"/>
          <w:sz w:val="24"/>
          <w:szCs w:val="24"/>
        </w:rPr>
      </w:pPr>
      <w:bookmarkStart w:id="1" w:name="_Toc118963412"/>
      <w:r>
        <w:rPr>
          <w:color w:val="001F5F"/>
          <w:sz w:val="24"/>
          <w:szCs w:val="24"/>
        </w:rPr>
        <w:t xml:space="preserve">Fiscal Year 2022 (FY22) </w:t>
      </w:r>
      <w:r w:rsidR="00854B58">
        <w:rPr>
          <w:color w:val="001F5F"/>
          <w:sz w:val="24"/>
          <w:szCs w:val="24"/>
        </w:rPr>
        <w:t>Quality Review Team Individual Quality Review (</w:t>
      </w:r>
      <w:r>
        <w:rPr>
          <w:color w:val="001F5F"/>
          <w:sz w:val="24"/>
          <w:szCs w:val="24"/>
        </w:rPr>
        <w:t>QRTIQR</w:t>
      </w:r>
      <w:r w:rsidR="00854B58">
        <w:rPr>
          <w:color w:val="001F5F"/>
          <w:sz w:val="24"/>
          <w:szCs w:val="24"/>
        </w:rPr>
        <w:t>)</w:t>
      </w:r>
      <w:r>
        <w:rPr>
          <w:color w:val="001F5F"/>
          <w:sz w:val="24"/>
          <w:szCs w:val="24"/>
        </w:rPr>
        <w:t xml:space="preserve"> Error Trends</w:t>
      </w:r>
      <w:bookmarkEnd w:id="1"/>
    </w:p>
    <w:p w14:paraId="3EF520D5" w14:textId="417B07C5"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ROC</w:t>
      </w:r>
      <w:r w:rsidRPr="00BE05B0">
        <w:t xml:space="preserve"> Management</w:t>
      </w:r>
      <w:r w:rsidR="00833450">
        <w:t xml:space="preserve"> and </w:t>
      </w:r>
      <w:r w:rsidRPr="00BE05B0">
        <w:t>QRT</w:t>
      </w:r>
    </w:p>
    <w:p w14:paraId="5CF96C8F" w14:textId="60EF6B42" w:rsidR="008858D6" w:rsidRDefault="008858D6" w:rsidP="008858D6">
      <w:pPr>
        <w:pStyle w:val="BodyText"/>
        <w:spacing w:after="240"/>
        <w:ind w:left="187"/>
      </w:pPr>
      <w:r w:rsidRPr="00BE05B0">
        <w:rPr>
          <w:b/>
        </w:rPr>
        <w:t xml:space="preserve">Presenter: </w:t>
      </w:r>
      <w:r w:rsidR="005E7CC2">
        <w:t xml:space="preserve">Alexandria Katinos, Senior Management and Program Analyst, OAR Program Administration (PA) </w:t>
      </w:r>
      <w:r>
        <w:t xml:space="preserve"> </w:t>
      </w:r>
    </w:p>
    <w:p w14:paraId="67C69A57" w14:textId="27E5F054" w:rsidR="008858D6" w:rsidRPr="00BE05B0" w:rsidRDefault="008858D6" w:rsidP="008858D6">
      <w:pPr>
        <w:ind w:left="187"/>
        <w:rPr>
          <w:b/>
          <w:bCs/>
          <w:sz w:val="24"/>
          <w:szCs w:val="24"/>
        </w:rPr>
      </w:pPr>
      <w:r w:rsidRPr="00BE05B0">
        <w:rPr>
          <w:b/>
          <w:bCs/>
          <w:sz w:val="24"/>
          <w:szCs w:val="24"/>
        </w:rPr>
        <w:t xml:space="preserve">References: </w:t>
      </w:r>
    </w:p>
    <w:p w14:paraId="491BE721" w14:textId="5B1E793E" w:rsidR="008858D6" w:rsidRPr="00833450" w:rsidRDefault="00833450" w:rsidP="00EF2328">
      <w:pPr>
        <w:numPr>
          <w:ilvl w:val="0"/>
          <w:numId w:val="1"/>
        </w:numPr>
        <w:tabs>
          <w:tab w:val="left" w:pos="720"/>
        </w:tabs>
        <w:ind w:left="540"/>
        <w:rPr>
          <w:sz w:val="24"/>
          <w:szCs w:val="24"/>
          <w:lang w:bidi="ar-SA"/>
        </w:rPr>
      </w:pPr>
      <w:r w:rsidRPr="00833450">
        <w:rPr>
          <w:sz w:val="24"/>
          <w:szCs w:val="24"/>
        </w:rPr>
        <w:t xml:space="preserve">M21-5, 3.A.12.c, </w:t>
      </w:r>
      <w:r w:rsidRPr="00833450">
        <w:rPr>
          <w:i/>
          <w:iCs/>
          <w:sz w:val="24"/>
          <w:szCs w:val="24"/>
        </w:rPr>
        <w:t>DRO Review Elements</w:t>
      </w:r>
    </w:p>
    <w:p w14:paraId="04C9CD0E" w14:textId="77777777" w:rsidR="00833450" w:rsidRPr="00833450" w:rsidRDefault="00833450" w:rsidP="00EF2328">
      <w:pPr>
        <w:numPr>
          <w:ilvl w:val="0"/>
          <w:numId w:val="1"/>
        </w:numPr>
        <w:tabs>
          <w:tab w:val="left" w:pos="720"/>
        </w:tabs>
        <w:ind w:left="540"/>
        <w:rPr>
          <w:sz w:val="24"/>
          <w:szCs w:val="24"/>
          <w:lang w:bidi="ar-SA"/>
        </w:rPr>
      </w:pPr>
      <w:r w:rsidRPr="00833450">
        <w:rPr>
          <w:sz w:val="24"/>
          <w:szCs w:val="24"/>
          <w:lang w:bidi="ar-SA"/>
        </w:rPr>
        <w:t xml:space="preserve">M21-5, 3.A.4.b, </w:t>
      </w:r>
      <w:r w:rsidRPr="00833450">
        <w:rPr>
          <w:i/>
          <w:iCs/>
          <w:sz w:val="24"/>
          <w:szCs w:val="24"/>
          <w:lang w:bidi="ar-SA"/>
        </w:rPr>
        <w:t>Misclassified Errors</w:t>
      </w:r>
    </w:p>
    <w:p w14:paraId="3B1E16D1" w14:textId="6B3A5803" w:rsidR="00833450" w:rsidRPr="00833450" w:rsidRDefault="00833450" w:rsidP="00EF2328">
      <w:pPr>
        <w:numPr>
          <w:ilvl w:val="0"/>
          <w:numId w:val="1"/>
        </w:numPr>
        <w:tabs>
          <w:tab w:val="left" w:pos="720"/>
        </w:tabs>
        <w:ind w:left="540"/>
        <w:rPr>
          <w:sz w:val="24"/>
          <w:szCs w:val="24"/>
          <w:lang w:bidi="ar-SA"/>
        </w:rPr>
      </w:pPr>
      <w:r w:rsidRPr="00833450">
        <w:rPr>
          <w:sz w:val="24"/>
          <w:szCs w:val="24"/>
        </w:rPr>
        <w:t xml:space="preserve">M21-5, 3.A.4.h, </w:t>
      </w:r>
      <w:r w:rsidRPr="00833450">
        <w:rPr>
          <w:i/>
          <w:iCs/>
          <w:sz w:val="24"/>
          <w:szCs w:val="24"/>
        </w:rPr>
        <w:t>Definition: Cascading</w:t>
      </w:r>
    </w:p>
    <w:p w14:paraId="384F4B86" w14:textId="2DCA993D" w:rsidR="00833450" w:rsidRDefault="00833450" w:rsidP="00EF2328">
      <w:pPr>
        <w:numPr>
          <w:ilvl w:val="0"/>
          <w:numId w:val="1"/>
        </w:numPr>
        <w:tabs>
          <w:tab w:val="left" w:pos="720"/>
        </w:tabs>
        <w:ind w:left="540"/>
        <w:rPr>
          <w:sz w:val="24"/>
          <w:szCs w:val="24"/>
          <w:lang w:bidi="ar-SA"/>
        </w:rPr>
      </w:pPr>
      <w:r w:rsidRPr="00833450">
        <w:rPr>
          <w:sz w:val="24"/>
          <w:szCs w:val="24"/>
        </w:rPr>
        <w:t xml:space="preserve">M21-5, 3.A.4.i, </w:t>
      </w:r>
      <w:r w:rsidRPr="00833450">
        <w:rPr>
          <w:i/>
          <w:iCs/>
          <w:sz w:val="24"/>
          <w:szCs w:val="24"/>
        </w:rPr>
        <w:t>Avoiding the Cascade Effect</w:t>
      </w:r>
    </w:p>
    <w:p w14:paraId="4E7EA990" w14:textId="77777777" w:rsidR="008858D6" w:rsidRDefault="008858D6" w:rsidP="008858D6">
      <w:pPr>
        <w:tabs>
          <w:tab w:val="left" w:pos="720"/>
        </w:tabs>
        <w:ind w:left="180"/>
        <w:rPr>
          <w:sz w:val="24"/>
          <w:szCs w:val="24"/>
          <w:lang w:bidi="ar-SA"/>
        </w:rPr>
      </w:pPr>
    </w:p>
    <w:p w14:paraId="3C87D584" w14:textId="3B096E5F" w:rsidR="00854B58" w:rsidRDefault="00854B58" w:rsidP="00854B58">
      <w:pPr>
        <w:tabs>
          <w:tab w:val="left" w:pos="720"/>
        </w:tabs>
        <w:ind w:left="180"/>
        <w:rPr>
          <w:sz w:val="24"/>
          <w:szCs w:val="24"/>
        </w:rPr>
      </w:pPr>
      <w:r w:rsidRPr="00854B58">
        <w:rPr>
          <w:sz w:val="24"/>
          <w:szCs w:val="24"/>
        </w:rPr>
        <w:t>OAR reviewed the FY22 QRTIQR errors. As a reminder QRTIQRs</w:t>
      </w:r>
      <w:r>
        <w:rPr>
          <w:sz w:val="24"/>
          <w:szCs w:val="24"/>
        </w:rPr>
        <w:t>,</w:t>
      </w:r>
      <w:r w:rsidRPr="00854B58">
        <w:rPr>
          <w:sz w:val="24"/>
          <w:szCs w:val="24"/>
        </w:rPr>
        <w:t xml:space="preserve"> are claimed based.  For FY22 there were 14 QRTIQR errors with 17 tasks in error.</w:t>
      </w:r>
      <w:r>
        <w:rPr>
          <w:sz w:val="24"/>
          <w:szCs w:val="24"/>
        </w:rPr>
        <w:t xml:space="preserve"> </w:t>
      </w:r>
      <w:r w:rsidRPr="00854B58">
        <w:rPr>
          <w:sz w:val="24"/>
          <w:szCs w:val="24"/>
        </w:rPr>
        <w:t>No specific error trends were identified.</w:t>
      </w:r>
    </w:p>
    <w:p w14:paraId="73DC0FCB" w14:textId="79CA3DD4" w:rsidR="00854B58" w:rsidRDefault="00854B58" w:rsidP="00854B58">
      <w:pPr>
        <w:tabs>
          <w:tab w:val="left" w:pos="720"/>
        </w:tabs>
        <w:ind w:left="180"/>
        <w:rPr>
          <w:sz w:val="24"/>
          <w:szCs w:val="24"/>
        </w:rPr>
      </w:pPr>
    </w:p>
    <w:p w14:paraId="5EB2E274" w14:textId="5A4767F4" w:rsidR="00854B58" w:rsidRPr="00854B58" w:rsidRDefault="00854B58" w:rsidP="00854B58">
      <w:pPr>
        <w:tabs>
          <w:tab w:val="left" w:pos="720"/>
        </w:tabs>
        <w:ind w:left="180"/>
        <w:rPr>
          <w:b/>
          <w:bCs/>
          <w:sz w:val="24"/>
          <w:szCs w:val="24"/>
        </w:rPr>
      </w:pPr>
      <w:r>
        <w:rPr>
          <w:b/>
          <w:bCs/>
          <w:sz w:val="24"/>
          <w:szCs w:val="24"/>
        </w:rPr>
        <w:t>Authorization Quality Review Specialist (AQRS) QRTIQR Findings</w:t>
      </w:r>
    </w:p>
    <w:p w14:paraId="42170F15" w14:textId="314C96B9" w:rsidR="00854B58" w:rsidRPr="00854B58" w:rsidRDefault="00854B58" w:rsidP="00854B58">
      <w:pPr>
        <w:tabs>
          <w:tab w:val="left" w:pos="720"/>
        </w:tabs>
        <w:ind w:left="180"/>
        <w:rPr>
          <w:sz w:val="24"/>
          <w:szCs w:val="24"/>
        </w:rPr>
      </w:pPr>
      <w:r w:rsidRPr="00854B58">
        <w:rPr>
          <w:sz w:val="24"/>
          <w:szCs w:val="24"/>
        </w:rPr>
        <w:t xml:space="preserve">For AQRS QRTIQRs there were </w:t>
      </w:r>
      <w:r>
        <w:rPr>
          <w:sz w:val="24"/>
          <w:szCs w:val="24"/>
        </w:rPr>
        <w:t xml:space="preserve">a total of </w:t>
      </w:r>
      <w:r w:rsidRPr="00854B58">
        <w:rPr>
          <w:sz w:val="24"/>
          <w:szCs w:val="24"/>
        </w:rPr>
        <w:t>12</w:t>
      </w:r>
      <w:r>
        <w:rPr>
          <w:sz w:val="24"/>
          <w:szCs w:val="24"/>
        </w:rPr>
        <w:t xml:space="preserve"> errors cited</w:t>
      </w:r>
      <w:r w:rsidR="00DC5550">
        <w:rPr>
          <w:sz w:val="24"/>
          <w:szCs w:val="24"/>
        </w:rPr>
        <w:t>:</w:t>
      </w:r>
    </w:p>
    <w:p w14:paraId="09AA6236" w14:textId="3C9F21D5" w:rsidR="00854B58" w:rsidRPr="00854B58" w:rsidRDefault="00854B58" w:rsidP="00EF2328">
      <w:pPr>
        <w:pStyle w:val="ListParagraph"/>
        <w:numPr>
          <w:ilvl w:val="0"/>
          <w:numId w:val="2"/>
        </w:numPr>
        <w:tabs>
          <w:tab w:val="left" w:pos="720"/>
        </w:tabs>
        <w:rPr>
          <w:sz w:val="24"/>
          <w:szCs w:val="24"/>
        </w:rPr>
      </w:pPr>
      <w:r w:rsidRPr="00854B58">
        <w:rPr>
          <w:sz w:val="24"/>
          <w:szCs w:val="24"/>
        </w:rPr>
        <w:t>2 errors cited on CA reviews</w:t>
      </w:r>
    </w:p>
    <w:p w14:paraId="68867354" w14:textId="77777777" w:rsidR="00854B58" w:rsidRPr="00854B58" w:rsidRDefault="00854B58" w:rsidP="00EF2328">
      <w:pPr>
        <w:pStyle w:val="ListParagraph"/>
        <w:numPr>
          <w:ilvl w:val="0"/>
          <w:numId w:val="2"/>
        </w:numPr>
        <w:tabs>
          <w:tab w:val="left" w:pos="720"/>
        </w:tabs>
        <w:rPr>
          <w:sz w:val="24"/>
          <w:szCs w:val="24"/>
        </w:rPr>
      </w:pPr>
      <w:r w:rsidRPr="00854B58">
        <w:rPr>
          <w:sz w:val="24"/>
          <w:szCs w:val="24"/>
        </w:rPr>
        <w:t>7 errors cited on VSR Post reviews</w:t>
      </w:r>
    </w:p>
    <w:p w14:paraId="090342D3" w14:textId="3FE1C883" w:rsidR="00854B58" w:rsidRDefault="00854B58" w:rsidP="00EF2328">
      <w:pPr>
        <w:pStyle w:val="ListParagraph"/>
        <w:numPr>
          <w:ilvl w:val="0"/>
          <w:numId w:val="2"/>
        </w:numPr>
        <w:tabs>
          <w:tab w:val="left" w:pos="720"/>
        </w:tabs>
        <w:rPr>
          <w:sz w:val="24"/>
          <w:szCs w:val="24"/>
        </w:rPr>
      </w:pPr>
      <w:r w:rsidRPr="00854B58">
        <w:rPr>
          <w:sz w:val="24"/>
          <w:szCs w:val="24"/>
        </w:rPr>
        <w:t>3 errors cited on VSR Pre reviews</w:t>
      </w:r>
    </w:p>
    <w:p w14:paraId="53D62527" w14:textId="778EE147" w:rsidR="00854B58" w:rsidRDefault="00854B58" w:rsidP="00854B58">
      <w:pPr>
        <w:tabs>
          <w:tab w:val="left" w:pos="720"/>
        </w:tabs>
        <w:rPr>
          <w:sz w:val="24"/>
          <w:szCs w:val="24"/>
        </w:rPr>
      </w:pPr>
    </w:p>
    <w:p w14:paraId="3F656471" w14:textId="3722CE43" w:rsidR="00854B58" w:rsidRDefault="00854B58" w:rsidP="00854B58">
      <w:pPr>
        <w:tabs>
          <w:tab w:val="left" w:pos="720"/>
        </w:tabs>
        <w:ind w:left="180"/>
        <w:rPr>
          <w:sz w:val="24"/>
          <w:szCs w:val="24"/>
        </w:rPr>
      </w:pPr>
      <w:r>
        <w:rPr>
          <w:sz w:val="24"/>
          <w:szCs w:val="24"/>
        </w:rPr>
        <w:t>The chart below provides a more comprehensive breakdown of the specific questions pertaining to the errors cited.</w:t>
      </w:r>
    </w:p>
    <w:p w14:paraId="4A2C93F3" w14:textId="2B34BA67" w:rsidR="00854B58" w:rsidRDefault="00854B58" w:rsidP="00854B58">
      <w:pPr>
        <w:tabs>
          <w:tab w:val="left" w:pos="720"/>
        </w:tabs>
        <w:ind w:left="180"/>
        <w:rPr>
          <w:sz w:val="24"/>
          <w:szCs w:val="24"/>
        </w:rPr>
      </w:pPr>
    </w:p>
    <w:p w14:paraId="20DFD531" w14:textId="6B104F27" w:rsidR="00854B58" w:rsidRDefault="00854B58" w:rsidP="00854B58">
      <w:pPr>
        <w:tabs>
          <w:tab w:val="left" w:pos="720"/>
        </w:tabs>
        <w:ind w:left="180"/>
        <w:rPr>
          <w:sz w:val="24"/>
          <w:szCs w:val="24"/>
        </w:rPr>
      </w:pPr>
      <w:r>
        <w:rPr>
          <w:noProof/>
        </w:rPr>
        <w:drawing>
          <wp:inline distT="0" distB="0" distL="0" distR="0" wp14:anchorId="404D4712" wp14:editId="1B60602C">
            <wp:extent cx="6121400" cy="261683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6121400" cy="2616835"/>
                    </a:xfrm>
                    <a:prstGeom prst="rect">
                      <a:avLst/>
                    </a:prstGeom>
                  </pic:spPr>
                </pic:pic>
              </a:graphicData>
            </a:graphic>
          </wp:inline>
        </w:drawing>
      </w:r>
    </w:p>
    <w:p w14:paraId="6BB9738A" w14:textId="73098302" w:rsidR="00854B58" w:rsidRDefault="00854B58" w:rsidP="00854B58">
      <w:pPr>
        <w:tabs>
          <w:tab w:val="left" w:pos="720"/>
        </w:tabs>
        <w:ind w:left="180"/>
        <w:rPr>
          <w:sz w:val="24"/>
          <w:szCs w:val="24"/>
        </w:rPr>
      </w:pPr>
    </w:p>
    <w:p w14:paraId="4EF3CB47" w14:textId="3617BC58" w:rsidR="00854B58" w:rsidRDefault="00DC5550" w:rsidP="00854B58">
      <w:pPr>
        <w:tabs>
          <w:tab w:val="left" w:pos="720"/>
        </w:tabs>
        <w:ind w:left="180"/>
        <w:rPr>
          <w:b/>
          <w:bCs/>
          <w:sz w:val="24"/>
          <w:szCs w:val="24"/>
        </w:rPr>
      </w:pPr>
      <w:r>
        <w:rPr>
          <w:b/>
          <w:bCs/>
          <w:sz w:val="24"/>
          <w:szCs w:val="24"/>
        </w:rPr>
        <w:t xml:space="preserve">Rating Quality Review Specialists (RQRS) QRTIQR Findings </w:t>
      </w:r>
    </w:p>
    <w:p w14:paraId="51D4A579" w14:textId="265A9F0A" w:rsidR="00DC5550" w:rsidRPr="00DC5550" w:rsidRDefault="00DC5550" w:rsidP="00DC5550">
      <w:pPr>
        <w:tabs>
          <w:tab w:val="left" w:pos="720"/>
        </w:tabs>
        <w:ind w:left="180"/>
        <w:rPr>
          <w:sz w:val="24"/>
          <w:szCs w:val="24"/>
        </w:rPr>
      </w:pPr>
      <w:r w:rsidRPr="00DC5550">
        <w:rPr>
          <w:sz w:val="24"/>
          <w:szCs w:val="24"/>
        </w:rPr>
        <w:t xml:space="preserve">For RQRS reviews, there were </w:t>
      </w:r>
      <w:r>
        <w:rPr>
          <w:sz w:val="24"/>
          <w:szCs w:val="24"/>
        </w:rPr>
        <w:t xml:space="preserve">a total of </w:t>
      </w:r>
      <w:r w:rsidRPr="00DC5550">
        <w:rPr>
          <w:sz w:val="24"/>
          <w:szCs w:val="24"/>
        </w:rPr>
        <w:t>5</w:t>
      </w:r>
      <w:r>
        <w:rPr>
          <w:sz w:val="24"/>
          <w:szCs w:val="24"/>
        </w:rPr>
        <w:t xml:space="preserve"> errors cited</w:t>
      </w:r>
      <w:r w:rsidRPr="00DC5550">
        <w:rPr>
          <w:sz w:val="24"/>
          <w:szCs w:val="24"/>
        </w:rPr>
        <w:t>:</w:t>
      </w:r>
    </w:p>
    <w:p w14:paraId="65DCE886" w14:textId="77777777" w:rsidR="00DC5550" w:rsidRPr="00DC5550" w:rsidRDefault="00DC5550" w:rsidP="00EF2328">
      <w:pPr>
        <w:pStyle w:val="ListParagraph"/>
        <w:numPr>
          <w:ilvl w:val="0"/>
          <w:numId w:val="3"/>
        </w:numPr>
        <w:tabs>
          <w:tab w:val="left" w:pos="720"/>
        </w:tabs>
        <w:rPr>
          <w:sz w:val="24"/>
          <w:szCs w:val="24"/>
        </w:rPr>
      </w:pPr>
      <w:r w:rsidRPr="00DC5550">
        <w:rPr>
          <w:sz w:val="24"/>
          <w:szCs w:val="24"/>
        </w:rPr>
        <w:t>2 errors cited on DRO reviews</w:t>
      </w:r>
    </w:p>
    <w:p w14:paraId="66D14727" w14:textId="77777777" w:rsidR="00DC5550" w:rsidRPr="00DC5550" w:rsidRDefault="00DC5550" w:rsidP="00EF2328">
      <w:pPr>
        <w:pStyle w:val="ListParagraph"/>
        <w:numPr>
          <w:ilvl w:val="0"/>
          <w:numId w:val="3"/>
        </w:numPr>
        <w:tabs>
          <w:tab w:val="left" w:pos="720"/>
        </w:tabs>
        <w:rPr>
          <w:sz w:val="24"/>
          <w:szCs w:val="24"/>
        </w:rPr>
      </w:pPr>
      <w:r w:rsidRPr="00DC5550">
        <w:rPr>
          <w:sz w:val="24"/>
          <w:szCs w:val="24"/>
        </w:rPr>
        <w:t>3 errors cited on RVSR reviews</w:t>
      </w:r>
    </w:p>
    <w:p w14:paraId="47A13F2E" w14:textId="270DDB96" w:rsidR="00DC5550" w:rsidRDefault="00DC5550" w:rsidP="00854B58">
      <w:pPr>
        <w:tabs>
          <w:tab w:val="left" w:pos="720"/>
        </w:tabs>
        <w:ind w:left="180"/>
        <w:rPr>
          <w:sz w:val="24"/>
          <w:szCs w:val="24"/>
        </w:rPr>
      </w:pPr>
    </w:p>
    <w:p w14:paraId="7D75D6E1" w14:textId="77777777" w:rsidR="00DC5550" w:rsidRDefault="00DC5550" w:rsidP="00DC5550">
      <w:pPr>
        <w:tabs>
          <w:tab w:val="left" w:pos="720"/>
        </w:tabs>
        <w:ind w:left="180"/>
        <w:rPr>
          <w:sz w:val="24"/>
          <w:szCs w:val="24"/>
        </w:rPr>
      </w:pPr>
      <w:r>
        <w:rPr>
          <w:sz w:val="24"/>
          <w:szCs w:val="24"/>
        </w:rPr>
        <w:t>The chart below provides a more comprehensive breakdown of the specific questions pertaining to the errors cited.</w:t>
      </w:r>
    </w:p>
    <w:p w14:paraId="59ADD94A" w14:textId="2CC15E44" w:rsidR="00DC5550" w:rsidRDefault="00DC5550" w:rsidP="00854B58">
      <w:pPr>
        <w:tabs>
          <w:tab w:val="left" w:pos="720"/>
        </w:tabs>
        <w:ind w:left="180"/>
        <w:rPr>
          <w:sz w:val="24"/>
          <w:szCs w:val="24"/>
        </w:rPr>
      </w:pPr>
    </w:p>
    <w:p w14:paraId="114A192B" w14:textId="151CA395" w:rsidR="00DC5550" w:rsidRDefault="00DC5550" w:rsidP="00854B58">
      <w:pPr>
        <w:tabs>
          <w:tab w:val="left" w:pos="720"/>
        </w:tabs>
        <w:ind w:left="180"/>
        <w:rPr>
          <w:sz w:val="24"/>
          <w:szCs w:val="24"/>
        </w:rPr>
      </w:pPr>
      <w:r>
        <w:rPr>
          <w:noProof/>
        </w:rPr>
        <w:drawing>
          <wp:inline distT="0" distB="0" distL="0" distR="0" wp14:anchorId="6AC382EB" wp14:editId="5B563AF8">
            <wp:extent cx="6121400" cy="169862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9"/>
                    <a:stretch>
                      <a:fillRect/>
                    </a:stretch>
                  </pic:blipFill>
                  <pic:spPr>
                    <a:xfrm>
                      <a:off x="0" y="0"/>
                      <a:ext cx="6121400" cy="1698625"/>
                    </a:xfrm>
                    <a:prstGeom prst="rect">
                      <a:avLst/>
                    </a:prstGeom>
                  </pic:spPr>
                </pic:pic>
              </a:graphicData>
            </a:graphic>
          </wp:inline>
        </w:drawing>
      </w:r>
    </w:p>
    <w:p w14:paraId="06BC5862" w14:textId="6E35462B" w:rsidR="00DC5550" w:rsidRDefault="00DC5550" w:rsidP="00854B58">
      <w:pPr>
        <w:tabs>
          <w:tab w:val="left" w:pos="720"/>
        </w:tabs>
        <w:ind w:left="180"/>
        <w:rPr>
          <w:sz w:val="24"/>
          <w:szCs w:val="24"/>
        </w:rPr>
      </w:pPr>
    </w:p>
    <w:p w14:paraId="0CD1C29B" w14:textId="3032987D" w:rsidR="00DC5550" w:rsidRDefault="00DC5550" w:rsidP="00854B58">
      <w:pPr>
        <w:tabs>
          <w:tab w:val="left" w:pos="720"/>
        </w:tabs>
        <w:ind w:left="180"/>
        <w:rPr>
          <w:b/>
          <w:bCs/>
          <w:sz w:val="24"/>
          <w:szCs w:val="24"/>
        </w:rPr>
      </w:pPr>
      <w:r>
        <w:rPr>
          <w:b/>
          <w:bCs/>
          <w:sz w:val="24"/>
          <w:szCs w:val="24"/>
        </w:rPr>
        <w:t>Additional QRTIQR Findings</w:t>
      </w:r>
    </w:p>
    <w:p w14:paraId="4150128C" w14:textId="5469964F" w:rsidR="00DC5550" w:rsidRPr="00DC5550" w:rsidRDefault="00DC5550" w:rsidP="00DC5550">
      <w:pPr>
        <w:tabs>
          <w:tab w:val="left" w:pos="720"/>
        </w:tabs>
        <w:ind w:left="180"/>
        <w:rPr>
          <w:sz w:val="24"/>
          <w:szCs w:val="24"/>
        </w:rPr>
      </w:pPr>
      <w:r>
        <w:rPr>
          <w:sz w:val="24"/>
          <w:szCs w:val="24"/>
        </w:rPr>
        <w:t xml:space="preserve">Overall, there were </w:t>
      </w:r>
      <w:r w:rsidRPr="00DC5550">
        <w:rPr>
          <w:sz w:val="24"/>
          <w:szCs w:val="24"/>
        </w:rPr>
        <w:t>10 errors cited for error missed by QRS</w:t>
      </w:r>
      <w:r>
        <w:rPr>
          <w:sz w:val="24"/>
          <w:szCs w:val="24"/>
        </w:rPr>
        <w:t xml:space="preserve">, </w:t>
      </w:r>
      <w:r w:rsidRPr="00DC5550">
        <w:rPr>
          <w:sz w:val="24"/>
          <w:szCs w:val="24"/>
        </w:rPr>
        <w:t>3 errors cited for incorrect error cited by QRS</w:t>
      </w:r>
      <w:r>
        <w:rPr>
          <w:sz w:val="24"/>
          <w:szCs w:val="24"/>
        </w:rPr>
        <w:t xml:space="preserve">, and </w:t>
      </w:r>
      <w:r w:rsidRPr="00DC5550">
        <w:rPr>
          <w:sz w:val="24"/>
          <w:szCs w:val="24"/>
        </w:rPr>
        <w:t>1 error cited for Yes vs NA issues</w:t>
      </w:r>
      <w:r>
        <w:rPr>
          <w:sz w:val="24"/>
          <w:szCs w:val="24"/>
        </w:rPr>
        <w:t xml:space="preserve">. </w:t>
      </w:r>
    </w:p>
    <w:p w14:paraId="11387E3C" w14:textId="77777777" w:rsidR="00DC5550" w:rsidRPr="00DC5550" w:rsidRDefault="00DC5550" w:rsidP="00DC5550">
      <w:pPr>
        <w:tabs>
          <w:tab w:val="left" w:pos="720"/>
        </w:tabs>
        <w:ind w:left="1440"/>
        <w:rPr>
          <w:sz w:val="24"/>
          <w:szCs w:val="24"/>
        </w:rPr>
      </w:pPr>
    </w:p>
    <w:p w14:paraId="37E46AC3" w14:textId="7D9EEC3C" w:rsidR="00DC5550" w:rsidRDefault="00DC5550" w:rsidP="00DC5550">
      <w:pPr>
        <w:tabs>
          <w:tab w:val="left" w:pos="720"/>
        </w:tabs>
        <w:ind w:left="180"/>
        <w:rPr>
          <w:sz w:val="24"/>
          <w:szCs w:val="24"/>
        </w:rPr>
      </w:pPr>
      <w:r w:rsidRPr="00DC5550">
        <w:rPr>
          <w:sz w:val="24"/>
          <w:szCs w:val="24"/>
        </w:rPr>
        <w:t>In one case,</w:t>
      </w:r>
      <w:r>
        <w:rPr>
          <w:sz w:val="24"/>
          <w:szCs w:val="24"/>
        </w:rPr>
        <w:t xml:space="preserve"> a QRTIQR Error was cited under</w:t>
      </w:r>
      <w:r w:rsidRPr="00DC5550">
        <w:rPr>
          <w:sz w:val="24"/>
          <w:szCs w:val="24"/>
        </w:rPr>
        <w:t xml:space="preserve"> Task 12</w:t>
      </w:r>
      <w:r>
        <w:rPr>
          <w:sz w:val="24"/>
          <w:szCs w:val="24"/>
        </w:rPr>
        <w:t>.</w:t>
      </w:r>
      <w:r w:rsidRPr="00DC5550">
        <w:rPr>
          <w:sz w:val="24"/>
          <w:szCs w:val="24"/>
        </w:rPr>
        <w:t xml:space="preserve"> During the QRTIQR, the QRS completing the review added to the error comment. The QRS disagreed with review to add to the comment and erroneously cited an error on the QRS under review. Per the M21-5, Task 12 does not constitute a QRT Performance error since only Tasks 1-11 are factored into the quality calculation for DROs/RVSRs.</w:t>
      </w:r>
    </w:p>
    <w:p w14:paraId="54D9AFCF" w14:textId="77777777" w:rsidR="00DC5550" w:rsidRPr="00DC5550" w:rsidRDefault="00DC5550" w:rsidP="00DC5550">
      <w:pPr>
        <w:tabs>
          <w:tab w:val="left" w:pos="720"/>
        </w:tabs>
        <w:ind w:left="180"/>
        <w:rPr>
          <w:sz w:val="24"/>
          <w:szCs w:val="24"/>
        </w:rPr>
      </w:pPr>
    </w:p>
    <w:p w14:paraId="50E095E1" w14:textId="3E3A7556" w:rsidR="00DC5550" w:rsidRDefault="00DC5550" w:rsidP="00DC5550">
      <w:pPr>
        <w:tabs>
          <w:tab w:val="left" w:pos="720"/>
        </w:tabs>
        <w:ind w:left="180"/>
        <w:rPr>
          <w:sz w:val="24"/>
          <w:szCs w:val="24"/>
        </w:rPr>
      </w:pPr>
      <w:r w:rsidRPr="00DC5550">
        <w:rPr>
          <w:sz w:val="24"/>
          <w:szCs w:val="24"/>
        </w:rPr>
        <w:t xml:space="preserve">On another review, a QRS cited an error but did not include references to support the error. During the QRTIQR, the QRS completing the review identified the missing references and added them to the review. The QRT Coach, however, erroneously overturned the error </w:t>
      </w:r>
      <w:proofErr w:type="gramStart"/>
      <w:r w:rsidRPr="00DC5550">
        <w:rPr>
          <w:sz w:val="24"/>
          <w:szCs w:val="24"/>
        </w:rPr>
        <w:t>on the basis of</w:t>
      </w:r>
      <w:proofErr w:type="gramEnd"/>
      <w:r w:rsidRPr="00DC5550">
        <w:rPr>
          <w:sz w:val="24"/>
          <w:szCs w:val="24"/>
        </w:rPr>
        <w:t xml:space="preserve"> the original QRS not including references. In this case the error should have remained. Per the M21-5, errors will not be removed on reconsideration merely because the error was misclassified on the appropriate checklist or due to insufficient supporting reference.</w:t>
      </w:r>
    </w:p>
    <w:p w14:paraId="63B4359D" w14:textId="77777777" w:rsidR="00DC5550" w:rsidRPr="00DC5550" w:rsidRDefault="00DC5550" w:rsidP="00DC5550">
      <w:pPr>
        <w:tabs>
          <w:tab w:val="left" w:pos="720"/>
        </w:tabs>
        <w:ind w:left="180"/>
        <w:rPr>
          <w:sz w:val="24"/>
          <w:szCs w:val="24"/>
        </w:rPr>
      </w:pPr>
    </w:p>
    <w:p w14:paraId="52E2A6D0" w14:textId="77777777" w:rsidR="00DC5550" w:rsidRPr="00DC5550" w:rsidRDefault="00DC5550" w:rsidP="00DC5550">
      <w:pPr>
        <w:tabs>
          <w:tab w:val="left" w:pos="720"/>
        </w:tabs>
        <w:ind w:left="180"/>
        <w:rPr>
          <w:sz w:val="24"/>
          <w:szCs w:val="24"/>
        </w:rPr>
      </w:pPr>
      <w:r w:rsidRPr="00DC5550">
        <w:rPr>
          <w:sz w:val="24"/>
          <w:szCs w:val="24"/>
        </w:rPr>
        <w:t>In the next QRTIQR reviewed, an error was cited on the QRS for an error they called and the QRS submitted a reconsideration for error. The QRT Coach agreed with QRS’ reconsideration request; however, the QRT Coach erroneously changed the error to a comment. The error here was still an error and should have remained that way.</w:t>
      </w:r>
    </w:p>
    <w:p w14:paraId="5C265DBD" w14:textId="77777777" w:rsidR="00DC5550" w:rsidRPr="00DC5550" w:rsidRDefault="00DC5550" w:rsidP="00DC5550">
      <w:pPr>
        <w:tabs>
          <w:tab w:val="left" w:pos="720"/>
        </w:tabs>
        <w:ind w:left="180"/>
        <w:rPr>
          <w:sz w:val="24"/>
          <w:szCs w:val="24"/>
        </w:rPr>
      </w:pPr>
      <w:r w:rsidRPr="00DC5550">
        <w:rPr>
          <w:sz w:val="24"/>
          <w:szCs w:val="24"/>
        </w:rPr>
        <w:t xml:space="preserve">The last QRTIQR error reviewed, the error cited by the reviewing QRS was overturned because of cascading. In this case the second reviewer found a missed dependency </w:t>
      </w:r>
      <w:r w:rsidRPr="00DC5550">
        <w:rPr>
          <w:sz w:val="24"/>
          <w:szCs w:val="24"/>
        </w:rPr>
        <w:lastRenderedPageBreak/>
        <w:t>error and then also called a notification error for the same dependency error. Once the QRS has determined the root cause of an error, the QRS should cite no other errors as a natural result of the initial root cause error.</w:t>
      </w:r>
    </w:p>
    <w:p w14:paraId="2010B905" w14:textId="77777777" w:rsidR="00DC5550" w:rsidRPr="00DC5550" w:rsidRDefault="00DC5550" w:rsidP="00854B58">
      <w:pPr>
        <w:tabs>
          <w:tab w:val="left" w:pos="720"/>
        </w:tabs>
        <w:ind w:left="180"/>
        <w:rPr>
          <w:sz w:val="24"/>
          <w:szCs w:val="24"/>
        </w:rPr>
      </w:pPr>
    </w:p>
    <w:p w14:paraId="6C3BEB93" w14:textId="5D273BF1" w:rsidR="008858D6" w:rsidRPr="008858D6" w:rsidRDefault="008858D6" w:rsidP="008858D6">
      <w:pPr>
        <w:tabs>
          <w:tab w:val="left" w:pos="720"/>
        </w:tabs>
        <w:ind w:left="180"/>
        <w:rPr>
          <w:sz w:val="24"/>
          <w:szCs w:val="24"/>
          <w:lang w:bidi="ar-SA"/>
        </w:rPr>
      </w:pPr>
    </w:p>
    <w:p w14:paraId="1B1C9C27" w14:textId="4DB9611A" w:rsidR="006D5495" w:rsidRPr="00BE05B0" w:rsidRDefault="00B80840" w:rsidP="00B95D84">
      <w:pPr>
        <w:pStyle w:val="Heading1"/>
        <w:pBdr>
          <w:bottom w:val="thinThickLargeGap" w:sz="8" w:space="1" w:color="auto"/>
        </w:pBdr>
        <w:ind w:left="187" w:right="0"/>
        <w:rPr>
          <w:color w:val="001F5F"/>
          <w:sz w:val="24"/>
          <w:szCs w:val="24"/>
        </w:rPr>
      </w:pPr>
      <w:bookmarkStart w:id="2" w:name="_Toc118963413"/>
      <w:r>
        <w:rPr>
          <w:color w:val="001F5F"/>
          <w:sz w:val="24"/>
          <w:szCs w:val="24"/>
        </w:rPr>
        <w:t>FY22 OAR National Error Trends</w:t>
      </w:r>
      <w:bookmarkEnd w:id="2"/>
    </w:p>
    <w:p w14:paraId="738C6A34" w14:textId="4A1D81AA"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t>DROC</w:t>
      </w:r>
      <w:r w:rsidR="00A317D9">
        <w:t xml:space="preserve"> </w:t>
      </w:r>
      <w:r w:rsidRPr="00BE05B0">
        <w:t>Management</w:t>
      </w:r>
      <w:r w:rsidR="00A317D9">
        <w:t xml:space="preserve">, </w:t>
      </w:r>
      <w:r w:rsidRPr="00BE05B0">
        <w:t>QRT</w:t>
      </w:r>
      <w:r>
        <w:t>, DRO</w:t>
      </w:r>
      <w:r w:rsidR="00B21926">
        <w:t>s</w:t>
      </w:r>
      <w:r w:rsidRPr="00BE05B0">
        <w:t>,</w:t>
      </w:r>
      <w:r>
        <w:t xml:space="preserve"> </w:t>
      </w:r>
      <w:r w:rsidRPr="00BE05B0">
        <w:t>RVSR</w:t>
      </w:r>
      <w:r w:rsidR="00B21926">
        <w:t>s</w:t>
      </w:r>
      <w:r w:rsidRPr="00BE05B0">
        <w:t>, VSR</w:t>
      </w:r>
      <w:r w:rsidR="00B21926">
        <w:t>s</w:t>
      </w:r>
      <w:r>
        <w:t>, and CA</w:t>
      </w:r>
      <w:r w:rsidR="00B21926">
        <w:t>s</w:t>
      </w:r>
    </w:p>
    <w:p w14:paraId="6CD348F8" w14:textId="625B8D1A" w:rsidR="008858D6" w:rsidRPr="00B21926" w:rsidRDefault="008858D6" w:rsidP="008858D6">
      <w:pPr>
        <w:pStyle w:val="BodyText"/>
        <w:spacing w:after="240"/>
        <w:ind w:left="187"/>
      </w:pPr>
      <w:r w:rsidRPr="00B21926">
        <w:rPr>
          <w:b/>
        </w:rPr>
        <w:t xml:space="preserve">Presenter: </w:t>
      </w:r>
      <w:r w:rsidR="005E7CC2" w:rsidRPr="00B21926">
        <w:t>Chelsey Kondrak, Senior Management and Program Analyst, OAR PA</w:t>
      </w:r>
    </w:p>
    <w:p w14:paraId="04F9FCBD" w14:textId="77777777" w:rsidR="0018697E" w:rsidRDefault="0018697E" w:rsidP="00B21926">
      <w:pPr>
        <w:tabs>
          <w:tab w:val="left" w:pos="720"/>
        </w:tabs>
        <w:ind w:left="180"/>
        <w:rPr>
          <w:b/>
          <w:bCs/>
          <w:sz w:val="24"/>
          <w:szCs w:val="24"/>
        </w:rPr>
      </w:pPr>
      <w:r>
        <w:rPr>
          <w:b/>
          <w:bCs/>
          <w:sz w:val="24"/>
          <w:szCs w:val="24"/>
        </w:rPr>
        <w:t>FY 22 National Quality Reviews</w:t>
      </w:r>
    </w:p>
    <w:p w14:paraId="1D90F5BA" w14:textId="2BA57158" w:rsidR="00B21926" w:rsidRPr="00B21926" w:rsidRDefault="00B21926" w:rsidP="00B21926">
      <w:pPr>
        <w:tabs>
          <w:tab w:val="left" w:pos="720"/>
        </w:tabs>
        <w:ind w:left="180"/>
        <w:rPr>
          <w:sz w:val="24"/>
          <w:szCs w:val="24"/>
        </w:rPr>
      </w:pPr>
      <w:r w:rsidRPr="00B21926">
        <w:rPr>
          <w:sz w:val="24"/>
          <w:szCs w:val="24"/>
        </w:rPr>
        <w:t>OAR’s Program Administration Staff conducts national quality reviews of claims processed at the Seattle, St. Petersburg, and Washington DC Decision Review Operations Centers (DROC).</w:t>
      </w:r>
    </w:p>
    <w:p w14:paraId="747A7F1E" w14:textId="77777777" w:rsidR="00B21926" w:rsidRPr="00B21926" w:rsidRDefault="00B21926" w:rsidP="00B21926">
      <w:pPr>
        <w:tabs>
          <w:tab w:val="left" w:pos="720"/>
        </w:tabs>
        <w:ind w:left="180"/>
        <w:rPr>
          <w:sz w:val="24"/>
          <w:szCs w:val="24"/>
        </w:rPr>
      </w:pPr>
    </w:p>
    <w:p w14:paraId="2DDD7521" w14:textId="586753EE" w:rsidR="00B21926" w:rsidRDefault="00B21926" w:rsidP="00B21926">
      <w:pPr>
        <w:tabs>
          <w:tab w:val="left" w:pos="720"/>
        </w:tabs>
        <w:ind w:left="180"/>
        <w:rPr>
          <w:sz w:val="24"/>
          <w:szCs w:val="24"/>
        </w:rPr>
      </w:pPr>
      <w:r w:rsidRPr="00B21926">
        <w:rPr>
          <w:sz w:val="24"/>
          <w:szCs w:val="24"/>
        </w:rPr>
        <w:t xml:space="preserve">OAR conducted national quality reviews for </w:t>
      </w:r>
      <w:r w:rsidR="0018697E">
        <w:rPr>
          <w:sz w:val="24"/>
          <w:szCs w:val="24"/>
        </w:rPr>
        <w:t xml:space="preserve">FY22 </w:t>
      </w:r>
      <w:r w:rsidRPr="00B21926">
        <w:rPr>
          <w:sz w:val="24"/>
          <w:szCs w:val="24"/>
        </w:rPr>
        <w:t xml:space="preserve">(October 2021 through September 2022) on random samples of 551 cases composed of compensation and 199 cases composed of pension rating and authorization workload.  </w:t>
      </w:r>
    </w:p>
    <w:p w14:paraId="7332077C" w14:textId="77777777" w:rsidR="00B21926" w:rsidRDefault="00B21926" w:rsidP="00B21926">
      <w:pPr>
        <w:tabs>
          <w:tab w:val="left" w:pos="720"/>
        </w:tabs>
        <w:ind w:left="180"/>
        <w:rPr>
          <w:sz w:val="24"/>
          <w:szCs w:val="24"/>
        </w:rPr>
      </w:pPr>
    </w:p>
    <w:p w14:paraId="5BED44F3" w14:textId="77777777" w:rsidR="00B21926" w:rsidRDefault="00B21926" w:rsidP="00B21926">
      <w:pPr>
        <w:tabs>
          <w:tab w:val="left" w:pos="720"/>
        </w:tabs>
        <w:ind w:left="180"/>
        <w:rPr>
          <w:sz w:val="24"/>
          <w:szCs w:val="24"/>
        </w:rPr>
      </w:pPr>
      <w:r w:rsidRPr="00B21926">
        <w:rPr>
          <w:sz w:val="24"/>
          <w:szCs w:val="24"/>
        </w:rPr>
        <w:t>OAR reviewed</w:t>
      </w:r>
      <w:r>
        <w:rPr>
          <w:sz w:val="24"/>
          <w:szCs w:val="24"/>
        </w:rPr>
        <w:t xml:space="preserve">: </w:t>
      </w:r>
    </w:p>
    <w:p w14:paraId="6059AAE6" w14:textId="77777777" w:rsidR="00B21926" w:rsidRPr="00B21926" w:rsidRDefault="00B21926" w:rsidP="00B21926">
      <w:pPr>
        <w:pStyle w:val="ListParagraph"/>
        <w:numPr>
          <w:ilvl w:val="0"/>
          <w:numId w:val="5"/>
        </w:numPr>
        <w:tabs>
          <w:tab w:val="left" w:pos="720"/>
        </w:tabs>
        <w:rPr>
          <w:sz w:val="24"/>
          <w:szCs w:val="24"/>
        </w:rPr>
      </w:pPr>
      <w:r w:rsidRPr="00B21926">
        <w:rPr>
          <w:sz w:val="24"/>
          <w:szCs w:val="24"/>
        </w:rPr>
        <w:t xml:space="preserve">432 compensation rating quality reviews </w:t>
      </w:r>
    </w:p>
    <w:p w14:paraId="1E1AF42E" w14:textId="77777777" w:rsidR="00B21926" w:rsidRPr="00B21926" w:rsidRDefault="00B21926" w:rsidP="00B21926">
      <w:pPr>
        <w:pStyle w:val="ListParagraph"/>
        <w:numPr>
          <w:ilvl w:val="0"/>
          <w:numId w:val="5"/>
        </w:numPr>
        <w:tabs>
          <w:tab w:val="left" w:pos="720"/>
        </w:tabs>
        <w:rPr>
          <w:sz w:val="24"/>
          <w:szCs w:val="24"/>
        </w:rPr>
      </w:pPr>
      <w:r w:rsidRPr="00B21926">
        <w:rPr>
          <w:sz w:val="24"/>
          <w:szCs w:val="24"/>
        </w:rPr>
        <w:t xml:space="preserve">119 compensation authorization quality reviews </w:t>
      </w:r>
    </w:p>
    <w:p w14:paraId="133EB29F" w14:textId="77777777" w:rsidR="00B21926" w:rsidRPr="00B21926" w:rsidRDefault="00B21926" w:rsidP="00B21926">
      <w:pPr>
        <w:pStyle w:val="ListParagraph"/>
        <w:numPr>
          <w:ilvl w:val="0"/>
          <w:numId w:val="5"/>
        </w:numPr>
        <w:tabs>
          <w:tab w:val="left" w:pos="720"/>
        </w:tabs>
        <w:rPr>
          <w:sz w:val="24"/>
          <w:szCs w:val="24"/>
        </w:rPr>
      </w:pPr>
      <w:r w:rsidRPr="00B21926">
        <w:rPr>
          <w:sz w:val="24"/>
          <w:szCs w:val="24"/>
        </w:rPr>
        <w:t xml:space="preserve">88 pension rating quality reviews </w:t>
      </w:r>
    </w:p>
    <w:p w14:paraId="65E0476B" w14:textId="1CB3E3ED" w:rsidR="00B21926" w:rsidRDefault="00B21926" w:rsidP="00B21926">
      <w:pPr>
        <w:pStyle w:val="ListParagraph"/>
        <w:numPr>
          <w:ilvl w:val="0"/>
          <w:numId w:val="5"/>
        </w:numPr>
        <w:tabs>
          <w:tab w:val="left" w:pos="720"/>
        </w:tabs>
        <w:rPr>
          <w:sz w:val="24"/>
          <w:szCs w:val="24"/>
        </w:rPr>
      </w:pPr>
      <w:r w:rsidRPr="00B21926">
        <w:rPr>
          <w:sz w:val="24"/>
          <w:szCs w:val="24"/>
        </w:rPr>
        <w:t>111 pension authorization quality reviews</w:t>
      </w:r>
    </w:p>
    <w:p w14:paraId="3C3BB59E" w14:textId="137C131F" w:rsidR="00B21926" w:rsidRDefault="00B21926" w:rsidP="00B21926">
      <w:pPr>
        <w:tabs>
          <w:tab w:val="left" w:pos="720"/>
        </w:tabs>
        <w:rPr>
          <w:sz w:val="24"/>
          <w:szCs w:val="24"/>
        </w:rPr>
      </w:pPr>
    </w:p>
    <w:p w14:paraId="44B09047" w14:textId="77777777" w:rsidR="0018697E" w:rsidRDefault="0018697E" w:rsidP="00B21926">
      <w:pPr>
        <w:tabs>
          <w:tab w:val="left" w:pos="720"/>
        </w:tabs>
        <w:ind w:left="180"/>
        <w:rPr>
          <w:b/>
          <w:bCs/>
          <w:sz w:val="24"/>
          <w:szCs w:val="24"/>
        </w:rPr>
      </w:pPr>
      <w:r>
        <w:rPr>
          <w:b/>
          <w:bCs/>
          <w:sz w:val="24"/>
          <w:szCs w:val="24"/>
        </w:rPr>
        <w:t>FY22 Compensation Rating National Quality Reviews</w:t>
      </w:r>
    </w:p>
    <w:p w14:paraId="4DDCF57B" w14:textId="0597B04A" w:rsidR="00B21926" w:rsidRPr="00B21926" w:rsidRDefault="00B21926" w:rsidP="00B21926">
      <w:pPr>
        <w:tabs>
          <w:tab w:val="left" w:pos="720"/>
        </w:tabs>
        <w:ind w:left="180"/>
        <w:rPr>
          <w:sz w:val="24"/>
          <w:szCs w:val="24"/>
        </w:rPr>
      </w:pPr>
      <w:r w:rsidRPr="00B21926">
        <w:rPr>
          <w:sz w:val="24"/>
          <w:szCs w:val="24"/>
        </w:rPr>
        <w:t>A total of 85 unique claims contained 58 benefit entitlement (BE) errors for an 86.6% FY22 accuracy rate (unweighted).  The issue-based accuracy is 93.3% (unweighted).</w:t>
      </w:r>
    </w:p>
    <w:p w14:paraId="61E2F5DD" w14:textId="77777777" w:rsidR="0018697E" w:rsidRDefault="00B21926" w:rsidP="0018697E">
      <w:pPr>
        <w:tabs>
          <w:tab w:val="left" w:pos="720"/>
        </w:tabs>
        <w:ind w:left="180"/>
        <w:rPr>
          <w:sz w:val="24"/>
          <w:szCs w:val="24"/>
        </w:rPr>
      </w:pPr>
      <w:r w:rsidRPr="00B21926">
        <w:rPr>
          <w:sz w:val="24"/>
          <w:szCs w:val="24"/>
        </w:rPr>
        <w:t>OAR identified BE error trends to include the following:</w:t>
      </w:r>
      <w:r w:rsidR="0018697E">
        <w:rPr>
          <w:sz w:val="24"/>
          <w:szCs w:val="24"/>
        </w:rPr>
        <w:t xml:space="preserve"> </w:t>
      </w:r>
    </w:p>
    <w:p w14:paraId="47D9AA50" w14:textId="77777777" w:rsidR="0018697E" w:rsidRPr="0018697E" w:rsidRDefault="00B21926" w:rsidP="009925DD">
      <w:pPr>
        <w:pStyle w:val="ListParagraph"/>
        <w:numPr>
          <w:ilvl w:val="0"/>
          <w:numId w:val="12"/>
        </w:numPr>
        <w:tabs>
          <w:tab w:val="left" w:pos="720"/>
        </w:tabs>
        <w:ind w:left="720" w:hanging="180"/>
        <w:rPr>
          <w:sz w:val="24"/>
          <w:szCs w:val="24"/>
        </w:rPr>
      </w:pPr>
      <w:r w:rsidRPr="0018697E">
        <w:rPr>
          <w:sz w:val="24"/>
          <w:szCs w:val="24"/>
        </w:rPr>
        <w:t>38 BE errors cited under Question 4 for not returning insufficient medical opinions and/or exams, failing to follow remand instructions, and failing to schedule required examinations.  For example, the DROC issued a SSOC prior to returning an insufficient medical opinion.  The medical opinion did not explain why there was no aggravation and did not comply with the Board’s directives.</w:t>
      </w:r>
      <w:r w:rsidR="0018697E" w:rsidRPr="0018697E">
        <w:rPr>
          <w:sz w:val="24"/>
          <w:szCs w:val="24"/>
        </w:rPr>
        <w:t xml:space="preserve"> </w:t>
      </w:r>
    </w:p>
    <w:p w14:paraId="4E635159" w14:textId="77777777" w:rsidR="0018697E" w:rsidRPr="0018697E" w:rsidRDefault="00B21926" w:rsidP="009925DD">
      <w:pPr>
        <w:pStyle w:val="ListParagraph"/>
        <w:numPr>
          <w:ilvl w:val="0"/>
          <w:numId w:val="12"/>
        </w:numPr>
        <w:tabs>
          <w:tab w:val="left" w:pos="720"/>
        </w:tabs>
        <w:ind w:left="720" w:hanging="180"/>
        <w:rPr>
          <w:sz w:val="24"/>
          <w:szCs w:val="24"/>
        </w:rPr>
      </w:pPr>
      <w:r w:rsidRPr="0018697E">
        <w:rPr>
          <w:sz w:val="24"/>
          <w:szCs w:val="24"/>
        </w:rPr>
        <w:t>9 BE errors cited under Question 6 related to incorrect percentage evaluations, to include under evaluating disabilities.  For example, rating decisions did not include favorable findings.  Also, a rating decision did not provide a summary of the evidence supporting the effective date for the grant of service connection.</w:t>
      </w:r>
      <w:r w:rsidR="0018697E" w:rsidRPr="0018697E">
        <w:rPr>
          <w:sz w:val="24"/>
          <w:szCs w:val="24"/>
        </w:rPr>
        <w:t xml:space="preserve"> </w:t>
      </w:r>
    </w:p>
    <w:p w14:paraId="360B4CC9" w14:textId="77777777" w:rsidR="0018697E" w:rsidRPr="0018697E" w:rsidRDefault="00B21926" w:rsidP="009925DD">
      <w:pPr>
        <w:pStyle w:val="ListParagraph"/>
        <w:numPr>
          <w:ilvl w:val="0"/>
          <w:numId w:val="12"/>
        </w:numPr>
        <w:tabs>
          <w:tab w:val="left" w:pos="720"/>
        </w:tabs>
        <w:ind w:left="720" w:hanging="180"/>
        <w:rPr>
          <w:sz w:val="24"/>
          <w:szCs w:val="24"/>
        </w:rPr>
      </w:pPr>
      <w:r w:rsidRPr="0018697E">
        <w:rPr>
          <w:sz w:val="24"/>
          <w:szCs w:val="24"/>
        </w:rPr>
        <w:t>8 BE errors cited under Question 7 for assigning incorrect effective dates affecting payment.</w:t>
      </w:r>
      <w:r w:rsidR="0018697E" w:rsidRPr="0018697E">
        <w:rPr>
          <w:sz w:val="24"/>
          <w:szCs w:val="24"/>
        </w:rPr>
        <w:t xml:space="preserve"> </w:t>
      </w:r>
    </w:p>
    <w:p w14:paraId="6E2E8246" w14:textId="77777777" w:rsidR="0018697E" w:rsidRPr="0018697E" w:rsidRDefault="00B21926" w:rsidP="009925DD">
      <w:pPr>
        <w:pStyle w:val="ListParagraph"/>
        <w:numPr>
          <w:ilvl w:val="0"/>
          <w:numId w:val="12"/>
        </w:numPr>
        <w:tabs>
          <w:tab w:val="left" w:pos="720"/>
        </w:tabs>
        <w:ind w:left="720" w:hanging="180"/>
        <w:rPr>
          <w:sz w:val="24"/>
          <w:szCs w:val="24"/>
        </w:rPr>
      </w:pPr>
      <w:r w:rsidRPr="0018697E">
        <w:rPr>
          <w:sz w:val="24"/>
          <w:szCs w:val="24"/>
        </w:rPr>
        <w:t>5 BE errors cited under Question 1 for failing to address and decide all claimed issues.  For example, a Rating Decision failed to address the issue of service connection for the Veteran’s cause of death.</w:t>
      </w:r>
      <w:r w:rsidR="0018697E" w:rsidRPr="0018697E">
        <w:rPr>
          <w:sz w:val="24"/>
          <w:szCs w:val="24"/>
        </w:rPr>
        <w:t xml:space="preserve"> </w:t>
      </w:r>
    </w:p>
    <w:p w14:paraId="084649F6" w14:textId="77777777" w:rsidR="0018697E" w:rsidRPr="0018697E" w:rsidRDefault="00B21926" w:rsidP="0018697E">
      <w:pPr>
        <w:pStyle w:val="ListParagraph"/>
        <w:numPr>
          <w:ilvl w:val="0"/>
          <w:numId w:val="12"/>
        </w:numPr>
        <w:tabs>
          <w:tab w:val="left" w:pos="720"/>
        </w:tabs>
        <w:rPr>
          <w:sz w:val="24"/>
          <w:szCs w:val="24"/>
        </w:rPr>
      </w:pPr>
      <w:r w:rsidRPr="0018697E">
        <w:rPr>
          <w:sz w:val="24"/>
          <w:szCs w:val="24"/>
        </w:rPr>
        <w:lastRenderedPageBreak/>
        <w:t>4 BE errors cited under Question 5 for failing to correctly grant or deny all issues.</w:t>
      </w:r>
      <w:r w:rsidR="0018697E" w:rsidRPr="0018697E">
        <w:rPr>
          <w:sz w:val="24"/>
          <w:szCs w:val="24"/>
        </w:rPr>
        <w:t xml:space="preserve"> </w:t>
      </w:r>
    </w:p>
    <w:p w14:paraId="6BDBFD00" w14:textId="6A42305D" w:rsidR="00B21926" w:rsidRPr="0018697E" w:rsidRDefault="00B21926" w:rsidP="00C47F79">
      <w:pPr>
        <w:pStyle w:val="ListParagraph"/>
        <w:numPr>
          <w:ilvl w:val="0"/>
          <w:numId w:val="12"/>
        </w:numPr>
        <w:tabs>
          <w:tab w:val="left" w:pos="720"/>
        </w:tabs>
        <w:ind w:left="720" w:hanging="180"/>
        <w:rPr>
          <w:sz w:val="24"/>
          <w:szCs w:val="24"/>
        </w:rPr>
      </w:pPr>
      <w:r w:rsidRPr="0018697E">
        <w:rPr>
          <w:sz w:val="24"/>
          <w:szCs w:val="24"/>
        </w:rPr>
        <w:t>3 BE errors cited under Question 2 for failing to address all inferred and/or ancillary issues.</w:t>
      </w:r>
    </w:p>
    <w:p w14:paraId="23873DC8" w14:textId="77777777" w:rsidR="0018697E" w:rsidRDefault="0018697E" w:rsidP="00B21926">
      <w:pPr>
        <w:tabs>
          <w:tab w:val="left" w:pos="720"/>
        </w:tabs>
        <w:ind w:left="180"/>
        <w:rPr>
          <w:sz w:val="24"/>
          <w:szCs w:val="24"/>
        </w:rPr>
      </w:pPr>
    </w:p>
    <w:p w14:paraId="6A1EF227" w14:textId="77777777" w:rsidR="00C47F79" w:rsidRDefault="00B21926" w:rsidP="00C47F79">
      <w:pPr>
        <w:tabs>
          <w:tab w:val="left" w:pos="720"/>
        </w:tabs>
        <w:ind w:left="180"/>
        <w:rPr>
          <w:sz w:val="24"/>
          <w:szCs w:val="24"/>
        </w:rPr>
      </w:pPr>
      <w:r w:rsidRPr="00B21926">
        <w:rPr>
          <w:sz w:val="24"/>
          <w:szCs w:val="24"/>
        </w:rPr>
        <w:t>In addition to the FY22 BE compensation rating error trends, OAR also identified the following compensation rating error trends for FY22:</w:t>
      </w:r>
      <w:r w:rsidR="00C47F79">
        <w:rPr>
          <w:sz w:val="24"/>
          <w:szCs w:val="24"/>
        </w:rPr>
        <w:t xml:space="preserve"> </w:t>
      </w:r>
    </w:p>
    <w:p w14:paraId="19E159F2" w14:textId="77777777" w:rsidR="00C47F79" w:rsidRPr="00C47F79" w:rsidRDefault="00B21926" w:rsidP="00C47F79">
      <w:pPr>
        <w:pStyle w:val="ListParagraph"/>
        <w:numPr>
          <w:ilvl w:val="0"/>
          <w:numId w:val="13"/>
        </w:numPr>
        <w:tabs>
          <w:tab w:val="left" w:pos="720"/>
        </w:tabs>
        <w:ind w:left="720" w:hanging="180"/>
        <w:rPr>
          <w:sz w:val="24"/>
          <w:szCs w:val="24"/>
        </w:rPr>
      </w:pPr>
      <w:r w:rsidRPr="00C47F79">
        <w:rPr>
          <w:sz w:val="24"/>
          <w:szCs w:val="24"/>
        </w:rPr>
        <w:t>13 non-critical errors cited under Question 9 related to improper decision documentation.  The errors related to decision makers failing to address the bases of the decisions.</w:t>
      </w:r>
      <w:r w:rsidR="00C47F79" w:rsidRPr="00C47F79">
        <w:rPr>
          <w:sz w:val="24"/>
          <w:szCs w:val="24"/>
        </w:rPr>
        <w:t xml:space="preserve"> </w:t>
      </w:r>
    </w:p>
    <w:p w14:paraId="1CCB7FAA" w14:textId="49441EB8" w:rsidR="00B21926" w:rsidRPr="00C47F79" w:rsidRDefault="00B21926" w:rsidP="00C47F79">
      <w:pPr>
        <w:pStyle w:val="ListParagraph"/>
        <w:numPr>
          <w:ilvl w:val="0"/>
          <w:numId w:val="13"/>
        </w:numPr>
        <w:tabs>
          <w:tab w:val="left" w:pos="720"/>
        </w:tabs>
        <w:ind w:left="720" w:hanging="180"/>
        <w:rPr>
          <w:sz w:val="24"/>
          <w:szCs w:val="24"/>
        </w:rPr>
      </w:pPr>
      <w:r w:rsidRPr="00C47F79">
        <w:rPr>
          <w:sz w:val="24"/>
          <w:szCs w:val="24"/>
        </w:rPr>
        <w:t xml:space="preserve">13 non-critical errors cited under Question 16 related to incorrect rating comments for the </w:t>
      </w:r>
      <w:proofErr w:type="gramStart"/>
      <w:r w:rsidR="00697797">
        <w:rPr>
          <w:sz w:val="24"/>
          <w:szCs w:val="24"/>
        </w:rPr>
        <w:t>end product</w:t>
      </w:r>
      <w:proofErr w:type="gramEnd"/>
      <w:r w:rsidR="00697797">
        <w:rPr>
          <w:sz w:val="24"/>
          <w:szCs w:val="24"/>
        </w:rPr>
        <w:t xml:space="preserve"> (</w:t>
      </w:r>
      <w:r w:rsidRPr="00C47F79">
        <w:rPr>
          <w:sz w:val="24"/>
          <w:szCs w:val="24"/>
        </w:rPr>
        <w:t>EP</w:t>
      </w:r>
      <w:r w:rsidR="00697797">
        <w:rPr>
          <w:sz w:val="24"/>
          <w:szCs w:val="24"/>
        </w:rPr>
        <w:t>)</w:t>
      </w:r>
      <w:r w:rsidRPr="00C47F79">
        <w:rPr>
          <w:sz w:val="24"/>
          <w:szCs w:val="24"/>
        </w:rPr>
        <w:t xml:space="preserve"> under review.  For example, the evidence section of the</w:t>
      </w:r>
      <w:r w:rsidR="00C47F79" w:rsidRPr="00C47F79">
        <w:rPr>
          <w:sz w:val="24"/>
          <w:szCs w:val="24"/>
        </w:rPr>
        <w:t xml:space="preserve"> </w:t>
      </w:r>
      <w:r w:rsidRPr="00C47F79">
        <w:rPr>
          <w:sz w:val="24"/>
          <w:szCs w:val="24"/>
        </w:rPr>
        <w:t xml:space="preserve">Supplemental Statement of the Case (SSOC) did not include documentation of all relevant evidence.  </w:t>
      </w:r>
    </w:p>
    <w:p w14:paraId="19F65B3D" w14:textId="59F6B5B2" w:rsidR="00B21926" w:rsidRDefault="00B21926" w:rsidP="00B21926">
      <w:pPr>
        <w:tabs>
          <w:tab w:val="left" w:pos="720"/>
        </w:tabs>
        <w:ind w:left="180"/>
        <w:rPr>
          <w:sz w:val="24"/>
          <w:szCs w:val="24"/>
        </w:rPr>
      </w:pPr>
    </w:p>
    <w:p w14:paraId="286CE943" w14:textId="738C0FC8" w:rsidR="00C47F79" w:rsidRDefault="00C47F79" w:rsidP="00C47F79">
      <w:pPr>
        <w:tabs>
          <w:tab w:val="left" w:pos="720"/>
        </w:tabs>
        <w:ind w:left="180"/>
        <w:rPr>
          <w:b/>
          <w:bCs/>
          <w:sz w:val="24"/>
          <w:szCs w:val="24"/>
        </w:rPr>
      </w:pPr>
      <w:r>
        <w:rPr>
          <w:b/>
          <w:bCs/>
          <w:sz w:val="24"/>
          <w:szCs w:val="24"/>
        </w:rPr>
        <w:t xml:space="preserve">FY22 Compensation Rating National Quality Reviews Summary </w:t>
      </w:r>
    </w:p>
    <w:p w14:paraId="46888369" w14:textId="77777777" w:rsidR="00E36A32" w:rsidRDefault="00B21926" w:rsidP="00B21926">
      <w:pPr>
        <w:tabs>
          <w:tab w:val="left" w:pos="720"/>
        </w:tabs>
        <w:ind w:left="180"/>
        <w:rPr>
          <w:sz w:val="24"/>
          <w:szCs w:val="24"/>
        </w:rPr>
      </w:pPr>
      <w:r w:rsidRPr="00B21926">
        <w:rPr>
          <w:sz w:val="24"/>
          <w:szCs w:val="24"/>
        </w:rPr>
        <w:t>The top BE error trend for FY22 at the DC and St. Petersburg DROCs is Question 4, VCAA compliant development to obtain all indicated evidence.</w:t>
      </w:r>
      <w:r w:rsidR="00E36A32">
        <w:rPr>
          <w:sz w:val="24"/>
          <w:szCs w:val="24"/>
        </w:rPr>
        <w:t xml:space="preserve"> </w:t>
      </w:r>
    </w:p>
    <w:p w14:paraId="4D898195" w14:textId="04337E7F" w:rsidR="00B21926" w:rsidRPr="00E36A32" w:rsidRDefault="00B21926" w:rsidP="00E36A32">
      <w:pPr>
        <w:pStyle w:val="ListParagraph"/>
        <w:numPr>
          <w:ilvl w:val="0"/>
          <w:numId w:val="14"/>
        </w:numPr>
        <w:tabs>
          <w:tab w:val="left" w:pos="720"/>
        </w:tabs>
        <w:ind w:left="720" w:hanging="180"/>
        <w:rPr>
          <w:sz w:val="24"/>
          <w:szCs w:val="24"/>
        </w:rPr>
      </w:pPr>
      <w:r w:rsidRPr="00E36A32">
        <w:rPr>
          <w:sz w:val="24"/>
          <w:szCs w:val="24"/>
        </w:rPr>
        <w:t>DROC DC accounted for 85% of the errors, and St. Petersburg DROC accounted for 15% of the errors in FY22.</w:t>
      </w:r>
    </w:p>
    <w:p w14:paraId="2F3D183B" w14:textId="42E237E4" w:rsidR="00B21926" w:rsidRPr="00E36A32" w:rsidRDefault="00B21926" w:rsidP="00E36A32">
      <w:pPr>
        <w:pStyle w:val="ListParagraph"/>
        <w:numPr>
          <w:ilvl w:val="0"/>
          <w:numId w:val="14"/>
        </w:numPr>
        <w:tabs>
          <w:tab w:val="left" w:pos="720"/>
        </w:tabs>
        <w:ind w:left="720" w:hanging="180"/>
        <w:rPr>
          <w:sz w:val="24"/>
          <w:szCs w:val="24"/>
        </w:rPr>
      </w:pPr>
      <w:r w:rsidRPr="00E36A32">
        <w:rPr>
          <w:sz w:val="24"/>
          <w:szCs w:val="24"/>
        </w:rPr>
        <w:t>Most of the errors relate to insufficient medical opinions/exams and failure to comply with Board remand directives.</w:t>
      </w:r>
    </w:p>
    <w:p w14:paraId="7B86FA0B" w14:textId="77777777" w:rsidR="00E36A32" w:rsidRPr="00B21926" w:rsidRDefault="00E36A32" w:rsidP="00B21926">
      <w:pPr>
        <w:tabs>
          <w:tab w:val="left" w:pos="720"/>
        </w:tabs>
        <w:ind w:left="180"/>
        <w:rPr>
          <w:sz w:val="24"/>
          <w:szCs w:val="24"/>
        </w:rPr>
      </w:pPr>
    </w:p>
    <w:p w14:paraId="55D766E0" w14:textId="77777777" w:rsidR="00B21926" w:rsidRPr="00B21926" w:rsidRDefault="00B21926" w:rsidP="00B21926">
      <w:pPr>
        <w:tabs>
          <w:tab w:val="left" w:pos="720"/>
        </w:tabs>
        <w:ind w:left="180"/>
        <w:rPr>
          <w:sz w:val="24"/>
          <w:szCs w:val="24"/>
        </w:rPr>
      </w:pPr>
      <w:r w:rsidRPr="00B21926">
        <w:rPr>
          <w:sz w:val="24"/>
          <w:szCs w:val="24"/>
        </w:rPr>
        <w:t>OAR identified Question 9, proper rating decision documentation, and Question 16, correct rating comments, as the top non-critical rating errors in FY 2022.</w:t>
      </w:r>
    </w:p>
    <w:p w14:paraId="4392783D" w14:textId="77777777" w:rsidR="00B21926" w:rsidRPr="00E36A32" w:rsidRDefault="00B21926" w:rsidP="00E36A32">
      <w:pPr>
        <w:pStyle w:val="ListParagraph"/>
        <w:numPr>
          <w:ilvl w:val="0"/>
          <w:numId w:val="15"/>
        </w:numPr>
        <w:tabs>
          <w:tab w:val="left" w:pos="720"/>
        </w:tabs>
        <w:ind w:left="720" w:hanging="180"/>
        <w:rPr>
          <w:sz w:val="24"/>
          <w:szCs w:val="24"/>
        </w:rPr>
      </w:pPr>
      <w:r w:rsidRPr="00E36A32">
        <w:rPr>
          <w:sz w:val="24"/>
          <w:szCs w:val="24"/>
        </w:rPr>
        <w:t>The errors cited under Question 9 relate to decision makers failing to address the bases of the decisions and failing to provide summaries of the considered evidence.</w:t>
      </w:r>
    </w:p>
    <w:p w14:paraId="651BA655" w14:textId="77777777" w:rsidR="00B21926" w:rsidRPr="00E36A32" w:rsidRDefault="00B21926" w:rsidP="00E36A32">
      <w:pPr>
        <w:pStyle w:val="ListParagraph"/>
        <w:numPr>
          <w:ilvl w:val="0"/>
          <w:numId w:val="15"/>
        </w:numPr>
        <w:tabs>
          <w:tab w:val="left" w:pos="720"/>
        </w:tabs>
        <w:ind w:left="720" w:hanging="180"/>
        <w:rPr>
          <w:sz w:val="24"/>
          <w:szCs w:val="24"/>
        </w:rPr>
      </w:pPr>
      <w:r w:rsidRPr="00E36A32">
        <w:rPr>
          <w:sz w:val="24"/>
          <w:szCs w:val="24"/>
        </w:rPr>
        <w:t>The errors cited under Question 16 varied, and there is no clear trend in the reasons for citing errors under this question.</w:t>
      </w:r>
    </w:p>
    <w:p w14:paraId="19754C24" w14:textId="63E77278" w:rsidR="00B21926" w:rsidRDefault="00B21926" w:rsidP="00B21926">
      <w:pPr>
        <w:tabs>
          <w:tab w:val="left" w:pos="720"/>
        </w:tabs>
        <w:ind w:left="180"/>
        <w:rPr>
          <w:sz w:val="24"/>
          <w:szCs w:val="24"/>
        </w:rPr>
      </w:pPr>
    </w:p>
    <w:p w14:paraId="0EF07D9D" w14:textId="4E90A5BB" w:rsidR="004F1935" w:rsidRDefault="004F1935" w:rsidP="00B21926">
      <w:pPr>
        <w:tabs>
          <w:tab w:val="left" w:pos="720"/>
        </w:tabs>
        <w:ind w:left="180"/>
        <w:rPr>
          <w:b/>
          <w:bCs/>
          <w:sz w:val="24"/>
          <w:szCs w:val="24"/>
        </w:rPr>
      </w:pPr>
      <w:r>
        <w:rPr>
          <w:b/>
          <w:bCs/>
          <w:sz w:val="24"/>
          <w:szCs w:val="24"/>
        </w:rPr>
        <w:t>FY22 Compensation Authorization National Quality Reviews</w:t>
      </w:r>
    </w:p>
    <w:p w14:paraId="26A8BF09" w14:textId="429EF6CF" w:rsidR="00B21926" w:rsidRDefault="00B21926" w:rsidP="00B21926">
      <w:pPr>
        <w:tabs>
          <w:tab w:val="left" w:pos="720"/>
        </w:tabs>
        <w:ind w:left="180"/>
        <w:rPr>
          <w:sz w:val="24"/>
          <w:szCs w:val="24"/>
        </w:rPr>
      </w:pPr>
      <w:r w:rsidRPr="00B21926">
        <w:rPr>
          <w:sz w:val="24"/>
          <w:szCs w:val="24"/>
        </w:rPr>
        <w:t>A total of 12 unique claims contained 12 errors, 3 of which contained 3 BE errors.</w:t>
      </w:r>
      <w:r w:rsidR="004F1935">
        <w:rPr>
          <w:sz w:val="24"/>
          <w:szCs w:val="24"/>
        </w:rPr>
        <w:t xml:space="preserve"> </w:t>
      </w:r>
      <w:r w:rsidRPr="00B21926">
        <w:rPr>
          <w:sz w:val="24"/>
          <w:szCs w:val="24"/>
        </w:rPr>
        <w:t>The unweighted compensation authorization BE accuracy for FY22 is 97.5%.</w:t>
      </w:r>
    </w:p>
    <w:p w14:paraId="7C437009" w14:textId="77777777" w:rsidR="004F1935" w:rsidRPr="00B21926" w:rsidRDefault="004F1935" w:rsidP="00B21926">
      <w:pPr>
        <w:tabs>
          <w:tab w:val="left" w:pos="720"/>
        </w:tabs>
        <w:ind w:left="180"/>
        <w:rPr>
          <w:sz w:val="24"/>
          <w:szCs w:val="24"/>
        </w:rPr>
      </w:pPr>
    </w:p>
    <w:p w14:paraId="32B58088" w14:textId="30D79473" w:rsidR="00B21926" w:rsidRDefault="00B21926" w:rsidP="00B21926">
      <w:pPr>
        <w:tabs>
          <w:tab w:val="left" w:pos="720"/>
        </w:tabs>
        <w:ind w:left="180"/>
        <w:rPr>
          <w:sz w:val="24"/>
          <w:szCs w:val="24"/>
        </w:rPr>
      </w:pPr>
      <w:r w:rsidRPr="00B21926">
        <w:rPr>
          <w:sz w:val="24"/>
          <w:szCs w:val="24"/>
        </w:rPr>
        <w:t xml:space="preserve">OAR did not identify any specific BE error trends but identified the following non-critical error trend: four non-critical errors under Task 12 for incorrect completion of actions not associated with the </w:t>
      </w:r>
      <w:r w:rsidR="00482962">
        <w:rPr>
          <w:sz w:val="24"/>
          <w:szCs w:val="24"/>
        </w:rPr>
        <w:t>EP</w:t>
      </w:r>
      <w:r w:rsidRPr="00B21926">
        <w:rPr>
          <w:sz w:val="24"/>
          <w:szCs w:val="24"/>
        </w:rPr>
        <w:t xml:space="preserve"> under review.</w:t>
      </w:r>
    </w:p>
    <w:p w14:paraId="24AB25DC" w14:textId="77777777" w:rsidR="004F1935" w:rsidRPr="00B21926" w:rsidRDefault="004F1935" w:rsidP="00B21926">
      <w:pPr>
        <w:tabs>
          <w:tab w:val="left" w:pos="720"/>
        </w:tabs>
        <w:ind w:left="180"/>
        <w:rPr>
          <w:sz w:val="24"/>
          <w:szCs w:val="24"/>
        </w:rPr>
      </w:pPr>
    </w:p>
    <w:p w14:paraId="7810A716" w14:textId="0EEEC2DF" w:rsidR="00B21926" w:rsidRPr="00B21926" w:rsidRDefault="00B21926" w:rsidP="00B21926">
      <w:pPr>
        <w:tabs>
          <w:tab w:val="left" w:pos="720"/>
        </w:tabs>
        <w:ind w:left="180"/>
        <w:rPr>
          <w:sz w:val="24"/>
          <w:szCs w:val="24"/>
        </w:rPr>
      </w:pPr>
      <w:r w:rsidRPr="00B21926">
        <w:rPr>
          <w:sz w:val="24"/>
          <w:szCs w:val="24"/>
        </w:rPr>
        <w:t>Although OAR cited 2 errors under Tasks 1, 7, and 10 for FY 2022, OAR did not identify any non-critical error trends under these tasks as the errors were not reoccurring for a specific DROC throughout FY22.</w:t>
      </w:r>
    </w:p>
    <w:p w14:paraId="411F492C" w14:textId="1EF04FDC" w:rsidR="004F1935" w:rsidRDefault="004F1935">
      <w:pPr>
        <w:rPr>
          <w:sz w:val="24"/>
          <w:szCs w:val="24"/>
        </w:rPr>
      </w:pPr>
      <w:r>
        <w:rPr>
          <w:sz w:val="24"/>
          <w:szCs w:val="24"/>
        </w:rPr>
        <w:br w:type="page"/>
      </w:r>
    </w:p>
    <w:p w14:paraId="04347EE2" w14:textId="5CD7B3EB" w:rsidR="00B21926" w:rsidRPr="004F1935" w:rsidRDefault="004F1935" w:rsidP="00B21926">
      <w:pPr>
        <w:tabs>
          <w:tab w:val="left" w:pos="720"/>
        </w:tabs>
        <w:ind w:left="180"/>
        <w:rPr>
          <w:b/>
          <w:bCs/>
          <w:sz w:val="24"/>
          <w:szCs w:val="24"/>
        </w:rPr>
      </w:pPr>
      <w:r>
        <w:rPr>
          <w:b/>
          <w:bCs/>
          <w:sz w:val="24"/>
          <w:szCs w:val="24"/>
        </w:rPr>
        <w:lastRenderedPageBreak/>
        <w:t>FY22 Compensation Authorization National Quality Reviews</w:t>
      </w:r>
    </w:p>
    <w:p w14:paraId="18C1C099" w14:textId="77777777" w:rsidR="00B21926" w:rsidRPr="00B21926" w:rsidRDefault="00B21926" w:rsidP="00B21926">
      <w:pPr>
        <w:tabs>
          <w:tab w:val="left" w:pos="720"/>
        </w:tabs>
        <w:ind w:left="180"/>
        <w:rPr>
          <w:sz w:val="24"/>
          <w:szCs w:val="24"/>
        </w:rPr>
      </w:pPr>
      <w:r w:rsidRPr="00B21926">
        <w:rPr>
          <w:sz w:val="24"/>
          <w:szCs w:val="24"/>
        </w:rPr>
        <w:t>OAR did not identify any significant BE error trends during the review period.</w:t>
      </w:r>
    </w:p>
    <w:p w14:paraId="51159D33" w14:textId="77777777" w:rsidR="004F1935" w:rsidRDefault="004F1935" w:rsidP="00B21926">
      <w:pPr>
        <w:tabs>
          <w:tab w:val="left" w:pos="720"/>
        </w:tabs>
        <w:ind w:left="180"/>
        <w:rPr>
          <w:sz w:val="24"/>
          <w:szCs w:val="24"/>
        </w:rPr>
      </w:pPr>
    </w:p>
    <w:p w14:paraId="581ECF25" w14:textId="6D05E013" w:rsidR="004F1935" w:rsidRDefault="00B21926" w:rsidP="004F1935">
      <w:pPr>
        <w:tabs>
          <w:tab w:val="left" w:pos="720"/>
        </w:tabs>
        <w:ind w:left="180"/>
        <w:rPr>
          <w:sz w:val="24"/>
          <w:szCs w:val="24"/>
        </w:rPr>
      </w:pPr>
      <w:r w:rsidRPr="00B21926">
        <w:rPr>
          <w:sz w:val="24"/>
          <w:szCs w:val="24"/>
        </w:rPr>
        <w:t xml:space="preserve">OAR identified Task 12, correct completion of actions not associated with the </w:t>
      </w:r>
      <w:r w:rsidR="000C57DC">
        <w:rPr>
          <w:sz w:val="24"/>
          <w:szCs w:val="24"/>
        </w:rPr>
        <w:t>EP</w:t>
      </w:r>
      <w:r w:rsidRPr="00B21926">
        <w:rPr>
          <w:sz w:val="24"/>
          <w:szCs w:val="24"/>
        </w:rPr>
        <w:t xml:space="preserve"> under review, as the top non-critical compensation authorization error for FY22.</w:t>
      </w:r>
      <w:r w:rsidR="004F1935">
        <w:rPr>
          <w:sz w:val="24"/>
          <w:szCs w:val="24"/>
        </w:rPr>
        <w:t xml:space="preserve"> </w:t>
      </w:r>
    </w:p>
    <w:p w14:paraId="508F5A7A" w14:textId="77777777" w:rsidR="004F1935" w:rsidRPr="004F1935" w:rsidRDefault="00B21926" w:rsidP="004F1935">
      <w:pPr>
        <w:pStyle w:val="ListParagraph"/>
        <w:numPr>
          <w:ilvl w:val="0"/>
          <w:numId w:val="16"/>
        </w:numPr>
        <w:tabs>
          <w:tab w:val="left" w:pos="720"/>
        </w:tabs>
        <w:ind w:left="720" w:hanging="180"/>
        <w:rPr>
          <w:sz w:val="24"/>
          <w:szCs w:val="24"/>
        </w:rPr>
      </w:pPr>
      <w:r w:rsidRPr="004F1935">
        <w:rPr>
          <w:sz w:val="24"/>
          <w:szCs w:val="24"/>
        </w:rPr>
        <w:t>Seattle DROC accounted for 50% and DROC DC accounted for the remaining 50% of non-critical errors/comments cited under Task 12 for FY22.</w:t>
      </w:r>
    </w:p>
    <w:p w14:paraId="69A600D0" w14:textId="7AE8D063" w:rsidR="00B21926" w:rsidRPr="004F1935" w:rsidRDefault="00B21926" w:rsidP="004F1935">
      <w:pPr>
        <w:pStyle w:val="ListParagraph"/>
        <w:numPr>
          <w:ilvl w:val="0"/>
          <w:numId w:val="16"/>
        </w:numPr>
        <w:tabs>
          <w:tab w:val="left" w:pos="720"/>
        </w:tabs>
        <w:ind w:left="720" w:hanging="180"/>
        <w:rPr>
          <w:sz w:val="24"/>
          <w:szCs w:val="24"/>
        </w:rPr>
      </w:pPr>
      <w:r w:rsidRPr="004F1935">
        <w:rPr>
          <w:sz w:val="24"/>
          <w:szCs w:val="24"/>
        </w:rPr>
        <w:t>OAR cited non-critical errors/comments under Task 12 for the following: failure to establish the EP 040, application of an erroneous end date for Chapter 35 Dependents Educational Assistance (DEA), failure to send the request for waiver to the Debt Management Center (DMC), and failure to obtain the correct address following receipt of notification of undeliverable mail.</w:t>
      </w:r>
    </w:p>
    <w:p w14:paraId="29EC0E97" w14:textId="776944A0" w:rsidR="00B21926" w:rsidRDefault="00B21926" w:rsidP="00B21926">
      <w:pPr>
        <w:tabs>
          <w:tab w:val="left" w:pos="720"/>
        </w:tabs>
        <w:ind w:left="180"/>
        <w:rPr>
          <w:sz w:val="24"/>
          <w:szCs w:val="24"/>
        </w:rPr>
      </w:pPr>
    </w:p>
    <w:p w14:paraId="2102EC7E" w14:textId="77777777" w:rsidR="00477931" w:rsidRDefault="00477931" w:rsidP="00B21926">
      <w:pPr>
        <w:tabs>
          <w:tab w:val="left" w:pos="720"/>
        </w:tabs>
        <w:ind w:left="180"/>
        <w:rPr>
          <w:b/>
          <w:bCs/>
          <w:sz w:val="24"/>
          <w:szCs w:val="24"/>
        </w:rPr>
      </w:pPr>
      <w:r>
        <w:rPr>
          <w:b/>
          <w:bCs/>
          <w:sz w:val="24"/>
          <w:szCs w:val="24"/>
        </w:rPr>
        <w:t>FY22 Pension Rating National Quality Reviews</w:t>
      </w:r>
    </w:p>
    <w:p w14:paraId="572FC378" w14:textId="06B214CA" w:rsidR="00B21926" w:rsidRDefault="00B21926" w:rsidP="00B21926">
      <w:pPr>
        <w:tabs>
          <w:tab w:val="left" w:pos="720"/>
        </w:tabs>
        <w:ind w:left="180"/>
        <w:rPr>
          <w:sz w:val="24"/>
          <w:szCs w:val="24"/>
        </w:rPr>
      </w:pPr>
      <w:r w:rsidRPr="00B21926">
        <w:rPr>
          <w:sz w:val="24"/>
          <w:szCs w:val="24"/>
        </w:rPr>
        <w:t>A total 15 unique claims contained errors, 5 of which contained BE errors.</w:t>
      </w:r>
      <w:r w:rsidR="000C57DC">
        <w:rPr>
          <w:sz w:val="24"/>
          <w:szCs w:val="24"/>
        </w:rPr>
        <w:t xml:space="preserve"> </w:t>
      </w:r>
      <w:r w:rsidRPr="00B21926">
        <w:rPr>
          <w:sz w:val="24"/>
          <w:szCs w:val="24"/>
        </w:rPr>
        <w:t>The pension rating BE accuracy (unweighted) for the review period is 94.3%, and the issue-based accuracy is 96.4%</w:t>
      </w:r>
    </w:p>
    <w:p w14:paraId="78D4482B" w14:textId="77777777" w:rsidR="000C57DC" w:rsidRPr="00B21926" w:rsidRDefault="000C57DC" w:rsidP="00B21926">
      <w:pPr>
        <w:tabs>
          <w:tab w:val="left" w:pos="720"/>
        </w:tabs>
        <w:ind w:left="180"/>
        <w:rPr>
          <w:sz w:val="24"/>
          <w:szCs w:val="24"/>
        </w:rPr>
      </w:pPr>
    </w:p>
    <w:p w14:paraId="5E6ABD11" w14:textId="36A0A499" w:rsidR="00B21926" w:rsidRPr="00B21926" w:rsidRDefault="00B21926" w:rsidP="00B21926">
      <w:pPr>
        <w:tabs>
          <w:tab w:val="left" w:pos="720"/>
        </w:tabs>
        <w:ind w:left="180"/>
        <w:rPr>
          <w:sz w:val="24"/>
          <w:szCs w:val="24"/>
        </w:rPr>
      </w:pPr>
      <w:r w:rsidRPr="00B21926">
        <w:rPr>
          <w:sz w:val="24"/>
          <w:szCs w:val="24"/>
        </w:rPr>
        <w:t xml:space="preserve">While OAR cited two BE errors during FY22 under Question 1 for failure to address and decide all claimed issues, OAR did not identify any significant pension rating BE error trends for FY22. </w:t>
      </w:r>
    </w:p>
    <w:p w14:paraId="1C7AB898" w14:textId="5601B160" w:rsidR="00B21926" w:rsidRDefault="00B21926" w:rsidP="00B21926">
      <w:pPr>
        <w:tabs>
          <w:tab w:val="left" w:pos="720"/>
        </w:tabs>
        <w:ind w:left="180"/>
        <w:rPr>
          <w:sz w:val="24"/>
          <w:szCs w:val="24"/>
        </w:rPr>
      </w:pPr>
    </w:p>
    <w:p w14:paraId="41AE234E" w14:textId="77777777" w:rsidR="000C57DC" w:rsidRDefault="000C57DC" w:rsidP="00B21926">
      <w:pPr>
        <w:tabs>
          <w:tab w:val="left" w:pos="720"/>
        </w:tabs>
        <w:ind w:left="180"/>
        <w:rPr>
          <w:b/>
          <w:bCs/>
          <w:sz w:val="24"/>
          <w:szCs w:val="24"/>
        </w:rPr>
      </w:pPr>
      <w:r>
        <w:rPr>
          <w:b/>
          <w:bCs/>
          <w:sz w:val="24"/>
          <w:szCs w:val="24"/>
        </w:rPr>
        <w:t>FY22 Pension Rating National Quality Reviews Summary</w:t>
      </w:r>
    </w:p>
    <w:p w14:paraId="3D6C1947" w14:textId="508D42AC" w:rsidR="00B21926" w:rsidRDefault="00B21926" w:rsidP="00B21926">
      <w:pPr>
        <w:tabs>
          <w:tab w:val="left" w:pos="720"/>
        </w:tabs>
        <w:ind w:left="180"/>
        <w:rPr>
          <w:sz w:val="24"/>
          <w:szCs w:val="24"/>
        </w:rPr>
      </w:pPr>
      <w:r w:rsidRPr="00B21926">
        <w:rPr>
          <w:sz w:val="24"/>
          <w:szCs w:val="24"/>
        </w:rPr>
        <w:t>OAR did not identify any significant BE error trends during the review period.</w:t>
      </w:r>
    </w:p>
    <w:p w14:paraId="5643AA6F" w14:textId="77777777" w:rsidR="000C57DC" w:rsidRPr="00B21926" w:rsidRDefault="000C57DC" w:rsidP="00B21926">
      <w:pPr>
        <w:tabs>
          <w:tab w:val="left" w:pos="720"/>
        </w:tabs>
        <w:ind w:left="180"/>
        <w:rPr>
          <w:sz w:val="24"/>
          <w:szCs w:val="24"/>
        </w:rPr>
      </w:pPr>
    </w:p>
    <w:p w14:paraId="77128F55" w14:textId="319072D1" w:rsidR="00B21926" w:rsidRPr="00B21926" w:rsidRDefault="00B21926" w:rsidP="00B21926">
      <w:pPr>
        <w:tabs>
          <w:tab w:val="left" w:pos="720"/>
        </w:tabs>
        <w:ind w:left="180"/>
        <w:rPr>
          <w:sz w:val="24"/>
          <w:szCs w:val="24"/>
        </w:rPr>
      </w:pPr>
      <w:r w:rsidRPr="00B21926">
        <w:rPr>
          <w:sz w:val="24"/>
          <w:szCs w:val="24"/>
        </w:rPr>
        <w:t>OAR identified Question 10, correct notification, as the top non-critical pension rating error for FY22.  OAR cited non-critical errors under Question 10 for the following:</w:t>
      </w:r>
    </w:p>
    <w:p w14:paraId="1E11A837" w14:textId="77777777" w:rsidR="00B21926" w:rsidRPr="000C57DC" w:rsidRDefault="00B21926" w:rsidP="000C57DC">
      <w:pPr>
        <w:pStyle w:val="ListParagraph"/>
        <w:numPr>
          <w:ilvl w:val="0"/>
          <w:numId w:val="17"/>
        </w:numPr>
        <w:tabs>
          <w:tab w:val="left" w:pos="720"/>
        </w:tabs>
        <w:ind w:left="720" w:hanging="180"/>
        <w:rPr>
          <w:sz w:val="24"/>
          <w:szCs w:val="24"/>
        </w:rPr>
      </w:pPr>
      <w:r w:rsidRPr="000C57DC">
        <w:rPr>
          <w:sz w:val="24"/>
          <w:szCs w:val="24"/>
        </w:rPr>
        <w:t>Notification letter failed to explain how to obtain or access evidence in making the decision</w:t>
      </w:r>
    </w:p>
    <w:p w14:paraId="266F1508" w14:textId="77777777" w:rsidR="00B21926" w:rsidRPr="000C57DC" w:rsidRDefault="00B21926" w:rsidP="000C57DC">
      <w:pPr>
        <w:pStyle w:val="ListParagraph"/>
        <w:numPr>
          <w:ilvl w:val="0"/>
          <w:numId w:val="17"/>
        </w:numPr>
        <w:tabs>
          <w:tab w:val="left" w:pos="720"/>
        </w:tabs>
        <w:ind w:left="720" w:hanging="180"/>
        <w:rPr>
          <w:sz w:val="24"/>
          <w:szCs w:val="24"/>
        </w:rPr>
      </w:pPr>
      <w:r w:rsidRPr="000C57DC">
        <w:rPr>
          <w:sz w:val="24"/>
          <w:szCs w:val="24"/>
        </w:rPr>
        <w:t>Failure to send notification letter to the claimant</w:t>
      </w:r>
    </w:p>
    <w:p w14:paraId="0E869F96" w14:textId="77777777" w:rsidR="00B21926" w:rsidRPr="000C57DC" w:rsidRDefault="00B21926" w:rsidP="000C57DC">
      <w:pPr>
        <w:pStyle w:val="ListParagraph"/>
        <w:numPr>
          <w:ilvl w:val="0"/>
          <w:numId w:val="17"/>
        </w:numPr>
        <w:tabs>
          <w:tab w:val="left" w:pos="720"/>
        </w:tabs>
        <w:ind w:left="720" w:hanging="180"/>
        <w:rPr>
          <w:sz w:val="24"/>
          <w:szCs w:val="24"/>
        </w:rPr>
      </w:pPr>
      <w:r w:rsidRPr="000C57DC">
        <w:rPr>
          <w:sz w:val="24"/>
          <w:szCs w:val="24"/>
        </w:rPr>
        <w:t>Failure to provide favorable findings</w:t>
      </w:r>
    </w:p>
    <w:p w14:paraId="5DA50280" w14:textId="77777777" w:rsidR="00B21926" w:rsidRPr="000C57DC" w:rsidRDefault="00B21926" w:rsidP="000C57DC">
      <w:pPr>
        <w:pStyle w:val="ListParagraph"/>
        <w:numPr>
          <w:ilvl w:val="0"/>
          <w:numId w:val="17"/>
        </w:numPr>
        <w:tabs>
          <w:tab w:val="left" w:pos="720"/>
        </w:tabs>
        <w:ind w:left="720" w:hanging="180"/>
        <w:rPr>
          <w:sz w:val="24"/>
          <w:szCs w:val="24"/>
        </w:rPr>
      </w:pPr>
      <w:r w:rsidRPr="000C57DC">
        <w:rPr>
          <w:sz w:val="24"/>
          <w:szCs w:val="24"/>
        </w:rPr>
        <w:t xml:space="preserve">Failure to comply with Board remand directives </w:t>
      </w:r>
    </w:p>
    <w:p w14:paraId="19FE8871" w14:textId="6A4C2503" w:rsidR="00B21926" w:rsidRDefault="00B21926" w:rsidP="00B21926">
      <w:pPr>
        <w:tabs>
          <w:tab w:val="left" w:pos="720"/>
        </w:tabs>
        <w:ind w:left="180"/>
        <w:rPr>
          <w:sz w:val="24"/>
          <w:szCs w:val="24"/>
        </w:rPr>
      </w:pPr>
    </w:p>
    <w:p w14:paraId="635DEA5F" w14:textId="77777777" w:rsidR="000C57DC" w:rsidRDefault="000C57DC" w:rsidP="00B21926">
      <w:pPr>
        <w:tabs>
          <w:tab w:val="left" w:pos="720"/>
        </w:tabs>
        <w:ind w:left="180"/>
        <w:rPr>
          <w:b/>
          <w:bCs/>
          <w:sz w:val="24"/>
          <w:szCs w:val="24"/>
        </w:rPr>
      </w:pPr>
      <w:r>
        <w:rPr>
          <w:b/>
          <w:bCs/>
          <w:sz w:val="24"/>
          <w:szCs w:val="24"/>
        </w:rPr>
        <w:t xml:space="preserve">FY22 Pension Authorization National Quality Reviews </w:t>
      </w:r>
    </w:p>
    <w:p w14:paraId="58BFDFFC" w14:textId="541AE9C4" w:rsidR="00B21926" w:rsidRDefault="00B21926" w:rsidP="00B21926">
      <w:pPr>
        <w:tabs>
          <w:tab w:val="left" w:pos="720"/>
        </w:tabs>
        <w:ind w:left="180"/>
        <w:rPr>
          <w:sz w:val="24"/>
          <w:szCs w:val="24"/>
        </w:rPr>
      </w:pPr>
      <w:r w:rsidRPr="00B21926">
        <w:rPr>
          <w:sz w:val="24"/>
          <w:szCs w:val="24"/>
        </w:rPr>
        <w:t>A total of 15 claims contained errors, 1 of which contained a BE error.</w:t>
      </w:r>
      <w:r w:rsidR="000C57DC">
        <w:rPr>
          <w:sz w:val="24"/>
          <w:szCs w:val="24"/>
        </w:rPr>
        <w:t xml:space="preserve"> </w:t>
      </w:r>
      <w:r w:rsidRPr="00B21926">
        <w:rPr>
          <w:sz w:val="24"/>
          <w:szCs w:val="24"/>
        </w:rPr>
        <w:t>The pension authorization BE accuracy (unweighted) for the review period is 99.1%.</w:t>
      </w:r>
    </w:p>
    <w:p w14:paraId="2786E11E" w14:textId="77777777" w:rsidR="000C57DC" w:rsidRPr="00B21926" w:rsidRDefault="000C57DC" w:rsidP="00B21926">
      <w:pPr>
        <w:tabs>
          <w:tab w:val="left" w:pos="720"/>
        </w:tabs>
        <w:ind w:left="180"/>
        <w:rPr>
          <w:sz w:val="24"/>
          <w:szCs w:val="24"/>
        </w:rPr>
      </w:pPr>
    </w:p>
    <w:p w14:paraId="5400AE9F" w14:textId="475A0A27" w:rsidR="00B21926" w:rsidRPr="00B21926" w:rsidRDefault="00B21926" w:rsidP="00B21926">
      <w:pPr>
        <w:tabs>
          <w:tab w:val="left" w:pos="720"/>
        </w:tabs>
        <w:ind w:left="180"/>
        <w:rPr>
          <w:sz w:val="24"/>
          <w:szCs w:val="24"/>
        </w:rPr>
      </w:pPr>
      <w:r w:rsidRPr="00B21926">
        <w:rPr>
          <w:sz w:val="24"/>
          <w:szCs w:val="24"/>
        </w:rPr>
        <w:t xml:space="preserve">For FY22, OAR cited only one BE error under Task 2 for failure to address all issues.  </w:t>
      </w:r>
    </w:p>
    <w:p w14:paraId="7B22F806" w14:textId="77777777" w:rsidR="000C57DC" w:rsidRDefault="000C57DC" w:rsidP="00B21926">
      <w:pPr>
        <w:tabs>
          <w:tab w:val="left" w:pos="720"/>
        </w:tabs>
        <w:ind w:left="180"/>
        <w:rPr>
          <w:sz w:val="24"/>
          <w:szCs w:val="24"/>
        </w:rPr>
      </w:pPr>
    </w:p>
    <w:p w14:paraId="675077F2" w14:textId="465FECB3" w:rsidR="000C57DC" w:rsidRDefault="00B21926" w:rsidP="000C57DC">
      <w:pPr>
        <w:tabs>
          <w:tab w:val="left" w:pos="720"/>
        </w:tabs>
        <w:ind w:left="180"/>
        <w:rPr>
          <w:sz w:val="24"/>
          <w:szCs w:val="24"/>
        </w:rPr>
      </w:pPr>
      <w:r w:rsidRPr="00B21926">
        <w:rPr>
          <w:sz w:val="24"/>
          <w:szCs w:val="24"/>
        </w:rPr>
        <w:t>OAR identified non-critical error trends for FY22 to include the following:</w:t>
      </w:r>
      <w:r w:rsidR="000C57DC">
        <w:rPr>
          <w:sz w:val="24"/>
          <w:szCs w:val="24"/>
        </w:rPr>
        <w:t xml:space="preserve"> </w:t>
      </w:r>
    </w:p>
    <w:p w14:paraId="271E9EB5" w14:textId="77777777" w:rsidR="000C57DC" w:rsidRPr="000C57DC" w:rsidRDefault="00B21926" w:rsidP="000C57DC">
      <w:pPr>
        <w:pStyle w:val="ListParagraph"/>
        <w:numPr>
          <w:ilvl w:val="0"/>
          <w:numId w:val="18"/>
        </w:numPr>
        <w:tabs>
          <w:tab w:val="left" w:pos="720"/>
        </w:tabs>
        <w:ind w:left="720" w:hanging="180"/>
        <w:rPr>
          <w:sz w:val="24"/>
          <w:szCs w:val="24"/>
        </w:rPr>
      </w:pPr>
      <w:r w:rsidRPr="000C57DC">
        <w:rPr>
          <w:sz w:val="24"/>
          <w:szCs w:val="24"/>
        </w:rPr>
        <w:t>Four non-critical errors under Task 3 for improper development or procedural issues</w:t>
      </w:r>
      <w:r w:rsidR="000C57DC" w:rsidRPr="000C57DC">
        <w:rPr>
          <w:sz w:val="24"/>
          <w:szCs w:val="24"/>
        </w:rPr>
        <w:t xml:space="preserve"> </w:t>
      </w:r>
    </w:p>
    <w:p w14:paraId="3FBA3C0F" w14:textId="10D3C44E" w:rsidR="00B21926" w:rsidRPr="000C57DC" w:rsidRDefault="00B21926" w:rsidP="000C57DC">
      <w:pPr>
        <w:pStyle w:val="ListParagraph"/>
        <w:numPr>
          <w:ilvl w:val="0"/>
          <w:numId w:val="18"/>
        </w:numPr>
        <w:tabs>
          <w:tab w:val="left" w:pos="720"/>
        </w:tabs>
        <w:ind w:left="720" w:hanging="180"/>
        <w:rPr>
          <w:sz w:val="24"/>
          <w:szCs w:val="24"/>
        </w:rPr>
      </w:pPr>
      <w:r w:rsidRPr="000C57DC">
        <w:rPr>
          <w:sz w:val="24"/>
          <w:szCs w:val="24"/>
        </w:rPr>
        <w:t>Four non-critical errors under Task 14 for incorrect actions unrelated to the EP or EP notification</w:t>
      </w:r>
    </w:p>
    <w:p w14:paraId="0634E3FF" w14:textId="1202DB6D" w:rsidR="00B21926" w:rsidRDefault="00B21926" w:rsidP="00B21926">
      <w:pPr>
        <w:tabs>
          <w:tab w:val="left" w:pos="720"/>
        </w:tabs>
        <w:ind w:left="180"/>
        <w:rPr>
          <w:sz w:val="24"/>
          <w:szCs w:val="24"/>
        </w:rPr>
      </w:pPr>
    </w:p>
    <w:p w14:paraId="0266E16E" w14:textId="4B482261" w:rsidR="000C57DC" w:rsidRPr="000C57DC" w:rsidRDefault="000C57DC" w:rsidP="00B21926">
      <w:pPr>
        <w:tabs>
          <w:tab w:val="left" w:pos="720"/>
        </w:tabs>
        <w:ind w:left="180"/>
        <w:rPr>
          <w:b/>
          <w:bCs/>
          <w:sz w:val="24"/>
          <w:szCs w:val="24"/>
        </w:rPr>
      </w:pPr>
      <w:r>
        <w:rPr>
          <w:b/>
          <w:bCs/>
          <w:sz w:val="24"/>
          <w:szCs w:val="24"/>
        </w:rPr>
        <w:t>FY22 Pension Authorization National Quality Reviews Summary</w:t>
      </w:r>
    </w:p>
    <w:p w14:paraId="4AE1C871" w14:textId="7F34B3D8" w:rsidR="00B21926" w:rsidRDefault="00B21926" w:rsidP="00B21926">
      <w:pPr>
        <w:tabs>
          <w:tab w:val="left" w:pos="720"/>
        </w:tabs>
        <w:ind w:left="180"/>
        <w:rPr>
          <w:sz w:val="24"/>
          <w:szCs w:val="24"/>
        </w:rPr>
      </w:pPr>
      <w:r w:rsidRPr="00B21926">
        <w:rPr>
          <w:sz w:val="24"/>
          <w:szCs w:val="24"/>
        </w:rPr>
        <w:t>OAR did not identify any significant BE error trends during the review period.</w:t>
      </w:r>
    </w:p>
    <w:p w14:paraId="23E46646" w14:textId="77777777" w:rsidR="000C57DC" w:rsidRPr="00B21926" w:rsidRDefault="000C57DC" w:rsidP="00B21926">
      <w:pPr>
        <w:tabs>
          <w:tab w:val="left" w:pos="720"/>
        </w:tabs>
        <w:ind w:left="180"/>
        <w:rPr>
          <w:sz w:val="24"/>
          <w:szCs w:val="24"/>
        </w:rPr>
      </w:pPr>
    </w:p>
    <w:p w14:paraId="52D36F51" w14:textId="0C344833" w:rsidR="00B21926" w:rsidRDefault="00B21926" w:rsidP="00B21926">
      <w:pPr>
        <w:tabs>
          <w:tab w:val="left" w:pos="720"/>
        </w:tabs>
        <w:ind w:left="180"/>
        <w:rPr>
          <w:sz w:val="24"/>
          <w:szCs w:val="24"/>
        </w:rPr>
      </w:pPr>
      <w:r w:rsidRPr="00B21926">
        <w:rPr>
          <w:sz w:val="24"/>
          <w:szCs w:val="24"/>
        </w:rPr>
        <w:t>OAR identified Task 3, proper development or procedural issues, and Task 14, correct actions unrelated to the EP or EP notification, as the top non-critical pension authorization errors for FY22.</w:t>
      </w:r>
    </w:p>
    <w:p w14:paraId="4CC28BEB" w14:textId="77777777" w:rsidR="000C57DC" w:rsidRPr="00B21926" w:rsidRDefault="000C57DC" w:rsidP="00B21926">
      <w:pPr>
        <w:tabs>
          <w:tab w:val="left" w:pos="720"/>
        </w:tabs>
        <w:ind w:left="180"/>
        <w:rPr>
          <w:sz w:val="24"/>
          <w:szCs w:val="24"/>
        </w:rPr>
      </w:pPr>
    </w:p>
    <w:p w14:paraId="14624F38" w14:textId="77777777" w:rsidR="00B21926" w:rsidRPr="00B21926" w:rsidRDefault="00B21926" w:rsidP="00B21926">
      <w:pPr>
        <w:tabs>
          <w:tab w:val="left" w:pos="720"/>
        </w:tabs>
        <w:ind w:left="180"/>
        <w:rPr>
          <w:sz w:val="24"/>
          <w:szCs w:val="24"/>
        </w:rPr>
      </w:pPr>
      <w:r w:rsidRPr="00B21926">
        <w:rPr>
          <w:sz w:val="24"/>
          <w:szCs w:val="24"/>
        </w:rPr>
        <w:t>OAR cited 4 non-critical errors under Task 3 for the following:</w:t>
      </w:r>
    </w:p>
    <w:p w14:paraId="1A85D430" w14:textId="77777777" w:rsidR="00B21926" w:rsidRPr="000C57DC" w:rsidRDefault="00B21926" w:rsidP="000C57DC">
      <w:pPr>
        <w:pStyle w:val="ListParagraph"/>
        <w:numPr>
          <w:ilvl w:val="0"/>
          <w:numId w:val="19"/>
        </w:numPr>
        <w:tabs>
          <w:tab w:val="left" w:pos="720"/>
        </w:tabs>
        <w:ind w:left="720" w:hanging="180"/>
        <w:rPr>
          <w:sz w:val="24"/>
          <w:szCs w:val="24"/>
        </w:rPr>
      </w:pPr>
      <w:r w:rsidRPr="000C57DC">
        <w:rPr>
          <w:sz w:val="24"/>
          <w:szCs w:val="24"/>
        </w:rPr>
        <w:t>Lack of evidence of HLR decision in the file</w:t>
      </w:r>
    </w:p>
    <w:p w14:paraId="1B29FBCC" w14:textId="77777777" w:rsidR="00B21926" w:rsidRPr="000C57DC" w:rsidRDefault="00B21926" w:rsidP="000C57DC">
      <w:pPr>
        <w:pStyle w:val="ListParagraph"/>
        <w:numPr>
          <w:ilvl w:val="0"/>
          <w:numId w:val="19"/>
        </w:numPr>
        <w:tabs>
          <w:tab w:val="left" w:pos="720"/>
        </w:tabs>
        <w:ind w:left="720" w:hanging="180"/>
        <w:rPr>
          <w:sz w:val="24"/>
          <w:szCs w:val="24"/>
        </w:rPr>
      </w:pPr>
      <w:r w:rsidRPr="000C57DC">
        <w:rPr>
          <w:sz w:val="24"/>
          <w:szCs w:val="24"/>
        </w:rPr>
        <w:t>Incorrect application of difference of opinion versus identification of a duty to assist error</w:t>
      </w:r>
    </w:p>
    <w:p w14:paraId="34AD8A17" w14:textId="77777777" w:rsidR="00B21926" w:rsidRPr="000C57DC" w:rsidRDefault="00B21926" w:rsidP="000C57DC">
      <w:pPr>
        <w:pStyle w:val="ListParagraph"/>
        <w:numPr>
          <w:ilvl w:val="0"/>
          <w:numId w:val="19"/>
        </w:numPr>
        <w:tabs>
          <w:tab w:val="left" w:pos="720"/>
        </w:tabs>
        <w:ind w:left="720" w:hanging="180"/>
        <w:rPr>
          <w:sz w:val="24"/>
          <w:szCs w:val="24"/>
        </w:rPr>
      </w:pPr>
      <w:r w:rsidRPr="000C57DC">
        <w:rPr>
          <w:sz w:val="24"/>
          <w:szCs w:val="24"/>
        </w:rPr>
        <w:t>Failure to establish EP 040 for correction of the duty to assist error</w:t>
      </w:r>
    </w:p>
    <w:p w14:paraId="00976B0D" w14:textId="77777777" w:rsidR="00B21926" w:rsidRPr="000C57DC" w:rsidRDefault="00B21926" w:rsidP="000C57DC">
      <w:pPr>
        <w:pStyle w:val="ListParagraph"/>
        <w:numPr>
          <w:ilvl w:val="0"/>
          <w:numId w:val="19"/>
        </w:numPr>
        <w:tabs>
          <w:tab w:val="left" w:pos="720"/>
        </w:tabs>
        <w:ind w:left="720" w:hanging="180"/>
        <w:rPr>
          <w:sz w:val="24"/>
          <w:szCs w:val="24"/>
        </w:rPr>
      </w:pPr>
      <w:r w:rsidRPr="000C57DC">
        <w:rPr>
          <w:sz w:val="24"/>
          <w:szCs w:val="24"/>
        </w:rPr>
        <w:t>Failure to upload relevant records to the Veteran’s eFolder</w:t>
      </w:r>
    </w:p>
    <w:p w14:paraId="12A8A890" w14:textId="77777777" w:rsidR="00B21926" w:rsidRPr="00B21926" w:rsidRDefault="00B21926" w:rsidP="00B21926">
      <w:pPr>
        <w:tabs>
          <w:tab w:val="left" w:pos="720"/>
        </w:tabs>
        <w:ind w:left="180"/>
        <w:rPr>
          <w:sz w:val="24"/>
          <w:szCs w:val="24"/>
        </w:rPr>
      </w:pPr>
    </w:p>
    <w:p w14:paraId="6D931763" w14:textId="6820B460" w:rsidR="008858D6" w:rsidRPr="008858D6" w:rsidRDefault="008858D6" w:rsidP="008858D6">
      <w:pPr>
        <w:tabs>
          <w:tab w:val="left" w:pos="720"/>
        </w:tabs>
        <w:ind w:left="180"/>
        <w:rPr>
          <w:sz w:val="24"/>
          <w:szCs w:val="24"/>
          <w:lang w:bidi="ar-SA"/>
        </w:rPr>
      </w:pPr>
    </w:p>
    <w:p w14:paraId="56EE85F3" w14:textId="30623FFE" w:rsidR="00A47173" w:rsidRPr="00BE05B0" w:rsidRDefault="00B80840" w:rsidP="00B50F9D">
      <w:pPr>
        <w:pStyle w:val="Heading1"/>
        <w:pBdr>
          <w:bottom w:val="thinThickLargeGap" w:sz="8" w:space="1" w:color="auto"/>
        </w:pBdr>
        <w:spacing w:before="173"/>
        <w:ind w:left="187" w:right="0"/>
        <w:rPr>
          <w:color w:val="001F5F"/>
          <w:sz w:val="24"/>
          <w:szCs w:val="24"/>
        </w:rPr>
      </w:pPr>
      <w:bookmarkStart w:id="3" w:name="_Toc118963414"/>
      <w:r>
        <w:rPr>
          <w:color w:val="001F5F"/>
          <w:sz w:val="24"/>
          <w:szCs w:val="24"/>
        </w:rPr>
        <w:t>Agent and Attorney Fee Coordinator (AAFC) Monthly Call</w:t>
      </w:r>
      <w:bookmarkEnd w:id="3"/>
    </w:p>
    <w:p w14:paraId="10B0BDC7" w14:textId="742BA793" w:rsidR="008858D6" w:rsidRPr="00BE05B0" w:rsidRDefault="00E56147" w:rsidP="008858D6">
      <w:pPr>
        <w:pStyle w:val="BodyText"/>
        <w:spacing w:after="240"/>
        <w:ind w:left="187"/>
      </w:pPr>
      <w:r w:rsidRPr="00BE05B0">
        <w:rPr>
          <w:b/>
        </w:rPr>
        <w:t>Target Audience</w:t>
      </w:r>
      <w:r w:rsidRPr="00BE05B0">
        <w:rPr>
          <w:b/>
          <w:bCs/>
        </w:rPr>
        <w:t>:</w:t>
      </w:r>
      <w:r w:rsidRPr="00BE05B0">
        <w:t xml:space="preserve"> </w:t>
      </w:r>
      <w:r w:rsidR="00B80840">
        <w:t>DROC</w:t>
      </w:r>
      <w:r w:rsidR="008858D6" w:rsidRPr="00BE05B0">
        <w:t xml:space="preserve"> Management</w:t>
      </w:r>
      <w:r w:rsidR="00B80840">
        <w:t>,</w:t>
      </w:r>
      <w:r w:rsidR="008858D6">
        <w:t xml:space="preserve"> </w:t>
      </w:r>
      <w:r w:rsidR="008858D6" w:rsidRPr="00BE05B0">
        <w:t>QRT</w:t>
      </w:r>
      <w:r w:rsidR="00B80840">
        <w:t>, and AAFCs</w:t>
      </w:r>
    </w:p>
    <w:p w14:paraId="0CE40533" w14:textId="65C541D3" w:rsidR="008858D6" w:rsidRDefault="008858D6" w:rsidP="008858D6">
      <w:pPr>
        <w:pStyle w:val="BodyText"/>
        <w:spacing w:after="240"/>
        <w:ind w:left="187"/>
      </w:pPr>
      <w:r w:rsidRPr="00BE05B0">
        <w:rPr>
          <w:b/>
        </w:rPr>
        <w:t xml:space="preserve">Presenter: </w:t>
      </w:r>
      <w:r w:rsidR="005E7CC2">
        <w:t>Suzanne Ribish, Management and Program Analyst, OAR PA</w:t>
      </w:r>
      <w:r>
        <w:t xml:space="preserve"> </w:t>
      </w:r>
    </w:p>
    <w:p w14:paraId="39599E0B" w14:textId="77777777" w:rsidR="00B21926" w:rsidRPr="00B21926" w:rsidRDefault="00B21926" w:rsidP="00B21926">
      <w:pPr>
        <w:tabs>
          <w:tab w:val="left" w:pos="720"/>
          <w:tab w:val="left" w:pos="2970"/>
        </w:tabs>
        <w:ind w:left="180"/>
        <w:rPr>
          <w:sz w:val="24"/>
          <w:szCs w:val="24"/>
        </w:rPr>
      </w:pPr>
      <w:r w:rsidRPr="00B21926">
        <w:rPr>
          <w:sz w:val="24"/>
          <w:szCs w:val="24"/>
        </w:rPr>
        <w:t>OAR will begin hosting a monthly AAFC call which will take place the third Tuesday of each month, starting in November 2022.</w:t>
      </w:r>
    </w:p>
    <w:p w14:paraId="105C2794" w14:textId="77777777" w:rsidR="00482962" w:rsidRDefault="00482962" w:rsidP="00B21926">
      <w:pPr>
        <w:tabs>
          <w:tab w:val="left" w:pos="720"/>
          <w:tab w:val="left" w:pos="2970"/>
        </w:tabs>
        <w:ind w:left="180"/>
        <w:rPr>
          <w:sz w:val="24"/>
          <w:szCs w:val="24"/>
        </w:rPr>
      </w:pPr>
    </w:p>
    <w:p w14:paraId="3E10CD2F" w14:textId="3ECB17C8" w:rsidR="00B21926" w:rsidRPr="00B21926" w:rsidRDefault="00B21926" w:rsidP="00B21926">
      <w:pPr>
        <w:tabs>
          <w:tab w:val="left" w:pos="720"/>
          <w:tab w:val="left" w:pos="2970"/>
        </w:tabs>
        <w:ind w:left="180"/>
        <w:rPr>
          <w:sz w:val="24"/>
          <w:szCs w:val="24"/>
        </w:rPr>
      </w:pPr>
      <w:r w:rsidRPr="00B21926">
        <w:rPr>
          <w:sz w:val="24"/>
          <w:szCs w:val="24"/>
        </w:rPr>
        <w:t>Goals of the call</w:t>
      </w:r>
      <w:r w:rsidR="00482962">
        <w:rPr>
          <w:sz w:val="24"/>
          <w:szCs w:val="24"/>
        </w:rPr>
        <w:t>:</w:t>
      </w:r>
    </w:p>
    <w:p w14:paraId="259C5EF7" w14:textId="77777777" w:rsidR="00B21926" w:rsidRPr="00482962" w:rsidRDefault="00B21926" w:rsidP="00482962">
      <w:pPr>
        <w:pStyle w:val="ListParagraph"/>
        <w:numPr>
          <w:ilvl w:val="0"/>
          <w:numId w:val="20"/>
        </w:numPr>
        <w:tabs>
          <w:tab w:val="left" w:pos="720"/>
          <w:tab w:val="left" w:pos="2970"/>
        </w:tabs>
        <w:rPr>
          <w:sz w:val="24"/>
          <w:szCs w:val="24"/>
        </w:rPr>
      </w:pPr>
      <w:r w:rsidRPr="00482962">
        <w:rPr>
          <w:sz w:val="24"/>
          <w:szCs w:val="24"/>
        </w:rPr>
        <w:t>Review policies and procedures</w:t>
      </w:r>
    </w:p>
    <w:p w14:paraId="7AF3E9DE" w14:textId="77777777" w:rsidR="00B21926" w:rsidRPr="00482962" w:rsidRDefault="00B21926" w:rsidP="00482962">
      <w:pPr>
        <w:pStyle w:val="ListParagraph"/>
        <w:numPr>
          <w:ilvl w:val="0"/>
          <w:numId w:val="20"/>
        </w:numPr>
        <w:tabs>
          <w:tab w:val="left" w:pos="720"/>
          <w:tab w:val="left" w:pos="2970"/>
        </w:tabs>
        <w:rPr>
          <w:sz w:val="24"/>
          <w:szCs w:val="24"/>
        </w:rPr>
      </w:pPr>
      <w:r w:rsidRPr="00482962">
        <w:rPr>
          <w:sz w:val="24"/>
          <w:szCs w:val="24"/>
        </w:rPr>
        <w:t>Reinforce training</w:t>
      </w:r>
    </w:p>
    <w:p w14:paraId="7A5FD611" w14:textId="77777777" w:rsidR="00B21926" w:rsidRPr="00482962" w:rsidRDefault="00B21926" w:rsidP="00482962">
      <w:pPr>
        <w:pStyle w:val="ListParagraph"/>
        <w:numPr>
          <w:ilvl w:val="0"/>
          <w:numId w:val="20"/>
        </w:numPr>
        <w:tabs>
          <w:tab w:val="left" w:pos="720"/>
          <w:tab w:val="left" w:pos="2970"/>
        </w:tabs>
        <w:rPr>
          <w:sz w:val="24"/>
          <w:szCs w:val="24"/>
        </w:rPr>
      </w:pPr>
      <w:r w:rsidRPr="00482962">
        <w:rPr>
          <w:sz w:val="24"/>
          <w:szCs w:val="24"/>
        </w:rPr>
        <w:t>Provide opportunity for field to provide feedback</w:t>
      </w:r>
    </w:p>
    <w:p w14:paraId="49A44415" w14:textId="77777777" w:rsidR="00B21926" w:rsidRPr="00482962" w:rsidRDefault="00B21926" w:rsidP="00482962">
      <w:pPr>
        <w:pStyle w:val="ListParagraph"/>
        <w:numPr>
          <w:ilvl w:val="0"/>
          <w:numId w:val="20"/>
        </w:numPr>
        <w:tabs>
          <w:tab w:val="left" w:pos="720"/>
          <w:tab w:val="left" w:pos="2970"/>
        </w:tabs>
        <w:rPr>
          <w:sz w:val="24"/>
          <w:szCs w:val="24"/>
        </w:rPr>
      </w:pPr>
      <w:r w:rsidRPr="00482962">
        <w:rPr>
          <w:sz w:val="24"/>
          <w:szCs w:val="24"/>
        </w:rPr>
        <w:t>Answer questions from the field</w:t>
      </w:r>
    </w:p>
    <w:p w14:paraId="18EB061E" w14:textId="5A819C64" w:rsidR="008858D6" w:rsidRPr="008858D6" w:rsidRDefault="008858D6" w:rsidP="00B80840">
      <w:pPr>
        <w:tabs>
          <w:tab w:val="left" w:pos="720"/>
          <w:tab w:val="left" w:pos="2970"/>
        </w:tabs>
        <w:ind w:left="180"/>
        <w:rPr>
          <w:sz w:val="24"/>
          <w:szCs w:val="24"/>
          <w:lang w:bidi="ar-SA"/>
        </w:rPr>
      </w:pPr>
      <w:r w:rsidRPr="008858D6">
        <w:rPr>
          <w:sz w:val="24"/>
          <w:szCs w:val="24"/>
        </w:rPr>
        <w:t>.</w:t>
      </w:r>
      <w:r w:rsidR="00B80840">
        <w:rPr>
          <w:sz w:val="24"/>
          <w:szCs w:val="24"/>
        </w:rPr>
        <w:tab/>
      </w:r>
    </w:p>
    <w:p w14:paraId="2D53C58D" w14:textId="578E65CB" w:rsidR="00002AC7" w:rsidRPr="002846E1" w:rsidRDefault="00002AC7" w:rsidP="008858D6">
      <w:pPr>
        <w:pStyle w:val="BodyText"/>
        <w:spacing w:after="240"/>
        <w:ind w:left="187"/>
        <w:rPr>
          <w:lang w:bidi="ar-SA"/>
        </w:rPr>
      </w:pPr>
    </w:p>
    <w:sectPr w:rsidR="00002AC7" w:rsidRPr="002846E1">
      <w:headerReference w:type="default" r:id="rId10"/>
      <w:footerReference w:type="default" r:id="rId11"/>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9C34" w14:textId="77777777" w:rsidR="00735F00" w:rsidRDefault="00735F00">
      <w:r>
        <w:separator/>
      </w:r>
    </w:p>
  </w:endnote>
  <w:endnote w:type="continuationSeparator" w:id="0">
    <w:p w14:paraId="5FD24B5C" w14:textId="77777777" w:rsidR="00735F00" w:rsidRDefault="0073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2D81BF7A" w:rsidR="00032A4F" w:rsidRDefault="00032A4F">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714C6383" wp14:editId="51E99FE5">
              <wp:simplePos x="0" y="0"/>
              <wp:positionH relativeFrom="page">
                <wp:posOffset>6257925</wp:posOffset>
              </wp:positionH>
              <wp:positionV relativeFrom="bottomMargin">
                <wp:posOffset>88265</wp:posOffset>
              </wp:positionV>
              <wp:extent cx="625475" cy="219075"/>
              <wp:effectExtent l="0" t="0" r="3175" b="9525"/>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6383" id="_x0000_t202" coordsize="21600,21600" o:spt="202" path="m,l,21600r21600,l21600,xe">
              <v:stroke joinstyle="miter"/>
              <v:path gradientshapeok="t" o:connecttype="rect"/>
            </v:shapetype>
            <v:shape id="Text Box 1" o:spid="_x0000_s1027"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766F95BB" wp14:editId="0AA7E651">
              <wp:simplePos x="0" y="0"/>
              <wp:positionH relativeFrom="page">
                <wp:posOffset>904875</wp:posOffset>
              </wp:positionH>
              <wp:positionV relativeFrom="bottomMargin">
                <wp:posOffset>104775</wp:posOffset>
              </wp:positionV>
              <wp:extent cx="2209800" cy="180975"/>
              <wp:effectExtent l="0" t="0" r="0" b="9525"/>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45E5807C" w:rsidR="00032A4F" w:rsidRDefault="005A79DC">
                          <w:pPr>
                            <w:pStyle w:val="BodyText"/>
                            <w:spacing w:before="12"/>
                            <w:ind w:left="20"/>
                          </w:pPr>
                          <w:r>
                            <w:t>November 2022</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8" type="#_x0000_t202" alt="&quot;&quot;"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45E5807C" w:rsidR="00032A4F" w:rsidRDefault="005A79DC">
                    <w:pPr>
                      <w:pStyle w:val="BodyText"/>
                      <w:spacing w:before="12"/>
                      <w:ind w:left="20"/>
                    </w:pPr>
                    <w:r>
                      <w:t>November 2022</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7"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0"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E015" w14:textId="77777777" w:rsidR="00735F00" w:rsidRDefault="00735F00">
      <w:r>
        <w:separator/>
      </w:r>
    </w:p>
  </w:footnote>
  <w:footnote w:type="continuationSeparator" w:id="0">
    <w:p w14:paraId="53BB63FB" w14:textId="77777777" w:rsidR="00735F00" w:rsidRDefault="0073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162124C5">
              <wp:simplePos x="0" y="0"/>
              <wp:positionH relativeFrom="page">
                <wp:posOffset>368300</wp:posOffset>
              </wp:positionH>
              <wp:positionV relativeFrom="page">
                <wp:posOffset>224790</wp:posOffset>
              </wp:positionV>
              <wp:extent cx="6502400" cy="897255"/>
              <wp:effectExtent l="0" t="0" r="0" b="0"/>
              <wp:wrapNone/>
              <wp:docPr id="8"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2B22C89C" w:rsidR="00032A4F" w:rsidRDefault="001477E3">
                          <w:pPr>
                            <w:spacing w:before="7"/>
                            <w:ind w:left="20"/>
                            <w:rPr>
                              <w:b/>
                              <w:sz w:val="40"/>
                            </w:rPr>
                          </w:pPr>
                          <w:r>
                            <w:rPr>
                              <w:b/>
                              <w:color w:val="FFFFFF"/>
                              <w:sz w:val="40"/>
                            </w:rPr>
                            <w:t>November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alt="&quot;&quot;"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2B22C89C" w:rsidR="00032A4F" w:rsidRDefault="001477E3">
                    <w:pPr>
                      <w:spacing w:before="7"/>
                      <w:ind w:left="20"/>
                      <w:rPr>
                        <w:b/>
                        <w:sz w:val="40"/>
                      </w:rPr>
                    </w:pPr>
                    <w:r>
                      <w:rPr>
                        <w:b/>
                        <w:color w:val="FFFFFF"/>
                        <w:sz w:val="40"/>
                      </w:rPr>
                      <w:t>November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C17"/>
    <w:multiLevelType w:val="hybridMultilevel"/>
    <w:tmpl w:val="75944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B9033D8"/>
    <w:multiLevelType w:val="hybridMultilevel"/>
    <w:tmpl w:val="54DA97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912492"/>
    <w:multiLevelType w:val="hybridMultilevel"/>
    <w:tmpl w:val="6AB891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46976AF"/>
    <w:multiLevelType w:val="hybridMultilevel"/>
    <w:tmpl w:val="C9F097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68E5308"/>
    <w:multiLevelType w:val="hybridMultilevel"/>
    <w:tmpl w:val="2C04E7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78532A9"/>
    <w:multiLevelType w:val="hybridMultilevel"/>
    <w:tmpl w:val="9356B0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7CA6ED8"/>
    <w:multiLevelType w:val="hybridMultilevel"/>
    <w:tmpl w:val="38F0DB30"/>
    <w:lvl w:ilvl="0" w:tplc="5894890A">
      <w:start w:val="1"/>
      <w:numFmt w:val="bullet"/>
      <w:lvlText w:val="‒"/>
      <w:lvlJc w:val="left"/>
      <w:pPr>
        <w:tabs>
          <w:tab w:val="num" w:pos="720"/>
        </w:tabs>
        <w:ind w:left="720" w:hanging="360"/>
      </w:pPr>
      <w:rPr>
        <w:rFonts w:ascii="Calibri" w:hAnsi="Calibri" w:hint="default"/>
      </w:rPr>
    </w:lvl>
    <w:lvl w:ilvl="1" w:tplc="D75226E8" w:tentative="1">
      <w:start w:val="1"/>
      <w:numFmt w:val="bullet"/>
      <w:lvlText w:val="‒"/>
      <w:lvlJc w:val="left"/>
      <w:pPr>
        <w:tabs>
          <w:tab w:val="num" w:pos="1440"/>
        </w:tabs>
        <w:ind w:left="1440" w:hanging="360"/>
      </w:pPr>
      <w:rPr>
        <w:rFonts w:ascii="Calibri" w:hAnsi="Calibri" w:hint="default"/>
      </w:rPr>
    </w:lvl>
    <w:lvl w:ilvl="2" w:tplc="E0BE8446" w:tentative="1">
      <w:start w:val="1"/>
      <w:numFmt w:val="bullet"/>
      <w:lvlText w:val="‒"/>
      <w:lvlJc w:val="left"/>
      <w:pPr>
        <w:tabs>
          <w:tab w:val="num" w:pos="2160"/>
        </w:tabs>
        <w:ind w:left="2160" w:hanging="360"/>
      </w:pPr>
      <w:rPr>
        <w:rFonts w:ascii="Calibri" w:hAnsi="Calibri" w:hint="default"/>
      </w:rPr>
    </w:lvl>
    <w:lvl w:ilvl="3" w:tplc="D3921A00" w:tentative="1">
      <w:start w:val="1"/>
      <w:numFmt w:val="bullet"/>
      <w:lvlText w:val="‒"/>
      <w:lvlJc w:val="left"/>
      <w:pPr>
        <w:tabs>
          <w:tab w:val="num" w:pos="2880"/>
        </w:tabs>
        <w:ind w:left="2880" w:hanging="360"/>
      </w:pPr>
      <w:rPr>
        <w:rFonts w:ascii="Calibri" w:hAnsi="Calibri" w:hint="default"/>
      </w:rPr>
    </w:lvl>
    <w:lvl w:ilvl="4" w:tplc="B09A76EE" w:tentative="1">
      <w:start w:val="1"/>
      <w:numFmt w:val="bullet"/>
      <w:lvlText w:val="‒"/>
      <w:lvlJc w:val="left"/>
      <w:pPr>
        <w:tabs>
          <w:tab w:val="num" w:pos="3600"/>
        </w:tabs>
        <w:ind w:left="3600" w:hanging="360"/>
      </w:pPr>
      <w:rPr>
        <w:rFonts w:ascii="Calibri" w:hAnsi="Calibri" w:hint="default"/>
      </w:rPr>
    </w:lvl>
    <w:lvl w:ilvl="5" w:tplc="13BEB40E" w:tentative="1">
      <w:start w:val="1"/>
      <w:numFmt w:val="bullet"/>
      <w:lvlText w:val="‒"/>
      <w:lvlJc w:val="left"/>
      <w:pPr>
        <w:tabs>
          <w:tab w:val="num" w:pos="4320"/>
        </w:tabs>
        <w:ind w:left="4320" w:hanging="360"/>
      </w:pPr>
      <w:rPr>
        <w:rFonts w:ascii="Calibri" w:hAnsi="Calibri" w:hint="default"/>
      </w:rPr>
    </w:lvl>
    <w:lvl w:ilvl="6" w:tplc="F9306C62" w:tentative="1">
      <w:start w:val="1"/>
      <w:numFmt w:val="bullet"/>
      <w:lvlText w:val="‒"/>
      <w:lvlJc w:val="left"/>
      <w:pPr>
        <w:tabs>
          <w:tab w:val="num" w:pos="5040"/>
        </w:tabs>
        <w:ind w:left="5040" w:hanging="360"/>
      </w:pPr>
      <w:rPr>
        <w:rFonts w:ascii="Calibri" w:hAnsi="Calibri" w:hint="default"/>
      </w:rPr>
    </w:lvl>
    <w:lvl w:ilvl="7" w:tplc="5816D91C" w:tentative="1">
      <w:start w:val="1"/>
      <w:numFmt w:val="bullet"/>
      <w:lvlText w:val="‒"/>
      <w:lvlJc w:val="left"/>
      <w:pPr>
        <w:tabs>
          <w:tab w:val="num" w:pos="5760"/>
        </w:tabs>
        <w:ind w:left="5760" w:hanging="360"/>
      </w:pPr>
      <w:rPr>
        <w:rFonts w:ascii="Calibri" w:hAnsi="Calibri" w:hint="default"/>
      </w:rPr>
    </w:lvl>
    <w:lvl w:ilvl="8" w:tplc="C90A30C6"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8000F50"/>
    <w:multiLevelType w:val="hybridMultilevel"/>
    <w:tmpl w:val="54EC64A6"/>
    <w:lvl w:ilvl="0" w:tplc="CC0462EE">
      <w:start w:val="1"/>
      <w:numFmt w:val="bullet"/>
      <w:lvlText w:val="‒"/>
      <w:lvlJc w:val="left"/>
      <w:pPr>
        <w:tabs>
          <w:tab w:val="num" w:pos="720"/>
        </w:tabs>
        <w:ind w:left="720" w:hanging="360"/>
      </w:pPr>
      <w:rPr>
        <w:rFonts w:ascii="Times New Roman" w:hAnsi="Times New Roman" w:hint="default"/>
      </w:rPr>
    </w:lvl>
    <w:lvl w:ilvl="1" w:tplc="A7F86BB2">
      <w:start w:val="1"/>
      <w:numFmt w:val="bullet"/>
      <w:lvlText w:val="‒"/>
      <w:lvlJc w:val="left"/>
      <w:pPr>
        <w:tabs>
          <w:tab w:val="num" w:pos="1440"/>
        </w:tabs>
        <w:ind w:left="1440" w:hanging="360"/>
      </w:pPr>
      <w:rPr>
        <w:rFonts w:ascii="Times New Roman" w:hAnsi="Times New Roman" w:hint="default"/>
      </w:rPr>
    </w:lvl>
    <w:lvl w:ilvl="2" w:tplc="0B340706" w:tentative="1">
      <w:start w:val="1"/>
      <w:numFmt w:val="bullet"/>
      <w:lvlText w:val="‒"/>
      <w:lvlJc w:val="left"/>
      <w:pPr>
        <w:tabs>
          <w:tab w:val="num" w:pos="2160"/>
        </w:tabs>
        <w:ind w:left="2160" w:hanging="360"/>
      </w:pPr>
      <w:rPr>
        <w:rFonts w:ascii="Times New Roman" w:hAnsi="Times New Roman" w:hint="default"/>
      </w:rPr>
    </w:lvl>
    <w:lvl w:ilvl="3" w:tplc="E8628432" w:tentative="1">
      <w:start w:val="1"/>
      <w:numFmt w:val="bullet"/>
      <w:lvlText w:val="‒"/>
      <w:lvlJc w:val="left"/>
      <w:pPr>
        <w:tabs>
          <w:tab w:val="num" w:pos="2880"/>
        </w:tabs>
        <w:ind w:left="2880" w:hanging="360"/>
      </w:pPr>
      <w:rPr>
        <w:rFonts w:ascii="Times New Roman" w:hAnsi="Times New Roman" w:hint="default"/>
      </w:rPr>
    </w:lvl>
    <w:lvl w:ilvl="4" w:tplc="175C93B0" w:tentative="1">
      <w:start w:val="1"/>
      <w:numFmt w:val="bullet"/>
      <w:lvlText w:val="‒"/>
      <w:lvlJc w:val="left"/>
      <w:pPr>
        <w:tabs>
          <w:tab w:val="num" w:pos="3600"/>
        </w:tabs>
        <w:ind w:left="3600" w:hanging="360"/>
      </w:pPr>
      <w:rPr>
        <w:rFonts w:ascii="Times New Roman" w:hAnsi="Times New Roman" w:hint="default"/>
      </w:rPr>
    </w:lvl>
    <w:lvl w:ilvl="5" w:tplc="30B4E9BC" w:tentative="1">
      <w:start w:val="1"/>
      <w:numFmt w:val="bullet"/>
      <w:lvlText w:val="‒"/>
      <w:lvlJc w:val="left"/>
      <w:pPr>
        <w:tabs>
          <w:tab w:val="num" w:pos="4320"/>
        </w:tabs>
        <w:ind w:left="4320" w:hanging="360"/>
      </w:pPr>
      <w:rPr>
        <w:rFonts w:ascii="Times New Roman" w:hAnsi="Times New Roman" w:hint="default"/>
      </w:rPr>
    </w:lvl>
    <w:lvl w:ilvl="6" w:tplc="88B62CBE" w:tentative="1">
      <w:start w:val="1"/>
      <w:numFmt w:val="bullet"/>
      <w:lvlText w:val="‒"/>
      <w:lvlJc w:val="left"/>
      <w:pPr>
        <w:tabs>
          <w:tab w:val="num" w:pos="5040"/>
        </w:tabs>
        <w:ind w:left="5040" w:hanging="360"/>
      </w:pPr>
      <w:rPr>
        <w:rFonts w:ascii="Times New Roman" w:hAnsi="Times New Roman" w:hint="default"/>
      </w:rPr>
    </w:lvl>
    <w:lvl w:ilvl="7" w:tplc="E90AE53C" w:tentative="1">
      <w:start w:val="1"/>
      <w:numFmt w:val="bullet"/>
      <w:lvlText w:val="‒"/>
      <w:lvlJc w:val="left"/>
      <w:pPr>
        <w:tabs>
          <w:tab w:val="num" w:pos="5760"/>
        </w:tabs>
        <w:ind w:left="5760" w:hanging="360"/>
      </w:pPr>
      <w:rPr>
        <w:rFonts w:ascii="Times New Roman" w:hAnsi="Times New Roman" w:hint="default"/>
      </w:rPr>
    </w:lvl>
    <w:lvl w:ilvl="8" w:tplc="E05A6A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B526CA"/>
    <w:multiLevelType w:val="hybridMultilevel"/>
    <w:tmpl w:val="8A183FB6"/>
    <w:lvl w:ilvl="0" w:tplc="9CAE68BA">
      <w:start w:val="1"/>
      <w:numFmt w:val="bullet"/>
      <w:lvlText w:val="‒"/>
      <w:lvlJc w:val="left"/>
      <w:pPr>
        <w:tabs>
          <w:tab w:val="num" w:pos="720"/>
        </w:tabs>
        <w:ind w:left="720" w:hanging="360"/>
      </w:pPr>
      <w:rPr>
        <w:rFonts w:ascii="Calibri" w:hAnsi="Calibri" w:hint="default"/>
      </w:rPr>
    </w:lvl>
    <w:lvl w:ilvl="1" w:tplc="32EE3F94" w:tentative="1">
      <w:start w:val="1"/>
      <w:numFmt w:val="bullet"/>
      <w:lvlText w:val="‒"/>
      <w:lvlJc w:val="left"/>
      <w:pPr>
        <w:tabs>
          <w:tab w:val="num" w:pos="1440"/>
        </w:tabs>
        <w:ind w:left="1440" w:hanging="360"/>
      </w:pPr>
      <w:rPr>
        <w:rFonts w:ascii="Calibri" w:hAnsi="Calibri" w:hint="default"/>
      </w:rPr>
    </w:lvl>
    <w:lvl w:ilvl="2" w:tplc="8AA0BA80" w:tentative="1">
      <w:start w:val="1"/>
      <w:numFmt w:val="bullet"/>
      <w:lvlText w:val="‒"/>
      <w:lvlJc w:val="left"/>
      <w:pPr>
        <w:tabs>
          <w:tab w:val="num" w:pos="2160"/>
        </w:tabs>
        <w:ind w:left="2160" w:hanging="360"/>
      </w:pPr>
      <w:rPr>
        <w:rFonts w:ascii="Calibri" w:hAnsi="Calibri" w:hint="default"/>
      </w:rPr>
    </w:lvl>
    <w:lvl w:ilvl="3" w:tplc="79C2AB1E" w:tentative="1">
      <w:start w:val="1"/>
      <w:numFmt w:val="bullet"/>
      <w:lvlText w:val="‒"/>
      <w:lvlJc w:val="left"/>
      <w:pPr>
        <w:tabs>
          <w:tab w:val="num" w:pos="2880"/>
        </w:tabs>
        <w:ind w:left="2880" w:hanging="360"/>
      </w:pPr>
      <w:rPr>
        <w:rFonts w:ascii="Calibri" w:hAnsi="Calibri" w:hint="default"/>
      </w:rPr>
    </w:lvl>
    <w:lvl w:ilvl="4" w:tplc="183AB416" w:tentative="1">
      <w:start w:val="1"/>
      <w:numFmt w:val="bullet"/>
      <w:lvlText w:val="‒"/>
      <w:lvlJc w:val="left"/>
      <w:pPr>
        <w:tabs>
          <w:tab w:val="num" w:pos="3600"/>
        </w:tabs>
        <w:ind w:left="3600" w:hanging="360"/>
      </w:pPr>
      <w:rPr>
        <w:rFonts w:ascii="Calibri" w:hAnsi="Calibri" w:hint="default"/>
      </w:rPr>
    </w:lvl>
    <w:lvl w:ilvl="5" w:tplc="5B1A59D2" w:tentative="1">
      <w:start w:val="1"/>
      <w:numFmt w:val="bullet"/>
      <w:lvlText w:val="‒"/>
      <w:lvlJc w:val="left"/>
      <w:pPr>
        <w:tabs>
          <w:tab w:val="num" w:pos="4320"/>
        </w:tabs>
        <w:ind w:left="4320" w:hanging="360"/>
      </w:pPr>
      <w:rPr>
        <w:rFonts w:ascii="Calibri" w:hAnsi="Calibri" w:hint="default"/>
      </w:rPr>
    </w:lvl>
    <w:lvl w:ilvl="6" w:tplc="2EEEBDBE" w:tentative="1">
      <w:start w:val="1"/>
      <w:numFmt w:val="bullet"/>
      <w:lvlText w:val="‒"/>
      <w:lvlJc w:val="left"/>
      <w:pPr>
        <w:tabs>
          <w:tab w:val="num" w:pos="5040"/>
        </w:tabs>
        <w:ind w:left="5040" w:hanging="360"/>
      </w:pPr>
      <w:rPr>
        <w:rFonts w:ascii="Calibri" w:hAnsi="Calibri" w:hint="default"/>
      </w:rPr>
    </w:lvl>
    <w:lvl w:ilvl="7" w:tplc="92648DCA" w:tentative="1">
      <w:start w:val="1"/>
      <w:numFmt w:val="bullet"/>
      <w:lvlText w:val="‒"/>
      <w:lvlJc w:val="left"/>
      <w:pPr>
        <w:tabs>
          <w:tab w:val="num" w:pos="5760"/>
        </w:tabs>
        <w:ind w:left="5760" w:hanging="360"/>
      </w:pPr>
      <w:rPr>
        <w:rFonts w:ascii="Calibri" w:hAnsi="Calibri" w:hint="default"/>
      </w:rPr>
    </w:lvl>
    <w:lvl w:ilvl="8" w:tplc="05C497B8"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543A08EF"/>
    <w:multiLevelType w:val="hybridMultilevel"/>
    <w:tmpl w:val="D1AE7CD4"/>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BA186C"/>
    <w:multiLevelType w:val="hybridMultilevel"/>
    <w:tmpl w:val="207A46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7561A05"/>
    <w:multiLevelType w:val="hybridMultilevel"/>
    <w:tmpl w:val="B6A0AF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7FB6637"/>
    <w:multiLevelType w:val="hybridMultilevel"/>
    <w:tmpl w:val="57F4A4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82F15B9"/>
    <w:multiLevelType w:val="hybridMultilevel"/>
    <w:tmpl w:val="10B6663A"/>
    <w:lvl w:ilvl="0" w:tplc="55F60F18">
      <w:start w:val="1"/>
      <w:numFmt w:val="bullet"/>
      <w:lvlText w:val="‒"/>
      <w:lvlJc w:val="left"/>
      <w:pPr>
        <w:tabs>
          <w:tab w:val="num" w:pos="720"/>
        </w:tabs>
        <w:ind w:left="720" w:hanging="360"/>
      </w:pPr>
      <w:rPr>
        <w:rFonts w:ascii="Calibri" w:hAnsi="Calibri" w:hint="default"/>
      </w:rPr>
    </w:lvl>
    <w:lvl w:ilvl="1" w:tplc="910E5384" w:tentative="1">
      <w:start w:val="1"/>
      <w:numFmt w:val="bullet"/>
      <w:lvlText w:val="‒"/>
      <w:lvlJc w:val="left"/>
      <w:pPr>
        <w:tabs>
          <w:tab w:val="num" w:pos="1440"/>
        </w:tabs>
        <w:ind w:left="1440" w:hanging="360"/>
      </w:pPr>
      <w:rPr>
        <w:rFonts w:ascii="Calibri" w:hAnsi="Calibri" w:hint="default"/>
      </w:rPr>
    </w:lvl>
    <w:lvl w:ilvl="2" w:tplc="5CF8ED20" w:tentative="1">
      <w:start w:val="1"/>
      <w:numFmt w:val="bullet"/>
      <w:lvlText w:val="‒"/>
      <w:lvlJc w:val="left"/>
      <w:pPr>
        <w:tabs>
          <w:tab w:val="num" w:pos="2160"/>
        </w:tabs>
        <w:ind w:left="2160" w:hanging="360"/>
      </w:pPr>
      <w:rPr>
        <w:rFonts w:ascii="Calibri" w:hAnsi="Calibri" w:hint="default"/>
      </w:rPr>
    </w:lvl>
    <w:lvl w:ilvl="3" w:tplc="A4B2E524" w:tentative="1">
      <w:start w:val="1"/>
      <w:numFmt w:val="bullet"/>
      <w:lvlText w:val="‒"/>
      <w:lvlJc w:val="left"/>
      <w:pPr>
        <w:tabs>
          <w:tab w:val="num" w:pos="2880"/>
        </w:tabs>
        <w:ind w:left="2880" w:hanging="360"/>
      </w:pPr>
      <w:rPr>
        <w:rFonts w:ascii="Calibri" w:hAnsi="Calibri" w:hint="default"/>
      </w:rPr>
    </w:lvl>
    <w:lvl w:ilvl="4" w:tplc="4CEC4B10" w:tentative="1">
      <w:start w:val="1"/>
      <w:numFmt w:val="bullet"/>
      <w:lvlText w:val="‒"/>
      <w:lvlJc w:val="left"/>
      <w:pPr>
        <w:tabs>
          <w:tab w:val="num" w:pos="3600"/>
        </w:tabs>
        <w:ind w:left="3600" w:hanging="360"/>
      </w:pPr>
      <w:rPr>
        <w:rFonts w:ascii="Calibri" w:hAnsi="Calibri" w:hint="default"/>
      </w:rPr>
    </w:lvl>
    <w:lvl w:ilvl="5" w:tplc="FD5C6E54" w:tentative="1">
      <w:start w:val="1"/>
      <w:numFmt w:val="bullet"/>
      <w:lvlText w:val="‒"/>
      <w:lvlJc w:val="left"/>
      <w:pPr>
        <w:tabs>
          <w:tab w:val="num" w:pos="4320"/>
        </w:tabs>
        <w:ind w:left="4320" w:hanging="360"/>
      </w:pPr>
      <w:rPr>
        <w:rFonts w:ascii="Calibri" w:hAnsi="Calibri" w:hint="default"/>
      </w:rPr>
    </w:lvl>
    <w:lvl w:ilvl="6" w:tplc="27740DE2" w:tentative="1">
      <w:start w:val="1"/>
      <w:numFmt w:val="bullet"/>
      <w:lvlText w:val="‒"/>
      <w:lvlJc w:val="left"/>
      <w:pPr>
        <w:tabs>
          <w:tab w:val="num" w:pos="5040"/>
        </w:tabs>
        <w:ind w:left="5040" w:hanging="360"/>
      </w:pPr>
      <w:rPr>
        <w:rFonts w:ascii="Calibri" w:hAnsi="Calibri" w:hint="default"/>
      </w:rPr>
    </w:lvl>
    <w:lvl w:ilvl="7" w:tplc="07ACD550" w:tentative="1">
      <w:start w:val="1"/>
      <w:numFmt w:val="bullet"/>
      <w:lvlText w:val="‒"/>
      <w:lvlJc w:val="left"/>
      <w:pPr>
        <w:tabs>
          <w:tab w:val="num" w:pos="5760"/>
        </w:tabs>
        <w:ind w:left="5760" w:hanging="360"/>
      </w:pPr>
      <w:rPr>
        <w:rFonts w:ascii="Calibri" w:hAnsi="Calibri" w:hint="default"/>
      </w:rPr>
    </w:lvl>
    <w:lvl w:ilvl="8" w:tplc="086A35F4"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6E7D7F14"/>
    <w:multiLevelType w:val="hybridMultilevel"/>
    <w:tmpl w:val="DA7A1A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2A03C07"/>
    <w:multiLevelType w:val="hybridMultilevel"/>
    <w:tmpl w:val="202A6686"/>
    <w:lvl w:ilvl="0" w:tplc="C21C5F76">
      <w:start w:val="1"/>
      <w:numFmt w:val="bullet"/>
      <w:lvlText w:val="‒"/>
      <w:lvlJc w:val="left"/>
      <w:pPr>
        <w:tabs>
          <w:tab w:val="num" w:pos="720"/>
        </w:tabs>
        <w:ind w:left="720" w:hanging="360"/>
      </w:pPr>
      <w:rPr>
        <w:rFonts w:ascii="Times New Roman" w:hAnsi="Times New Roman" w:hint="default"/>
      </w:rPr>
    </w:lvl>
    <w:lvl w:ilvl="1" w:tplc="9BF6D32E">
      <w:start w:val="1"/>
      <w:numFmt w:val="bullet"/>
      <w:lvlText w:val="‒"/>
      <w:lvlJc w:val="left"/>
      <w:pPr>
        <w:tabs>
          <w:tab w:val="num" w:pos="1440"/>
        </w:tabs>
        <w:ind w:left="1440" w:hanging="360"/>
      </w:pPr>
      <w:rPr>
        <w:rFonts w:ascii="Times New Roman" w:hAnsi="Times New Roman" w:hint="default"/>
      </w:rPr>
    </w:lvl>
    <w:lvl w:ilvl="2" w:tplc="148CBD3E" w:tentative="1">
      <w:start w:val="1"/>
      <w:numFmt w:val="bullet"/>
      <w:lvlText w:val="‒"/>
      <w:lvlJc w:val="left"/>
      <w:pPr>
        <w:tabs>
          <w:tab w:val="num" w:pos="2160"/>
        </w:tabs>
        <w:ind w:left="2160" w:hanging="360"/>
      </w:pPr>
      <w:rPr>
        <w:rFonts w:ascii="Times New Roman" w:hAnsi="Times New Roman" w:hint="default"/>
      </w:rPr>
    </w:lvl>
    <w:lvl w:ilvl="3" w:tplc="723A99BC" w:tentative="1">
      <w:start w:val="1"/>
      <w:numFmt w:val="bullet"/>
      <w:lvlText w:val="‒"/>
      <w:lvlJc w:val="left"/>
      <w:pPr>
        <w:tabs>
          <w:tab w:val="num" w:pos="2880"/>
        </w:tabs>
        <w:ind w:left="2880" w:hanging="360"/>
      </w:pPr>
      <w:rPr>
        <w:rFonts w:ascii="Times New Roman" w:hAnsi="Times New Roman" w:hint="default"/>
      </w:rPr>
    </w:lvl>
    <w:lvl w:ilvl="4" w:tplc="5B9607AC" w:tentative="1">
      <w:start w:val="1"/>
      <w:numFmt w:val="bullet"/>
      <w:lvlText w:val="‒"/>
      <w:lvlJc w:val="left"/>
      <w:pPr>
        <w:tabs>
          <w:tab w:val="num" w:pos="3600"/>
        </w:tabs>
        <w:ind w:left="3600" w:hanging="360"/>
      </w:pPr>
      <w:rPr>
        <w:rFonts w:ascii="Times New Roman" w:hAnsi="Times New Roman" w:hint="default"/>
      </w:rPr>
    </w:lvl>
    <w:lvl w:ilvl="5" w:tplc="B3E264BC" w:tentative="1">
      <w:start w:val="1"/>
      <w:numFmt w:val="bullet"/>
      <w:lvlText w:val="‒"/>
      <w:lvlJc w:val="left"/>
      <w:pPr>
        <w:tabs>
          <w:tab w:val="num" w:pos="4320"/>
        </w:tabs>
        <w:ind w:left="4320" w:hanging="360"/>
      </w:pPr>
      <w:rPr>
        <w:rFonts w:ascii="Times New Roman" w:hAnsi="Times New Roman" w:hint="default"/>
      </w:rPr>
    </w:lvl>
    <w:lvl w:ilvl="6" w:tplc="081EDCCA" w:tentative="1">
      <w:start w:val="1"/>
      <w:numFmt w:val="bullet"/>
      <w:lvlText w:val="‒"/>
      <w:lvlJc w:val="left"/>
      <w:pPr>
        <w:tabs>
          <w:tab w:val="num" w:pos="5040"/>
        </w:tabs>
        <w:ind w:left="5040" w:hanging="360"/>
      </w:pPr>
      <w:rPr>
        <w:rFonts w:ascii="Times New Roman" w:hAnsi="Times New Roman" w:hint="default"/>
      </w:rPr>
    </w:lvl>
    <w:lvl w:ilvl="7" w:tplc="DBD87960" w:tentative="1">
      <w:start w:val="1"/>
      <w:numFmt w:val="bullet"/>
      <w:lvlText w:val="‒"/>
      <w:lvlJc w:val="left"/>
      <w:pPr>
        <w:tabs>
          <w:tab w:val="num" w:pos="5760"/>
        </w:tabs>
        <w:ind w:left="5760" w:hanging="360"/>
      </w:pPr>
      <w:rPr>
        <w:rFonts w:ascii="Times New Roman" w:hAnsi="Times New Roman" w:hint="default"/>
      </w:rPr>
    </w:lvl>
    <w:lvl w:ilvl="8" w:tplc="C456AFD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FC48DC"/>
    <w:multiLevelType w:val="hybridMultilevel"/>
    <w:tmpl w:val="C1AA170E"/>
    <w:lvl w:ilvl="0" w:tplc="D7FECF10">
      <w:start w:val="1"/>
      <w:numFmt w:val="bullet"/>
      <w:lvlText w:val="•"/>
      <w:lvlJc w:val="left"/>
      <w:pPr>
        <w:tabs>
          <w:tab w:val="num" w:pos="720"/>
        </w:tabs>
        <w:ind w:left="720" w:hanging="360"/>
      </w:pPr>
      <w:rPr>
        <w:rFonts w:ascii="Arial" w:hAnsi="Arial" w:hint="default"/>
      </w:rPr>
    </w:lvl>
    <w:lvl w:ilvl="1" w:tplc="3926CCC2">
      <w:start w:val="1"/>
      <w:numFmt w:val="bullet"/>
      <w:lvlText w:val="•"/>
      <w:lvlJc w:val="left"/>
      <w:pPr>
        <w:tabs>
          <w:tab w:val="num" w:pos="1440"/>
        </w:tabs>
        <w:ind w:left="1440" w:hanging="360"/>
      </w:pPr>
      <w:rPr>
        <w:rFonts w:ascii="Arial" w:hAnsi="Arial" w:hint="default"/>
      </w:rPr>
    </w:lvl>
    <w:lvl w:ilvl="2" w:tplc="AD9CD926" w:tentative="1">
      <w:start w:val="1"/>
      <w:numFmt w:val="bullet"/>
      <w:lvlText w:val="•"/>
      <w:lvlJc w:val="left"/>
      <w:pPr>
        <w:tabs>
          <w:tab w:val="num" w:pos="2160"/>
        </w:tabs>
        <w:ind w:left="2160" w:hanging="360"/>
      </w:pPr>
      <w:rPr>
        <w:rFonts w:ascii="Arial" w:hAnsi="Arial" w:hint="default"/>
      </w:rPr>
    </w:lvl>
    <w:lvl w:ilvl="3" w:tplc="010A4AC2" w:tentative="1">
      <w:start w:val="1"/>
      <w:numFmt w:val="bullet"/>
      <w:lvlText w:val="•"/>
      <w:lvlJc w:val="left"/>
      <w:pPr>
        <w:tabs>
          <w:tab w:val="num" w:pos="2880"/>
        </w:tabs>
        <w:ind w:left="2880" w:hanging="360"/>
      </w:pPr>
      <w:rPr>
        <w:rFonts w:ascii="Arial" w:hAnsi="Arial" w:hint="default"/>
      </w:rPr>
    </w:lvl>
    <w:lvl w:ilvl="4" w:tplc="7346E340" w:tentative="1">
      <w:start w:val="1"/>
      <w:numFmt w:val="bullet"/>
      <w:lvlText w:val="•"/>
      <w:lvlJc w:val="left"/>
      <w:pPr>
        <w:tabs>
          <w:tab w:val="num" w:pos="3600"/>
        </w:tabs>
        <w:ind w:left="3600" w:hanging="360"/>
      </w:pPr>
      <w:rPr>
        <w:rFonts w:ascii="Arial" w:hAnsi="Arial" w:hint="default"/>
      </w:rPr>
    </w:lvl>
    <w:lvl w:ilvl="5" w:tplc="942E3626" w:tentative="1">
      <w:start w:val="1"/>
      <w:numFmt w:val="bullet"/>
      <w:lvlText w:val="•"/>
      <w:lvlJc w:val="left"/>
      <w:pPr>
        <w:tabs>
          <w:tab w:val="num" w:pos="4320"/>
        </w:tabs>
        <w:ind w:left="4320" w:hanging="360"/>
      </w:pPr>
      <w:rPr>
        <w:rFonts w:ascii="Arial" w:hAnsi="Arial" w:hint="default"/>
      </w:rPr>
    </w:lvl>
    <w:lvl w:ilvl="6" w:tplc="C382C7A6" w:tentative="1">
      <w:start w:val="1"/>
      <w:numFmt w:val="bullet"/>
      <w:lvlText w:val="•"/>
      <w:lvlJc w:val="left"/>
      <w:pPr>
        <w:tabs>
          <w:tab w:val="num" w:pos="5040"/>
        </w:tabs>
        <w:ind w:left="5040" w:hanging="360"/>
      </w:pPr>
      <w:rPr>
        <w:rFonts w:ascii="Arial" w:hAnsi="Arial" w:hint="default"/>
      </w:rPr>
    </w:lvl>
    <w:lvl w:ilvl="7" w:tplc="A1DE5564" w:tentative="1">
      <w:start w:val="1"/>
      <w:numFmt w:val="bullet"/>
      <w:lvlText w:val="•"/>
      <w:lvlJc w:val="left"/>
      <w:pPr>
        <w:tabs>
          <w:tab w:val="num" w:pos="5760"/>
        </w:tabs>
        <w:ind w:left="5760" w:hanging="360"/>
      </w:pPr>
      <w:rPr>
        <w:rFonts w:ascii="Arial" w:hAnsi="Arial" w:hint="default"/>
      </w:rPr>
    </w:lvl>
    <w:lvl w:ilvl="8" w:tplc="6F06AA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843743"/>
    <w:multiLevelType w:val="hybridMultilevel"/>
    <w:tmpl w:val="9260D1B0"/>
    <w:lvl w:ilvl="0" w:tplc="0A969C70">
      <w:start w:val="1"/>
      <w:numFmt w:val="bullet"/>
      <w:lvlText w:val=""/>
      <w:lvlJc w:val="left"/>
      <w:pPr>
        <w:tabs>
          <w:tab w:val="num" w:pos="720"/>
        </w:tabs>
        <w:ind w:left="720" w:hanging="360"/>
      </w:pPr>
      <w:rPr>
        <w:rFonts w:ascii="Wingdings" w:hAnsi="Wingdings" w:hint="default"/>
      </w:rPr>
    </w:lvl>
    <w:lvl w:ilvl="1" w:tplc="058ACF36" w:tentative="1">
      <w:start w:val="1"/>
      <w:numFmt w:val="bullet"/>
      <w:lvlText w:val=""/>
      <w:lvlJc w:val="left"/>
      <w:pPr>
        <w:tabs>
          <w:tab w:val="num" w:pos="1440"/>
        </w:tabs>
        <w:ind w:left="1440" w:hanging="360"/>
      </w:pPr>
      <w:rPr>
        <w:rFonts w:ascii="Wingdings" w:hAnsi="Wingdings" w:hint="default"/>
      </w:rPr>
    </w:lvl>
    <w:lvl w:ilvl="2" w:tplc="C338AF62">
      <w:start w:val="1"/>
      <w:numFmt w:val="bullet"/>
      <w:lvlText w:val=""/>
      <w:lvlJc w:val="left"/>
      <w:pPr>
        <w:tabs>
          <w:tab w:val="num" w:pos="2160"/>
        </w:tabs>
        <w:ind w:left="2160" w:hanging="360"/>
      </w:pPr>
      <w:rPr>
        <w:rFonts w:ascii="Wingdings" w:hAnsi="Wingdings" w:hint="default"/>
      </w:rPr>
    </w:lvl>
    <w:lvl w:ilvl="3" w:tplc="E31EA13A" w:tentative="1">
      <w:start w:val="1"/>
      <w:numFmt w:val="bullet"/>
      <w:lvlText w:val=""/>
      <w:lvlJc w:val="left"/>
      <w:pPr>
        <w:tabs>
          <w:tab w:val="num" w:pos="2880"/>
        </w:tabs>
        <w:ind w:left="2880" w:hanging="360"/>
      </w:pPr>
      <w:rPr>
        <w:rFonts w:ascii="Wingdings" w:hAnsi="Wingdings" w:hint="default"/>
      </w:rPr>
    </w:lvl>
    <w:lvl w:ilvl="4" w:tplc="A2F6582C" w:tentative="1">
      <w:start w:val="1"/>
      <w:numFmt w:val="bullet"/>
      <w:lvlText w:val=""/>
      <w:lvlJc w:val="left"/>
      <w:pPr>
        <w:tabs>
          <w:tab w:val="num" w:pos="3600"/>
        </w:tabs>
        <w:ind w:left="3600" w:hanging="360"/>
      </w:pPr>
      <w:rPr>
        <w:rFonts w:ascii="Wingdings" w:hAnsi="Wingdings" w:hint="default"/>
      </w:rPr>
    </w:lvl>
    <w:lvl w:ilvl="5" w:tplc="F708A9B2" w:tentative="1">
      <w:start w:val="1"/>
      <w:numFmt w:val="bullet"/>
      <w:lvlText w:val=""/>
      <w:lvlJc w:val="left"/>
      <w:pPr>
        <w:tabs>
          <w:tab w:val="num" w:pos="4320"/>
        </w:tabs>
        <w:ind w:left="4320" w:hanging="360"/>
      </w:pPr>
      <w:rPr>
        <w:rFonts w:ascii="Wingdings" w:hAnsi="Wingdings" w:hint="default"/>
      </w:rPr>
    </w:lvl>
    <w:lvl w:ilvl="6" w:tplc="A74206EE" w:tentative="1">
      <w:start w:val="1"/>
      <w:numFmt w:val="bullet"/>
      <w:lvlText w:val=""/>
      <w:lvlJc w:val="left"/>
      <w:pPr>
        <w:tabs>
          <w:tab w:val="num" w:pos="5040"/>
        </w:tabs>
        <w:ind w:left="5040" w:hanging="360"/>
      </w:pPr>
      <w:rPr>
        <w:rFonts w:ascii="Wingdings" w:hAnsi="Wingdings" w:hint="default"/>
      </w:rPr>
    </w:lvl>
    <w:lvl w:ilvl="7" w:tplc="4B382300" w:tentative="1">
      <w:start w:val="1"/>
      <w:numFmt w:val="bullet"/>
      <w:lvlText w:val=""/>
      <w:lvlJc w:val="left"/>
      <w:pPr>
        <w:tabs>
          <w:tab w:val="num" w:pos="5760"/>
        </w:tabs>
        <w:ind w:left="5760" w:hanging="360"/>
      </w:pPr>
      <w:rPr>
        <w:rFonts w:ascii="Wingdings" w:hAnsi="Wingdings" w:hint="default"/>
      </w:rPr>
    </w:lvl>
    <w:lvl w:ilvl="8" w:tplc="19A4F1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51A6F"/>
    <w:multiLevelType w:val="hybridMultilevel"/>
    <w:tmpl w:val="B750F6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FDD1320"/>
    <w:multiLevelType w:val="hybridMultilevel"/>
    <w:tmpl w:val="CA883C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14"/>
  </w:num>
  <w:num w:numId="3">
    <w:abstractNumId w:val="5"/>
  </w:num>
  <w:num w:numId="4">
    <w:abstractNumId w:val="15"/>
  </w:num>
  <w:num w:numId="5">
    <w:abstractNumId w:val="11"/>
  </w:num>
  <w:num w:numId="6">
    <w:abstractNumId w:val="6"/>
  </w:num>
  <w:num w:numId="7">
    <w:abstractNumId w:val="8"/>
  </w:num>
  <w:num w:numId="8">
    <w:abstractNumId w:val="7"/>
  </w:num>
  <w:num w:numId="9">
    <w:abstractNumId w:val="13"/>
  </w:num>
  <w:num w:numId="10">
    <w:abstractNumId w:val="17"/>
  </w:num>
  <w:num w:numId="11">
    <w:abstractNumId w:val="16"/>
  </w:num>
  <w:num w:numId="12">
    <w:abstractNumId w:val="1"/>
  </w:num>
  <w:num w:numId="13">
    <w:abstractNumId w:val="19"/>
  </w:num>
  <w:num w:numId="14">
    <w:abstractNumId w:val="18"/>
  </w:num>
  <w:num w:numId="15">
    <w:abstractNumId w:val="0"/>
  </w:num>
  <w:num w:numId="16">
    <w:abstractNumId w:val="4"/>
  </w:num>
  <w:num w:numId="17">
    <w:abstractNumId w:val="2"/>
  </w:num>
  <w:num w:numId="18">
    <w:abstractNumId w:val="10"/>
  </w:num>
  <w:num w:numId="19">
    <w:abstractNumId w:val="3"/>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7D16"/>
    <w:rsid w:val="00057A83"/>
    <w:rsid w:val="00062382"/>
    <w:rsid w:val="00063458"/>
    <w:rsid w:val="00074104"/>
    <w:rsid w:val="00074F85"/>
    <w:rsid w:val="00080742"/>
    <w:rsid w:val="00090F8F"/>
    <w:rsid w:val="00095A02"/>
    <w:rsid w:val="000A036D"/>
    <w:rsid w:val="000A0590"/>
    <w:rsid w:val="000A2FF9"/>
    <w:rsid w:val="000A38CD"/>
    <w:rsid w:val="000A45E1"/>
    <w:rsid w:val="000A4A9E"/>
    <w:rsid w:val="000A57CD"/>
    <w:rsid w:val="000B31A9"/>
    <w:rsid w:val="000C2427"/>
    <w:rsid w:val="000C57DC"/>
    <w:rsid w:val="000C65FD"/>
    <w:rsid w:val="000D6AAC"/>
    <w:rsid w:val="000E362A"/>
    <w:rsid w:val="000E44E7"/>
    <w:rsid w:val="000E5C07"/>
    <w:rsid w:val="000E6565"/>
    <w:rsid w:val="000F10EF"/>
    <w:rsid w:val="000F1D94"/>
    <w:rsid w:val="000F40B0"/>
    <w:rsid w:val="000F6A28"/>
    <w:rsid w:val="00100D42"/>
    <w:rsid w:val="00103083"/>
    <w:rsid w:val="00104C72"/>
    <w:rsid w:val="00104CA8"/>
    <w:rsid w:val="00105A9A"/>
    <w:rsid w:val="0011280C"/>
    <w:rsid w:val="00121DB7"/>
    <w:rsid w:val="001254A2"/>
    <w:rsid w:val="00132D59"/>
    <w:rsid w:val="00137572"/>
    <w:rsid w:val="00137B44"/>
    <w:rsid w:val="001439B6"/>
    <w:rsid w:val="00143A59"/>
    <w:rsid w:val="0014613D"/>
    <w:rsid w:val="001477E3"/>
    <w:rsid w:val="00154AB2"/>
    <w:rsid w:val="0016697E"/>
    <w:rsid w:val="00166BB4"/>
    <w:rsid w:val="00170E21"/>
    <w:rsid w:val="001752DE"/>
    <w:rsid w:val="00176C1A"/>
    <w:rsid w:val="0018271A"/>
    <w:rsid w:val="00182A46"/>
    <w:rsid w:val="00184963"/>
    <w:rsid w:val="001850F8"/>
    <w:rsid w:val="0018697E"/>
    <w:rsid w:val="00190661"/>
    <w:rsid w:val="00192FA5"/>
    <w:rsid w:val="0019656B"/>
    <w:rsid w:val="001978AC"/>
    <w:rsid w:val="001A16DD"/>
    <w:rsid w:val="001A5BC1"/>
    <w:rsid w:val="001B1C21"/>
    <w:rsid w:val="001B1D82"/>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A7991"/>
    <w:rsid w:val="002A7D28"/>
    <w:rsid w:val="002B0B87"/>
    <w:rsid w:val="002B135B"/>
    <w:rsid w:val="002B388D"/>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996"/>
    <w:rsid w:val="00305FC1"/>
    <w:rsid w:val="00310E8E"/>
    <w:rsid w:val="00311D4F"/>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6BF"/>
    <w:rsid w:val="003A1898"/>
    <w:rsid w:val="003A1F41"/>
    <w:rsid w:val="003A7FE9"/>
    <w:rsid w:val="003B19EF"/>
    <w:rsid w:val="003B3E1F"/>
    <w:rsid w:val="003B5E00"/>
    <w:rsid w:val="003D1246"/>
    <w:rsid w:val="003D6B9F"/>
    <w:rsid w:val="003E776A"/>
    <w:rsid w:val="003F14FD"/>
    <w:rsid w:val="003F1AAD"/>
    <w:rsid w:val="003F5BD8"/>
    <w:rsid w:val="00400F79"/>
    <w:rsid w:val="00401E05"/>
    <w:rsid w:val="004051CF"/>
    <w:rsid w:val="00405394"/>
    <w:rsid w:val="0041021C"/>
    <w:rsid w:val="004129C2"/>
    <w:rsid w:val="0042045B"/>
    <w:rsid w:val="00420BBD"/>
    <w:rsid w:val="00427B4D"/>
    <w:rsid w:val="0043671B"/>
    <w:rsid w:val="004415DE"/>
    <w:rsid w:val="00441E7F"/>
    <w:rsid w:val="0044630D"/>
    <w:rsid w:val="00447141"/>
    <w:rsid w:val="004516E3"/>
    <w:rsid w:val="00470030"/>
    <w:rsid w:val="0047008B"/>
    <w:rsid w:val="004706B9"/>
    <w:rsid w:val="0047346C"/>
    <w:rsid w:val="00476F68"/>
    <w:rsid w:val="004772C8"/>
    <w:rsid w:val="00477931"/>
    <w:rsid w:val="004801BD"/>
    <w:rsid w:val="00482962"/>
    <w:rsid w:val="00483FC0"/>
    <w:rsid w:val="00484CA3"/>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105F"/>
    <w:rsid w:val="004F1935"/>
    <w:rsid w:val="004F6513"/>
    <w:rsid w:val="005075B7"/>
    <w:rsid w:val="005122EC"/>
    <w:rsid w:val="00514A22"/>
    <w:rsid w:val="005168E0"/>
    <w:rsid w:val="00521A1B"/>
    <w:rsid w:val="00523172"/>
    <w:rsid w:val="005248AE"/>
    <w:rsid w:val="00530689"/>
    <w:rsid w:val="00532734"/>
    <w:rsid w:val="0053383A"/>
    <w:rsid w:val="005438B3"/>
    <w:rsid w:val="00550E5F"/>
    <w:rsid w:val="0055265A"/>
    <w:rsid w:val="00555714"/>
    <w:rsid w:val="00555A17"/>
    <w:rsid w:val="005569F2"/>
    <w:rsid w:val="0056005E"/>
    <w:rsid w:val="00563874"/>
    <w:rsid w:val="00566CFA"/>
    <w:rsid w:val="00582189"/>
    <w:rsid w:val="0058367A"/>
    <w:rsid w:val="00584A58"/>
    <w:rsid w:val="00590463"/>
    <w:rsid w:val="005974E7"/>
    <w:rsid w:val="005A0EF0"/>
    <w:rsid w:val="005A35CA"/>
    <w:rsid w:val="005A79DC"/>
    <w:rsid w:val="005B43F6"/>
    <w:rsid w:val="005B5486"/>
    <w:rsid w:val="005C4CB4"/>
    <w:rsid w:val="005C71DC"/>
    <w:rsid w:val="005D2333"/>
    <w:rsid w:val="005E2B4F"/>
    <w:rsid w:val="005E4707"/>
    <w:rsid w:val="005E71DE"/>
    <w:rsid w:val="005E7CC2"/>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224C"/>
    <w:rsid w:val="00645291"/>
    <w:rsid w:val="0065254C"/>
    <w:rsid w:val="006542D7"/>
    <w:rsid w:val="0065586E"/>
    <w:rsid w:val="0066147E"/>
    <w:rsid w:val="00662353"/>
    <w:rsid w:val="00666EEB"/>
    <w:rsid w:val="006701D2"/>
    <w:rsid w:val="00670979"/>
    <w:rsid w:val="00672401"/>
    <w:rsid w:val="0067291C"/>
    <w:rsid w:val="006729CB"/>
    <w:rsid w:val="00673B50"/>
    <w:rsid w:val="0067725C"/>
    <w:rsid w:val="00683849"/>
    <w:rsid w:val="0068585E"/>
    <w:rsid w:val="00694928"/>
    <w:rsid w:val="00697797"/>
    <w:rsid w:val="00697C2A"/>
    <w:rsid w:val="006A22E4"/>
    <w:rsid w:val="006A2E45"/>
    <w:rsid w:val="006A7664"/>
    <w:rsid w:val="006B60DE"/>
    <w:rsid w:val="006C32AE"/>
    <w:rsid w:val="006C421E"/>
    <w:rsid w:val="006C5205"/>
    <w:rsid w:val="006D21F4"/>
    <w:rsid w:val="006D5495"/>
    <w:rsid w:val="006E5F47"/>
    <w:rsid w:val="006E64C4"/>
    <w:rsid w:val="006E693E"/>
    <w:rsid w:val="006F2F21"/>
    <w:rsid w:val="006F3E7A"/>
    <w:rsid w:val="0070119E"/>
    <w:rsid w:val="0070137D"/>
    <w:rsid w:val="007065AF"/>
    <w:rsid w:val="00706ABB"/>
    <w:rsid w:val="00716D1F"/>
    <w:rsid w:val="00717A52"/>
    <w:rsid w:val="00733369"/>
    <w:rsid w:val="00735F00"/>
    <w:rsid w:val="00742F10"/>
    <w:rsid w:val="00743A2C"/>
    <w:rsid w:val="00745C57"/>
    <w:rsid w:val="00747C42"/>
    <w:rsid w:val="007503ED"/>
    <w:rsid w:val="00753641"/>
    <w:rsid w:val="00754344"/>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24FA"/>
    <w:rsid w:val="007D3867"/>
    <w:rsid w:val="007D7D3E"/>
    <w:rsid w:val="007E00EA"/>
    <w:rsid w:val="007E09E7"/>
    <w:rsid w:val="007F5007"/>
    <w:rsid w:val="007F552D"/>
    <w:rsid w:val="007F7D37"/>
    <w:rsid w:val="00803ED4"/>
    <w:rsid w:val="008076E9"/>
    <w:rsid w:val="00812A63"/>
    <w:rsid w:val="00813CB8"/>
    <w:rsid w:val="00816EDB"/>
    <w:rsid w:val="008177C9"/>
    <w:rsid w:val="008227AA"/>
    <w:rsid w:val="008246F6"/>
    <w:rsid w:val="00826855"/>
    <w:rsid w:val="0082763F"/>
    <w:rsid w:val="008316AB"/>
    <w:rsid w:val="00832947"/>
    <w:rsid w:val="00833450"/>
    <w:rsid w:val="00834F9F"/>
    <w:rsid w:val="00835A46"/>
    <w:rsid w:val="0084538A"/>
    <w:rsid w:val="00854B58"/>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4991"/>
    <w:rsid w:val="009024B9"/>
    <w:rsid w:val="00904EAC"/>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65240"/>
    <w:rsid w:val="00967C52"/>
    <w:rsid w:val="0098077D"/>
    <w:rsid w:val="00985F8C"/>
    <w:rsid w:val="009907F3"/>
    <w:rsid w:val="00991F89"/>
    <w:rsid w:val="009925DD"/>
    <w:rsid w:val="00993C33"/>
    <w:rsid w:val="00997EB5"/>
    <w:rsid w:val="009A0E63"/>
    <w:rsid w:val="009A5E7D"/>
    <w:rsid w:val="009A77B3"/>
    <w:rsid w:val="009A7B2C"/>
    <w:rsid w:val="009A7FD5"/>
    <w:rsid w:val="009B3153"/>
    <w:rsid w:val="009B580D"/>
    <w:rsid w:val="009C1FC1"/>
    <w:rsid w:val="009C3CAD"/>
    <w:rsid w:val="009D0826"/>
    <w:rsid w:val="009D238A"/>
    <w:rsid w:val="009D5F76"/>
    <w:rsid w:val="009E0629"/>
    <w:rsid w:val="009F2E15"/>
    <w:rsid w:val="009F6BEC"/>
    <w:rsid w:val="00A02AD3"/>
    <w:rsid w:val="00A04076"/>
    <w:rsid w:val="00A11629"/>
    <w:rsid w:val="00A14BAD"/>
    <w:rsid w:val="00A15D93"/>
    <w:rsid w:val="00A208C1"/>
    <w:rsid w:val="00A213F2"/>
    <w:rsid w:val="00A249D3"/>
    <w:rsid w:val="00A24C4F"/>
    <w:rsid w:val="00A317D9"/>
    <w:rsid w:val="00A35CD4"/>
    <w:rsid w:val="00A3748B"/>
    <w:rsid w:val="00A374BB"/>
    <w:rsid w:val="00A45056"/>
    <w:rsid w:val="00A469C4"/>
    <w:rsid w:val="00A47173"/>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C00A5"/>
    <w:rsid w:val="00AC2CD0"/>
    <w:rsid w:val="00AD0E22"/>
    <w:rsid w:val="00AD317C"/>
    <w:rsid w:val="00AD4431"/>
    <w:rsid w:val="00AD44C6"/>
    <w:rsid w:val="00AD57DA"/>
    <w:rsid w:val="00AD60B7"/>
    <w:rsid w:val="00AE3BE1"/>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21926"/>
    <w:rsid w:val="00B21C7F"/>
    <w:rsid w:val="00B2277E"/>
    <w:rsid w:val="00B31AD9"/>
    <w:rsid w:val="00B35CD8"/>
    <w:rsid w:val="00B36263"/>
    <w:rsid w:val="00B42B3E"/>
    <w:rsid w:val="00B44ABF"/>
    <w:rsid w:val="00B50F9D"/>
    <w:rsid w:val="00B62628"/>
    <w:rsid w:val="00B636DD"/>
    <w:rsid w:val="00B7002A"/>
    <w:rsid w:val="00B7265C"/>
    <w:rsid w:val="00B77638"/>
    <w:rsid w:val="00B80840"/>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A81"/>
    <w:rsid w:val="00C067CC"/>
    <w:rsid w:val="00C07BCD"/>
    <w:rsid w:val="00C108C5"/>
    <w:rsid w:val="00C158AD"/>
    <w:rsid w:val="00C160C8"/>
    <w:rsid w:val="00C2308E"/>
    <w:rsid w:val="00C23B13"/>
    <w:rsid w:val="00C255B4"/>
    <w:rsid w:val="00C25679"/>
    <w:rsid w:val="00C3607D"/>
    <w:rsid w:val="00C36A0B"/>
    <w:rsid w:val="00C44AF5"/>
    <w:rsid w:val="00C44DFC"/>
    <w:rsid w:val="00C479C9"/>
    <w:rsid w:val="00C47F79"/>
    <w:rsid w:val="00C52184"/>
    <w:rsid w:val="00C54120"/>
    <w:rsid w:val="00C55CCE"/>
    <w:rsid w:val="00C56084"/>
    <w:rsid w:val="00C60B7A"/>
    <w:rsid w:val="00C60CA9"/>
    <w:rsid w:val="00C62293"/>
    <w:rsid w:val="00C632B3"/>
    <w:rsid w:val="00C644BF"/>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F7C"/>
    <w:rsid w:val="00D40C2E"/>
    <w:rsid w:val="00D45EBF"/>
    <w:rsid w:val="00D47CC4"/>
    <w:rsid w:val="00D5353E"/>
    <w:rsid w:val="00D543D3"/>
    <w:rsid w:val="00D56342"/>
    <w:rsid w:val="00D62195"/>
    <w:rsid w:val="00D6271E"/>
    <w:rsid w:val="00D62ABE"/>
    <w:rsid w:val="00D62E16"/>
    <w:rsid w:val="00D63BD8"/>
    <w:rsid w:val="00D6637F"/>
    <w:rsid w:val="00D7173E"/>
    <w:rsid w:val="00D74534"/>
    <w:rsid w:val="00D761D2"/>
    <w:rsid w:val="00D910FA"/>
    <w:rsid w:val="00D91ADA"/>
    <w:rsid w:val="00D96BE6"/>
    <w:rsid w:val="00D9733F"/>
    <w:rsid w:val="00DA411C"/>
    <w:rsid w:val="00DA5D04"/>
    <w:rsid w:val="00DA7A4A"/>
    <w:rsid w:val="00DB5444"/>
    <w:rsid w:val="00DB6CB9"/>
    <w:rsid w:val="00DC305C"/>
    <w:rsid w:val="00DC3EE8"/>
    <w:rsid w:val="00DC5550"/>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36A32"/>
    <w:rsid w:val="00E43619"/>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A0725"/>
    <w:rsid w:val="00EA4BD9"/>
    <w:rsid w:val="00EA4F6A"/>
    <w:rsid w:val="00EB25E2"/>
    <w:rsid w:val="00EB4218"/>
    <w:rsid w:val="00EB74C3"/>
    <w:rsid w:val="00EC5DDC"/>
    <w:rsid w:val="00EC6C8F"/>
    <w:rsid w:val="00ED03D9"/>
    <w:rsid w:val="00ED1DD7"/>
    <w:rsid w:val="00EE694B"/>
    <w:rsid w:val="00EE6ADA"/>
    <w:rsid w:val="00EF2328"/>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391B"/>
    <w:rsid w:val="00F44286"/>
    <w:rsid w:val="00F52E48"/>
    <w:rsid w:val="00F55350"/>
    <w:rsid w:val="00F558CD"/>
    <w:rsid w:val="00F65630"/>
    <w:rsid w:val="00F66CC1"/>
    <w:rsid w:val="00F66E3D"/>
    <w:rsid w:val="00F67E91"/>
    <w:rsid w:val="00F71C4E"/>
    <w:rsid w:val="00F77E2B"/>
    <w:rsid w:val="00F80577"/>
    <w:rsid w:val="00F8159B"/>
    <w:rsid w:val="00F81930"/>
    <w:rsid w:val="00F84014"/>
    <w:rsid w:val="00F90F2C"/>
    <w:rsid w:val="00F930FB"/>
    <w:rsid w:val="00FA03BF"/>
    <w:rsid w:val="00FB3A17"/>
    <w:rsid w:val="00FB76D5"/>
    <w:rsid w:val="00FC460E"/>
    <w:rsid w:val="00FC5A36"/>
    <w:rsid w:val="00FC65E1"/>
    <w:rsid w:val="00FD12BD"/>
    <w:rsid w:val="00FD2D38"/>
    <w:rsid w:val="00FD478C"/>
    <w:rsid w:val="00FE4453"/>
    <w:rsid w:val="00FE6741"/>
    <w:rsid w:val="00FE7329"/>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11635034">
      <w:bodyDiv w:val="1"/>
      <w:marLeft w:val="0"/>
      <w:marRight w:val="0"/>
      <w:marTop w:val="0"/>
      <w:marBottom w:val="0"/>
      <w:divBdr>
        <w:top w:val="none" w:sz="0" w:space="0" w:color="auto"/>
        <w:left w:val="none" w:sz="0" w:space="0" w:color="auto"/>
        <w:bottom w:val="none" w:sz="0" w:space="0" w:color="auto"/>
        <w:right w:val="none" w:sz="0" w:space="0" w:color="auto"/>
      </w:divBdr>
      <w:divsChild>
        <w:div w:id="1648510484">
          <w:marLeft w:val="994"/>
          <w:marRight w:val="0"/>
          <w:marTop w:val="0"/>
          <w:marBottom w:val="0"/>
          <w:divBdr>
            <w:top w:val="none" w:sz="0" w:space="0" w:color="auto"/>
            <w:left w:val="none" w:sz="0" w:space="0" w:color="auto"/>
            <w:bottom w:val="none" w:sz="0" w:space="0" w:color="auto"/>
            <w:right w:val="none" w:sz="0" w:space="0" w:color="auto"/>
          </w:divBdr>
        </w:div>
        <w:div w:id="296179370">
          <w:marLeft w:val="994"/>
          <w:marRight w:val="0"/>
          <w:marTop w:val="0"/>
          <w:marBottom w:val="0"/>
          <w:divBdr>
            <w:top w:val="none" w:sz="0" w:space="0" w:color="auto"/>
            <w:left w:val="none" w:sz="0" w:space="0" w:color="auto"/>
            <w:bottom w:val="none" w:sz="0" w:space="0" w:color="auto"/>
            <w:right w:val="none" w:sz="0" w:space="0" w:color="auto"/>
          </w:divBdr>
        </w:div>
        <w:div w:id="1973630434">
          <w:marLeft w:val="994"/>
          <w:marRight w:val="0"/>
          <w:marTop w:val="0"/>
          <w:marBottom w:val="0"/>
          <w:divBdr>
            <w:top w:val="none" w:sz="0" w:space="0" w:color="auto"/>
            <w:left w:val="none" w:sz="0" w:space="0" w:color="auto"/>
            <w:bottom w:val="none" w:sz="0" w:space="0" w:color="auto"/>
            <w:right w:val="none" w:sz="0" w:space="0" w:color="auto"/>
          </w:divBdr>
        </w:div>
        <w:div w:id="1197622834">
          <w:marLeft w:val="994"/>
          <w:marRight w:val="0"/>
          <w:marTop w:val="0"/>
          <w:marBottom w:val="0"/>
          <w:divBdr>
            <w:top w:val="none" w:sz="0" w:space="0" w:color="auto"/>
            <w:left w:val="none" w:sz="0" w:space="0" w:color="auto"/>
            <w:bottom w:val="none" w:sz="0" w:space="0" w:color="auto"/>
            <w:right w:val="none" w:sz="0" w:space="0" w:color="auto"/>
          </w:divBdr>
        </w:div>
      </w:divsChild>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74543430">
      <w:bodyDiv w:val="1"/>
      <w:marLeft w:val="0"/>
      <w:marRight w:val="0"/>
      <w:marTop w:val="0"/>
      <w:marBottom w:val="0"/>
      <w:divBdr>
        <w:top w:val="none" w:sz="0" w:space="0" w:color="auto"/>
        <w:left w:val="none" w:sz="0" w:space="0" w:color="auto"/>
        <w:bottom w:val="none" w:sz="0" w:space="0" w:color="auto"/>
        <w:right w:val="none" w:sz="0" w:space="0" w:color="auto"/>
      </w:divBdr>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293604413">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1588028">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6416965">
      <w:bodyDiv w:val="1"/>
      <w:marLeft w:val="0"/>
      <w:marRight w:val="0"/>
      <w:marTop w:val="0"/>
      <w:marBottom w:val="0"/>
      <w:divBdr>
        <w:top w:val="none" w:sz="0" w:space="0" w:color="auto"/>
        <w:left w:val="none" w:sz="0" w:space="0" w:color="auto"/>
        <w:bottom w:val="none" w:sz="0" w:space="0" w:color="auto"/>
        <w:right w:val="none" w:sz="0" w:space="0" w:color="auto"/>
      </w:divBdr>
      <w:divsChild>
        <w:div w:id="2118795329">
          <w:marLeft w:val="274"/>
          <w:marRight w:val="0"/>
          <w:marTop w:val="0"/>
          <w:marBottom w:val="0"/>
          <w:divBdr>
            <w:top w:val="none" w:sz="0" w:space="0" w:color="auto"/>
            <w:left w:val="none" w:sz="0" w:space="0" w:color="auto"/>
            <w:bottom w:val="none" w:sz="0" w:space="0" w:color="auto"/>
            <w:right w:val="none" w:sz="0" w:space="0" w:color="auto"/>
          </w:divBdr>
        </w:div>
      </w:divsChild>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4125876">
      <w:bodyDiv w:val="1"/>
      <w:marLeft w:val="0"/>
      <w:marRight w:val="0"/>
      <w:marTop w:val="0"/>
      <w:marBottom w:val="0"/>
      <w:divBdr>
        <w:top w:val="none" w:sz="0" w:space="0" w:color="auto"/>
        <w:left w:val="none" w:sz="0" w:space="0" w:color="auto"/>
        <w:bottom w:val="none" w:sz="0" w:space="0" w:color="auto"/>
        <w:right w:val="none" w:sz="0" w:space="0" w:color="auto"/>
      </w:divBdr>
    </w:div>
    <w:div w:id="534394195">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18756621">
      <w:bodyDiv w:val="1"/>
      <w:marLeft w:val="0"/>
      <w:marRight w:val="0"/>
      <w:marTop w:val="0"/>
      <w:marBottom w:val="0"/>
      <w:divBdr>
        <w:top w:val="none" w:sz="0" w:space="0" w:color="auto"/>
        <w:left w:val="none" w:sz="0" w:space="0" w:color="auto"/>
        <w:bottom w:val="none" w:sz="0" w:space="0" w:color="auto"/>
        <w:right w:val="none" w:sz="0" w:space="0" w:color="auto"/>
      </w:divBdr>
      <w:divsChild>
        <w:div w:id="563219852">
          <w:marLeft w:val="274"/>
          <w:marRight w:val="0"/>
          <w:marTop w:val="0"/>
          <w:marBottom w:val="0"/>
          <w:divBdr>
            <w:top w:val="none" w:sz="0" w:space="0" w:color="auto"/>
            <w:left w:val="none" w:sz="0" w:space="0" w:color="auto"/>
            <w:bottom w:val="none" w:sz="0" w:space="0" w:color="auto"/>
            <w:right w:val="none" w:sz="0" w:space="0" w:color="auto"/>
          </w:divBdr>
        </w:div>
        <w:div w:id="236400627">
          <w:marLeft w:val="27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76032454">
      <w:bodyDiv w:val="1"/>
      <w:marLeft w:val="0"/>
      <w:marRight w:val="0"/>
      <w:marTop w:val="0"/>
      <w:marBottom w:val="0"/>
      <w:divBdr>
        <w:top w:val="none" w:sz="0" w:space="0" w:color="auto"/>
        <w:left w:val="none" w:sz="0" w:space="0" w:color="auto"/>
        <w:bottom w:val="none" w:sz="0" w:space="0" w:color="auto"/>
        <w:right w:val="none" w:sz="0" w:space="0" w:color="auto"/>
      </w:divBdr>
      <w:divsChild>
        <w:div w:id="1284770554">
          <w:marLeft w:val="274"/>
          <w:marRight w:val="0"/>
          <w:marTop w:val="0"/>
          <w:marBottom w:val="0"/>
          <w:divBdr>
            <w:top w:val="none" w:sz="0" w:space="0" w:color="auto"/>
            <w:left w:val="none" w:sz="0" w:space="0" w:color="auto"/>
            <w:bottom w:val="none" w:sz="0" w:space="0" w:color="auto"/>
            <w:right w:val="none" w:sz="0" w:space="0" w:color="auto"/>
          </w:divBdr>
        </w:div>
        <w:div w:id="639960157">
          <w:marLeft w:val="274"/>
          <w:marRight w:val="0"/>
          <w:marTop w:val="0"/>
          <w:marBottom w:val="0"/>
          <w:divBdr>
            <w:top w:val="none" w:sz="0" w:space="0" w:color="auto"/>
            <w:left w:val="none" w:sz="0" w:space="0" w:color="auto"/>
            <w:bottom w:val="none" w:sz="0" w:space="0" w:color="auto"/>
            <w:right w:val="none" w:sz="0" w:space="0" w:color="auto"/>
          </w:divBdr>
        </w:div>
        <w:div w:id="1072391814">
          <w:marLeft w:val="274"/>
          <w:marRight w:val="0"/>
          <w:marTop w:val="0"/>
          <w:marBottom w:val="0"/>
          <w:divBdr>
            <w:top w:val="none" w:sz="0" w:space="0" w:color="auto"/>
            <w:left w:val="none" w:sz="0" w:space="0" w:color="auto"/>
            <w:bottom w:val="none" w:sz="0" w:space="0" w:color="auto"/>
            <w:right w:val="none" w:sz="0" w:space="0" w:color="auto"/>
          </w:divBdr>
        </w:div>
        <w:div w:id="8652194">
          <w:marLeft w:val="994"/>
          <w:marRight w:val="0"/>
          <w:marTop w:val="0"/>
          <w:marBottom w:val="0"/>
          <w:divBdr>
            <w:top w:val="none" w:sz="0" w:space="0" w:color="auto"/>
            <w:left w:val="none" w:sz="0" w:space="0" w:color="auto"/>
            <w:bottom w:val="none" w:sz="0" w:space="0" w:color="auto"/>
            <w:right w:val="none" w:sz="0" w:space="0" w:color="auto"/>
          </w:divBdr>
        </w:div>
        <w:div w:id="882866906">
          <w:marLeft w:val="994"/>
          <w:marRight w:val="0"/>
          <w:marTop w:val="0"/>
          <w:marBottom w:val="0"/>
          <w:divBdr>
            <w:top w:val="none" w:sz="0" w:space="0" w:color="auto"/>
            <w:left w:val="none" w:sz="0" w:space="0" w:color="auto"/>
            <w:bottom w:val="none" w:sz="0" w:space="0" w:color="auto"/>
            <w:right w:val="none" w:sz="0" w:space="0" w:color="auto"/>
          </w:divBdr>
        </w:div>
        <w:div w:id="641160716">
          <w:marLeft w:val="994"/>
          <w:marRight w:val="0"/>
          <w:marTop w:val="0"/>
          <w:marBottom w:val="0"/>
          <w:divBdr>
            <w:top w:val="none" w:sz="0" w:space="0" w:color="auto"/>
            <w:left w:val="none" w:sz="0" w:space="0" w:color="auto"/>
            <w:bottom w:val="none" w:sz="0" w:space="0" w:color="auto"/>
            <w:right w:val="none" w:sz="0" w:space="0" w:color="auto"/>
          </w:divBdr>
        </w:div>
      </w:divsChild>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697899760">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81535338">
      <w:bodyDiv w:val="1"/>
      <w:marLeft w:val="0"/>
      <w:marRight w:val="0"/>
      <w:marTop w:val="0"/>
      <w:marBottom w:val="0"/>
      <w:divBdr>
        <w:top w:val="none" w:sz="0" w:space="0" w:color="auto"/>
        <w:left w:val="none" w:sz="0" w:space="0" w:color="auto"/>
        <w:bottom w:val="none" w:sz="0" w:space="0" w:color="auto"/>
        <w:right w:val="none" w:sz="0" w:space="0" w:color="auto"/>
      </w:divBdr>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1314959">
      <w:bodyDiv w:val="1"/>
      <w:marLeft w:val="0"/>
      <w:marRight w:val="0"/>
      <w:marTop w:val="0"/>
      <w:marBottom w:val="0"/>
      <w:divBdr>
        <w:top w:val="none" w:sz="0" w:space="0" w:color="auto"/>
        <w:left w:val="none" w:sz="0" w:space="0" w:color="auto"/>
        <w:bottom w:val="none" w:sz="0" w:space="0" w:color="auto"/>
        <w:right w:val="none" w:sz="0" w:space="0" w:color="auto"/>
      </w:divBdr>
      <w:divsChild>
        <w:div w:id="1460105665">
          <w:marLeft w:val="720"/>
          <w:marRight w:val="0"/>
          <w:marTop w:val="0"/>
          <w:marBottom w:val="0"/>
          <w:divBdr>
            <w:top w:val="none" w:sz="0" w:space="0" w:color="auto"/>
            <w:left w:val="none" w:sz="0" w:space="0" w:color="auto"/>
            <w:bottom w:val="none" w:sz="0" w:space="0" w:color="auto"/>
            <w:right w:val="none" w:sz="0" w:space="0" w:color="auto"/>
          </w:divBdr>
        </w:div>
        <w:div w:id="1946886004">
          <w:marLeft w:val="720"/>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39337297">
      <w:bodyDiv w:val="1"/>
      <w:marLeft w:val="0"/>
      <w:marRight w:val="0"/>
      <w:marTop w:val="0"/>
      <w:marBottom w:val="0"/>
      <w:divBdr>
        <w:top w:val="none" w:sz="0" w:space="0" w:color="auto"/>
        <w:left w:val="none" w:sz="0" w:space="0" w:color="auto"/>
        <w:bottom w:val="none" w:sz="0" w:space="0" w:color="auto"/>
        <w:right w:val="none" w:sz="0" w:space="0" w:color="auto"/>
      </w:divBdr>
      <w:divsChild>
        <w:div w:id="2081558070">
          <w:marLeft w:val="1166"/>
          <w:marRight w:val="0"/>
          <w:marTop w:val="0"/>
          <w:marBottom w:val="0"/>
          <w:divBdr>
            <w:top w:val="none" w:sz="0" w:space="0" w:color="auto"/>
            <w:left w:val="none" w:sz="0" w:space="0" w:color="auto"/>
            <w:bottom w:val="none" w:sz="0" w:space="0" w:color="auto"/>
            <w:right w:val="none" w:sz="0" w:space="0" w:color="auto"/>
          </w:divBdr>
        </w:div>
        <w:div w:id="609707339">
          <w:marLeft w:val="1166"/>
          <w:marRight w:val="0"/>
          <w:marTop w:val="0"/>
          <w:marBottom w:val="0"/>
          <w:divBdr>
            <w:top w:val="none" w:sz="0" w:space="0" w:color="auto"/>
            <w:left w:val="none" w:sz="0" w:space="0" w:color="auto"/>
            <w:bottom w:val="none" w:sz="0" w:space="0" w:color="auto"/>
            <w:right w:val="none" w:sz="0" w:space="0" w:color="auto"/>
          </w:divBdr>
        </w:div>
        <w:div w:id="458307142">
          <w:marLeft w:val="1166"/>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4840371">
      <w:bodyDiv w:val="1"/>
      <w:marLeft w:val="0"/>
      <w:marRight w:val="0"/>
      <w:marTop w:val="0"/>
      <w:marBottom w:val="0"/>
      <w:divBdr>
        <w:top w:val="none" w:sz="0" w:space="0" w:color="auto"/>
        <w:left w:val="none" w:sz="0" w:space="0" w:color="auto"/>
        <w:bottom w:val="none" w:sz="0" w:space="0" w:color="auto"/>
        <w:right w:val="none" w:sz="0" w:space="0" w:color="auto"/>
      </w:divBdr>
      <w:divsChild>
        <w:div w:id="1897929094">
          <w:marLeft w:val="274"/>
          <w:marRight w:val="0"/>
          <w:marTop w:val="0"/>
          <w:marBottom w:val="0"/>
          <w:divBdr>
            <w:top w:val="none" w:sz="0" w:space="0" w:color="auto"/>
            <w:left w:val="none" w:sz="0" w:space="0" w:color="auto"/>
            <w:bottom w:val="none" w:sz="0" w:space="0" w:color="auto"/>
            <w:right w:val="none" w:sz="0" w:space="0" w:color="auto"/>
          </w:divBdr>
        </w:div>
      </w:divsChild>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14736926">
      <w:bodyDiv w:val="1"/>
      <w:marLeft w:val="0"/>
      <w:marRight w:val="0"/>
      <w:marTop w:val="0"/>
      <w:marBottom w:val="0"/>
      <w:divBdr>
        <w:top w:val="none" w:sz="0" w:space="0" w:color="auto"/>
        <w:left w:val="none" w:sz="0" w:space="0" w:color="auto"/>
        <w:bottom w:val="none" w:sz="0" w:space="0" w:color="auto"/>
        <w:right w:val="none" w:sz="0" w:space="0" w:color="auto"/>
      </w:divBdr>
      <w:divsChild>
        <w:div w:id="1926567781">
          <w:marLeft w:val="720"/>
          <w:marRight w:val="0"/>
          <w:marTop w:val="0"/>
          <w:marBottom w:val="0"/>
          <w:divBdr>
            <w:top w:val="none" w:sz="0" w:space="0" w:color="auto"/>
            <w:left w:val="none" w:sz="0" w:space="0" w:color="auto"/>
            <w:bottom w:val="none" w:sz="0" w:space="0" w:color="auto"/>
            <w:right w:val="none" w:sz="0" w:space="0" w:color="auto"/>
          </w:divBdr>
        </w:div>
        <w:div w:id="829831120">
          <w:marLeft w:val="720"/>
          <w:marRight w:val="0"/>
          <w:marTop w:val="0"/>
          <w:marBottom w:val="0"/>
          <w:divBdr>
            <w:top w:val="none" w:sz="0" w:space="0" w:color="auto"/>
            <w:left w:val="none" w:sz="0" w:space="0" w:color="auto"/>
            <w:bottom w:val="none" w:sz="0" w:space="0" w:color="auto"/>
            <w:right w:val="none" w:sz="0" w:space="0" w:color="auto"/>
          </w:divBdr>
        </w:div>
      </w:divsChild>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79529166">
      <w:bodyDiv w:val="1"/>
      <w:marLeft w:val="0"/>
      <w:marRight w:val="0"/>
      <w:marTop w:val="0"/>
      <w:marBottom w:val="0"/>
      <w:divBdr>
        <w:top w:val="none" w:sz="0" w:space="0" w:color="auto"/>
        <w:left w:val="none" w:sz="0" w:space="0" w:color="auto"/>
        <w:bottom w:val="none" w:sz="0" w:space="0" w:color="auto"/>
        <w:right w:val="none" w:sz="0" w:space="0" w:color="auto"/>
      </w:divBdr>
      <w:divsChild>
        <w:div w:id="664671570">
          <w:marLeft w:val="274"/>
          <w:marRight w:val="0"/>
          <w:marTop w:val="0"/>
          <w:marBottom w:val="0"/>
          <w:divBdr>
            <w:top w:val="none" w:sz="0" w:space="0" w:color="auto"/>
            <w:left w:val="none" w:sz="0" w:space="0" w:color="auto"/>
            <w:bottom w:val="none" w:sz="0" w:space="0" w:color="auto"/>
            <w:right w:val="none" w:sz="0" w:space="0" w:color="auto"/>
          </w:divBdr>
        </w:div>
        <w:div w:id="980158840">
          <w:marLeft w:val="274"/>
          <w:marRight w:val="0"/>
          <w:marTop w:val="0"/>
          <w:marBottom w:val="0"/>
          <w:divBdr>
            <w:top w:val="none" w:sz="0" w:space="0" w:color="auto"/>
            <w:left w:val="none" w:sz="0" w:space="0" w:color="auto"/>
            <w:bottom w:val="none" w:sz="0" w:space="0" w:color="auto"/>
            <w:right w:val="none" w:sz="0" w:space="0" w:color="auto"/>
          </w:divBdr>
        </w:div>
        <w:div w:id="683170135">
          <w:marLeft w:val="274"/>
          <w:marRight w:val="0"/>
          <w:marTop w:val="0"/>
          <w:marBottom w:val="0"/>
          <w:divBdr>
            <w:top w:val="none" w:sz="0" w:space="0" w:color="auto"/>
            <w:left w:val="none" w:sz="0" w:space="0" w:color="auto"/>
            <w:bottom w:val="none" w:sz="0" w:space="0" w:color="auto"/>
            <w:right w:val="none" w:sz="0" w:space="0" w:color="auto"/>
          </w:divBdr>
        </w:div>
        <w:div w:id="1279944745">
          <w:marLeft w:val="274"/>
          <w:marRight w:val="0"/>
          <w:marTop w:val="0"/>
          <w:marBottom w:val="0"/>
          <w:divBdr>
            <w:top w:val="none" w:sz="0" w:space="0" w:color="auto"/>
            <w:left w:val="none" w:sz="0" w:space="0" w:color="auto"/>
            <w:bottom w:val="none" w:sz="0" w:space="0" w:color="auto"/>
            <w:right w:val="none" w:sz="0" w:space="0" w:color="auto"/>
          </w:divBdr>
        </w:div>
        <w:div w:id="267199549">
          <w:marLeft w:val="274"/>
          <w:marRight w:val="0"/>
          <w:marTop w:val="0"/>
          <w:marBottom w:val="0"/>
          <w:divBdr>
            <w:top w:val="none" w:sz="0" w:space="0" w:color="auto"/>
            <w:left w:val="none" w:sz="0" w:space="0" w:color="auto"/>
            <w:bottom w:val="none" w:sz="0" w:space="0" w:color="auto"/>
            <w:right w:val="none" w:sz="0" w:space="0" w:color="auto"/>
          </w:divBdr>
        </w:div>
        <w:div w:id="1518734061">
          <w:marLeft w:val="274"/>
          <w:marRight w:val="0"/>
          <w:marTop w:val="0"/>
          <w:marBottom w:val="0"/>
          <w:divBdr>
            <w:top w:val="none" w:sz="0" w:space="0" w:color="auto"/>
            <w:left w:val="none" w:sz="0" w:space="0" w:color="auto"/>
            <w:bottom w:val="none" w:sz="0" w:space="0" w:color="auto"/>
            <w:right w:val="none" w:sz="0" w:space="0" w:color="auto"/>
          </w:divBdr>
        </w:div>
        <w:div w:id="1027288791">
          <w:marLeft w:val="274"/>
          <w:marRight w:val="0"/>
          <w:marTop w:val="0"/>
          <w:marBottom w:val="0"/>
          <w:divBdr>
            <w:top w:val="none" w:sz="0" w:space="0" w:color="auto"/>
            <w:left w:val="none" w:sz="0" w:space="0" w:color="auto"/>
            <w:bottom w:val="none" w:sz="0" w:space="0" w:color="auto"/>
            <w:right w:val="none" w:sz="0" w:space="0" w:color="auto"/>
          </w:divBdr>
        </w:div>
        <w:div w:id="1756365703">
          <w:marLeft w:val="274"/>
          <w:marRight w:val="0"/>
          <w:marTop w:val="0"/>
          <w:marBottom w:val="0"/>
          <w:divBdr>
            <w:top w:val="none" w:sz="0" w:space="0" w:color="auto"/>
            <w:left w:val="none" w:sz="0" w:space="0" w:color="auto"/>
            <w:bottom w:val="none" w:sz="0" w:space="0" w:color="auto"/>
            <w:right w:val="none" w:sz="0" w:space="0" w:color="auto"/>
          </w:divBdr>
        </w:div>
      </w:divsChild>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03343809">
      <w:bodyDiv w:val="1"/>
      <w:marLeft w:val="0"/>
      <w:marRight w:val="0"/>
      <w:marTop w:val="0"/>
      <w:marBottom w:val="0"/>
      <w:divBdr>
        <w:top w:val="none" w:sz="0" w:space="0" w:color="auto"/>
        <w:left w:val="none" w:sz="0" w:space="0" w:color="auto"/>
        <w:bottom w:val="none" w:sz="0" w:space="0" w:color="auto"/>
        <w:right w:val="none" w:sz="0" w:space="0" w:color="auto"/>
      </w:divBdr>
      <w:divsChild>
        <w:div w:id="659040265">
          <w:marLeft w:val="274"/>
          <w:marRight w:val="0"/>
          <w:marTop w:val="0"/>
          <w:marBottom w:val="0"/>
          <w:divBdr>
            <w:top w:val="none" w:sz="0" w:space="0" w:color="auto"/>
            <w:left w:val="none" w:sz="0" w:space="0" w:color="auto"/>
            <w:bottom w:val="none" w:sz="0" w:space="0" w:color="auto"/>
            <w:right w:val="none" w:sz="0" w:space="0" w:color="auto"/>
          </w:divBdr>
        </w:div>
        <w:div w:id="1021475986">
          <w:marLeft w:val="994"/>
          <w:marRight w:val="0"/>
          <w:marTop w:val="0"/>
          <w:marBottom w:val="0"/>
          <w:divBdr>
            <w:top w:val="none" w:sz="0" w:space="0" w:color="auto"/>
            <w:left w:val="none" w:sz="0" w:space="0" w:color="auto"/>
            <w:bottom w:val="none" w:sz="0" w:space="0" w:color="auto"/>
            <w:right w:val="none" w:sz="0" w:space="0" w:color="auto"/>
          </w:divBdr>
        </w:div>
        <w:div w:id="351347620">
          <w:marLeft w:val="994"/>
          <w:marRight w:val="0"/>
          <w:marTop w:val="0"/>
          <w:marBottom w:val="0"/>
          <w:divBdr>
            <w:top w:val="none" w:sz="0" w:space="0" w:color="auto"/>
            <w:left w:val="none" w:sz="0" w:space="0" w:color="auto"/>
            <w:bottom w:val="none" w:sz="0" w:space="0" w:color="auto"/>
            <w:right w:val="none" w:sz="0" w:space="0" w:color="auto"/>
          </w:divBdr>
        </w:div>
      </w:divsChild>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47753135">
      <w:bodyDiv w:val="1"/>
      <w:marLeft w:val="0"/>
      <w:marRight w:val="0"/>
      <w:marTop w:val="0"/>
      <w:marBottom w:val="0"/>
      <w:divBdr>
        <w:top w:val="none" w:sz="0" w:space="0" w:color="auto"/>
        <w:left w:val="none" w:sz="0" w:space="0" w:color="auto"/>
        <w:bottom w:val="none" w:sz="0" w:space="0" w:color="auto"/>
        <w:right w:val="none" w:sz="0" w:space="0" w:color="auto"/>
      </w:divBdr>
      <w:divsChild>
        <w:div w:id="1735397270">
          <w:marLeft w:val="994"/>
          <w:marRight w:val="0"/>
          <w:marTop w:val="0"/>
          <w:marBottom w:val="0"/>
          <w:divBdr>
            <w:top w:val="none" w:sz="0" w:space="0" w:color="auto"/>
            <w:left w:val="none" w:sz="0" w:space="0" w:color="auto"/>
            <w:bottom w:val="none" w:sz="0" w:space="0" w:color="auto"/>
            <w:right w:val="none" w:sz="0" w:space="0" w:color="auto"/>
          </w:divBdr>
        </w:div>
        <w:div w:id="1720517400">
          <w:marLeft w:val="994"/>
          <w:marRight w:val="0"/>
          <w:marTop w:val="0"/>
          <w:marBottom w:val="0"/>
          <w:divBdr>
            <w:top w:val="none" w:sz="0" w:space="0" w:color="auto"/>
            <w:left w:val="none" w:sz="0" w:space="0" w:color="auto"/>
            <w:bottom w:val="none" w:sz="0" w:space="0" w:color="auto"/>
            <w:right w:val="none" w:sz="0" w:space="0" w:color="auto"/>
          </w:divBdr>
        </w:div>
        <w:div w:id="526069343">
          <w:marLeft w:val="994"/>
          <w:marRight w:val="0"/>
          <w:marTop w:val="0"/>
          <w:marBottom w:val="0"/>
          <w:divBdr>
            <w:top w:val="none" w:sz="0" w:space="0" w:color="auto"/>
            <w:left w:val="none" w:sz="0" w:space="0" w:color="auto"/>
            <w:bottom w:val="none" w:sz="0" w:space="0" w:color="auto"/>
            <w:right w:val="none" w:sz="0" w:space="0" w:color="auto"/>
          </w:divBdr>
        </w:div>
        <w:div w:id="1854538244">
          <w:marLeft w:val="994"/>
          <w:marRight w:val="0"/>
          <w:marTop w:val="0"/>
          <w:marBottom w:val="0"/>
          <w:divBdr>
            <w:top w:val="none" w:sz="0" w:space="0" w:color="auto"/>
            <w:left w:val="none" w:sz="0" w:space="0" w:color="auto"/>
            <w:bottom w:val="none" w:sz="0" w:space="0" w:color="auto"/>
            <w:right w:val="none" w:sz="0" w:space="0" w:color="auto"/>
          </w:divBdr>
        </w:div>
      </w:divsChild>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050008">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5667029">
      <w:bodyDiv w:val="1"/>
      <w:marLeft w:val="0"/>
      <w:marRight w:val="0"/>
      <w:marTop w:val="0"/>
      <w:marBottom w:val="0"/>
      <w:divBdr>
        <w:top w:val="none" w:sz="0" w:space="0" w:color="auto"/>
        <w:left w:val="none" w:sz="0" w:space="0" w:color="auto"/>
        <w:bottom w:val="none" w:sz="0" w:space="0" w:color="auto"/>
        <w:right w:val="none" w:sz="0" w:space="0" w:color="auto"/>
      </w:divBdr>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22410762">
      <w:bodyDiv w:val="1"/>
      <w:marLeft w:val="0"/>
      <w:marRight w:val="0"/>
      <w:marTop w:val="0"/>
      <w:marBottom w:val="0"/>
      <w:divBdr>
        <w:top w:val="none" w:sz="0" w:space="0" w:color="auto"/>
        <w:left w:val="none" w:sz="0" w:space="0" w:color="auto"/>
        <w:bottom w:val="none" w:sz="0" w:space="0" w:color="auto"/>
        <w:right w:val="none" w:sz="0" w:space="0" w:color="auto"/>
      </w:divBdr>
      <w:divsChild>
        <w:div w:id="517962291">
          <w:marLeft w:val="994"/>
          <w:marRight w:val="0"/>
          <w:marTop w:val="0"/>
          <w:marBottom w:val="0"/>
          <w:divBdr>
            <w:top w:val="none" w:sz="0" w:space="0" w:color="auto"/>
            <w:left w:val="none" w:sz="0" w:space="0" w:color="auto"/>
            <w:bottom w:val="none" w:sz="0" w:space="0" w:color="auto"/>
            <w:right w:val="none" w:sz="0" w:space="0" w:color="auto"/>
          </w:divBdr>
        </w:div>
        <w:div w:id="1361932372">
          <w:marLeft w:val="994"/>
          <w:marRight w:val="0"/>
          <w:marTop w:val="0"/>
          <w:marBottom w:val="0"/>
          <w:divBdr>
            <w:top w:val="none" w:sz="0" w:space="0" w:color="auto"/>
            <w:left w:val="none" w:sz="0" w:space="0" w:color="auto"/>
            <w:bottom w:val="none" w:sz="0" w:space="0" w:color="auto"/>
            <w:right w:val="none" w:sz="0" w:space="0" w:color="auto"/>
          </w:divBdr>
        </w:div>
        <w:div w:id="202984747">
          <w:marLeft w:val="994"/>
          <w:marRight w:val="0"/>
          <w:marTop w:val="0"/>
          <w:marBottom w:val="0"/>
          <w:divBdr>
            <w:top w:val="none" w:sz="0" w:space="0" w:color="auto"/>
            <w:left w:val="none" w:sz="0" w:space="0" w:color="auto"/>
            <w:bottom w:val="none" w:sz="0" w:space="0" w:color="auto"/>
            <w:right w:val="none" w:sz="0" w:space="0" w:color="auto"/>
          </w:divBdr>
        </w:div>
        <w:div w:id="171457309">
          <w:marLeft w:val="994"/>
          <w:marRight w:val="0"/>
          <w:marTop w:val="0"/>
          <w:marBottom w:val="0"/>
          <w:divBdr>
            <w:top w:val="none" w:sz="0" w:space="0" w:color="auto"/>
            <w:left w:val="none" w:sz="0" w:space="0" w:color="auto"/>
            <w:bottom w:val="none" w:sz="0" w:space="0" w:color="auto"/>
            <w:right w:val="none" w:sz="0" w:space="0" w:color="auto"/>
          </w:divBdr>
        </w:div>
      </w:divsChild>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79416275">
      <w:bodyDiv w:val="1"/>
      <w:marLeft w:val="0"/>
      <w:marRight w:val="0"/>
      <w:marTop w:val="0"/>
      <w:marBottom w:val="0"/>
      <w:divBdr>
        <w:top w:val="none" w:sz="0" w:space="0" w:color="auto"/>
        <w:left w:val="none" w:sz="0" w:space="0" w:color="auto"/>
        <w:bottom w:val="none" w:sz="0" w:space="0" w:color="auto"/>
        <w:right w:val="none" w:sz="0" w:space="0" w:color="auto"/>
      </w:divBdr>
      <w:divsChild>
        <w:div w:id="814221458">
          <w:marLeft w:val="1440"/>
          <w:marRight w:val="0"/>
          <w:marTop w:val="0"/>
          <w:marBottom w:val="0"/>
          <w:divBdr>
            <w:top w:val="none" w:sz="0" w:space="0" w:color="auto"/>
            <w:left w:val="none" w:sz="0" w:space="0" w:color="auto"/>
            <w:bottom w:val="none" w:sz="0" w:space="0" w:color="auto"/>
            <w:right w:val="none" w:sz="0" w:space="0" w:color="auto"/>
          </w:divBdr>
        </w:div>
        <w:div w:id="565069896">
          <w:marLeft w:val="1440"/>
          <w:marRight w:val="0"/>
          <w:marTop w:val="0"/>
          <w:marBottom w:val="0"/>
          <w:divBdr>
            <w:top w:val="none" w:sz="0" w:space="0" w:color="auto"/>
            <w:left w:val="none" w:sz="0" w:space="0" w:color="auto"/>
            <w:bottom w:val="none" w:sz="0" w:space="0" w:color="auto"/>
            <w:right w:val="none" w:sz="0" w:space="0" w:color="auto"/>
          </w:divBdr>
        </w:div>
        <w:div w:id="867335261">
          <w:marLeft w:val="1440"/>
          <w:marRight w:val="0"/>
          <w:marTop w:val="0"/>
          <w:marBottom w:val="0"/>
          <w:divBdr>
            <w:top w:val="none" w:sz="0" w:space="0" w:color="auto"/>
            <w:left w:val="none" w:sz="0" w:space="0" w:color="auto"/>
            <w:bottom w:val="none" w:sz="0" w:space="0" w:color="auto"/>
            <w:right w:val="none" w:sz="0" w:space="0" w:color="auto"/>
          </w:divBdr>
        </w:div>
        <w:div w:id="1919095511">
          <w:marLeft w:val="1440"/>
          <w:marRight w:val="0"/>
          <w:marTop w:val="0"/>
          <w:marBottom w:val="0"/>
          <w:divBdr>
            <w:top w:val="none" w:sz="0" w:space="0" w:color="auto"/>
            <w:left w:val="none" w:sz="0" w:space="0" w:color="auto"/>
            <w:bottom w:val="none" w:sz="0" w:space="0" w:color="auto"/>
            <w:right w:val="none" w:sz="0" w:space="0" w:color="auto"/>
          </w:divBdr>
        </w:div>
      </w:divsChild>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8</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November 2022 OAR Quality Call Bulletin</vt:lpstr>
    </vt:vector>
  </TitlesOfParts>
  <Company>Veterans Benefits Administration</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2022 OAR Quality Call Bulletin</dc:title>
  <dc:subject/>
  <dc:creator>Department of Veterans Affairs, Veterans Benefits Administration, Office of Administrative Review, STAFF</dc:creator>
  <cp:keywords/>
  <dc:description/>
  <cp:lastModifiedBy>Kathy Poole</cp:lastModifiedBy>
  <cp:revision>25</cp:revision>
  <cp:lastPrinted>2021-10-28T16:37:00Z</cp:lastPrinted>
  <dcterms:created xsi:type="dcterms:W3CDTF">2022-11-09T15:31:00Z</dcterms:created>
  <dcterms:modified xsi:type="dcterms:W3CDTF">2022-11-29T15:31:00Z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