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7F23B" w14:textId="1885F956" w:rsidR="00013AFF" w:rsidRDefault="00013AFF" w:rsidP="00013AFF">
      <w:r w:rsidRPr="00013AFF">
        <w:t xml:space="preserve">38 C.F.R. § 3.103(f) states that a summary of the laws and regulations applicable to the claim must be included in the notification of decisions. Laws and regulations inform the claimant of the legal basis for a decision. When determining what laws and regulations should be summarized in the decision notice, review the issue and decision made on the claim. Only include the relevant references within the </w:t>
      </w:r>
      <w:hyperlink r:id="rId8" w:history="1">
        <w:r w:rsidRPr="001A2FAD">
          <w:rPr>
            <w:rStyle w:val="Hyperlink"/>
          </w:rPr>
          <w:t>Code of Federal Regulations (C.F.R.)</w:t>
        </w:r>
      </w:hyperlink>
      <w:r w:rsidRPr="00013AFF">
        <w:t xml:space="preserve"> or </w:t>
      </w:r>
      <w:hyperlink r:id="rId9" w:history="1">
        <w:r w:rsidRPr="001A2FAD">
          <w:rPr>
            <w:rStyle w:val="Hyperlink"/>
          </w:rPr>
          <w:t>United States Code (U.S.C.)</w:t>
        </w:r>
      </w:hyperlink>
      <w:r w:rsidRPr="00013AFF">
        <w:t xml:space="preserve"> that apply to the specific issue(s) decided. </w:t>
      </w:r>
    </w:p>
    <w:p w14:paraId="30F42726" w14:textId="77777777" w:rsidR="00013AFF" w:rsidRPr="00013AFF" w:rsidRDefault="00013AFF" w:rsidP="00013AFF"/>
    <w:p w14:paraId="2BB4AA69" w14:textId="217236AF" w:rsidR="00013AFF" w:rsidRPr="00013AFF" w:rsidRDefault="00013AFF" w:rsidP="00013AFF">
      <w:r w:rsidRPr="00013AFF">
        <w:t>The following list is provided to assist claims processors with selecting the most relevant references for non-rating issues. The list is not all-inclusive. Claims processors must thoroughly review the decision(s) made to ensure all applicable laws and regulations have been included within the notice.</w:t>
      </w:r>
      <w:r w:rsidR="00041820">
        <w:t xml:space="preserve"> Duplicate laws and regulations </w:t>
      </w:r>
      <w:r w:rsidR="00F2492B">
        <w:t>should not be listed</w:t>
      </w:r>
      <w:r w:rsidR="00041820">
        <w:t xml:space="preserve"> for the same issue.</w:t>
      </w:r>
    </w:p>
    <w:p w14:paraId="326E9BD5" w14:textId="77777777" w:rsidR="00013AFF" w:rsidRDefault="00013AFF"/>
    <w:p w14:paraId="0756A899" w14:textId="27D1C3ED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Accrued (Relationship/Reimbursement)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185"/>
      </w:tblGrid>
      <w:tr w:rsidR="000753FA" w14:paraId="4B81214E" w14:textId="77777777" w:rsidTr="00E674A7">
        <w:tc>
          <w:tcPr>
            <w:tcW w:w="1885" w:type="dxa"/>
            <w:shd w:val="clear" w:color="auto" w:fill="D9E2F3" w:themeFill="accent1" w:themeFillTint="33"/>
          </w:tcPr>
          <w:p w14:paraId="492EFE7C" w14:textId="6C078F4B" w:rsidR="000753FA" w:rsidRDefault="000753FA">
            <w:r>
              <w:t xml:space="preserve">Grant/Deny </w:t>
            </w:r>
          </w:p>
        </w:tc>
        <w:tc>
          <w:tcPr>
            <w:tcW w:w="8185" w:type="dxa"/>
          </w:tcPr>
          <w:p w14:paraId="5663302B" w14:textId="77777777" w:rsidR="000753FA" w:rsidRPr="000753FA" w:rsidRDefault="000753FA" w:rsidP="000753FA">
            <w:pPr>
              <w:numPr>
                <w:ilvl w:val="0"/>
                <w:numId w:val="1"/>
              </w:numPr>
              <w:spacing w:before="100" w:after="200" w:line="276" w:lineRule="auto"/>
              <w:ind w:left="360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753FA">
              <w:rPr>
                <w:rFonts w:eastAsiaTheme="minorEastAsia" w:cs="Arial"/>
                <w:kern w:val="0"/>
                <w:szCs w:val="24"/>
                <w14:ligatures w14:val="none"/>
              </w:rPr>
              <w:t>38 C.F.R. § 3.159 Department of Veterans Affairs assistance in developing claims</w:t>
            </w:r>
          </w:p>
          <w:p w14:paraId="363BCF04" w14:textId="77777777" w:rsidR="000753FA" w:rsidRPr="000753FA" w:rsidRDefault="000753FA" w:rsidP="000753FA">
            <w:pPr>
              <w:numPr>
                <w:ilvl w:val="0"/>
                <w:numId w:val="1"/>
              </w:numPr>
              <w:spacing w:before="100" w:after="200" w:line="276" w:lineRule="auto"/>
              <w:ind w:left="360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753FA">
              <w:rPr>
                <w:rFonts w:eastAsiaTheme="minorEastAsia" w:cs="Arial"/>
                <w:kern w:val="0"/>
                <w:szCs w:val="24"/>
                <w14:ligatures w14:val="none"/>
              </w:rPr>
              <w:t>38 C.F.R. § 3.160 Status of claims</w:t>
            </w:r>
          </w:p>
          <w:p w14:paraId="2F81ADC9" w14:textId="77777777" w:rsidR="000753FA" w:rsidRPr="000753FA" w:rsidRDefault="000753FA" w:rsidP="000753FA">
            <w:pPr>
              <w:numPr>
                <w:ilvl w:val="0"/>
                <w:numId w:val="1"/>
              </w:numPr>
              <w:spacing w:before="100" w:after="200" w:line="276" w:lineRule="auto"/>
              <w:ind w:left="360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753FA">
              <w:rPr>
                <w:rFonts w:eastAsiaTheme="minorEastAsia" w:cs="Arial"/>
                <w:kern w:val="0"/>
                <w:szCs w:val="24"/>
                <w14:ligatures w14:val="none"/>
              </w:rPr>
              <w:t>38 C.F.R. § 3.211 Death</w:t>
            </w:r>
          </w:p>
          <w:p w14:paraId="1CF4CFFD" w14:textId="77777777" w:rsidR="000753FA" w:rsidRPr="000753FA" w:rsidRDefault="000753FA" w:rsidP="000753FA">
            <w:pPr>
              <w:numPr>
                <w:ilvl w:val="0"/>
                <w:numId w:val="1"/>
              </w:numPr>
              <w:spacing w:before="100" w:after="200" w:line="276" w:lineRule="auto"/>
              <w:ind w:left="360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753FA">
              <w:rPr>
                <w:rFonts w:eastAsiaTheme="minorEastAsia" w:cs="Arial"/>
                <w:kern w:val="0"/>
                <w:szCs w:val="24"/>
                <w14:ligatures w14:val="none"/>
              </w:rPr>
              <w:t>38 C.F.R. § 3.1000 Entitlement under 38 U.S.C. § 5121 to benefits due and unpaid upon death of a beneficiary</w:t>
            </w:r>
          </w:p>
          <w:p w14:paraId="6B406757" w14:textId="4BA3F0B1" w:rsidR="000753FA" w:rsidRDefault="000753FA" w:rsidP="000753FA">
            <w:pPr>
              <w:numPr>
                <w:ilvl w:val="0"/>
                <w:numId w:val="1"/>
              </w:numPr>
              <w:spacing w:before="100" w:after="200" w:line="276" w:lineRule="auto"/>
              <w:ind w:left="360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753FA">
              <w:rPr>
                <w:rFonts w:eastAsiaTheme="minorEastAsia" w:cs="Arial"/>
                <w:kern w:val="0"/>
                <w:szCs w:val="24"/>
                <w14:ligatures w14:val="none"/>
              </w:rPr>
              <w:t>38 C.F.R. § 3.1010 Substitution under 38 U.S.C. § 5121A following death of a claimant</w:t>
            </w:r>
          </w:p>
          <w:p w14:paraId="4ADE19E4" w14:textId="77777777" w:rsidR="00E674A7" w:rsidRPr="000753FA" w:rsidRDefault="00E674A7" w:rsidP="00E674A7">
            <w:pPr>
              <w:spacing w:before="100" w:after="200" w:line="276" w:lineRule="auto"/>
              <w:ind w:left="360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</w:p>
          <w:p w14:paraId="2441F3A4" w14:textId="77777777" w:rsidR="00E674A7" w:rsidRPr="00E674A7" w:rsidRDefault="000753FA" w:rsidP="00E674A7">
            <w:pPr>
              <w:spacing w:before="100" w:after="200" w:line="276" w:lineRule="auto"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753FA">
              <w:rPr>
                <w:rFonts w:eastAsiaTheme="minorEastAsia" w:cs="Arial"/>
                <w:kern w:val="0"/>
                <w:szCs w:val="24"/>
                <w14:ligatures w14:val="none"/>
              </w:rPr>
              <w:t>If granting/denying benefits to person(s) having lower preference based on death or forfeiture from person with preferred entitlement, also include:</w:t>
            </w:r>
          </w:p>
          <w:p w14:paraId="686E1F28" w14:textId="595EC895" w:rsidR="000753FA" w:rsidRDefault="000753FA" w:rsidP="00E674A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674A7">
              <w:rPr>
                <w:rFonts w:ascii="Arial" w:hAnsi="Arial" w:cs="Arial"/>
                <w:sz w:val="24"/>
                <w:szCs w:val="24"/>
              </w:rPr>
              <w:t>38 C.F.R. § 3.669 Forfeiture</w:t>
            </w:r>
          </w:p>
          <w:p w14:paraId="63E9996D" w14:textId="607489E6" w:rsidR="006610F8" w:rsidRPr="00E674A7" w:rsidRDefault="006610F8" w:rsidP="00E674A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3.904 Effect of forfeiture after Veteran’s death</w:t>
            </w:r>
          </w:p>
          <w:p w14:paraId="5C3BD841" w14:textId="77777777" w:rsidR="00E674A7" w:rsidRPr="000753FA" w:rsidRDefault="00E674A7" w:rsidP="00E674A7">
            <w:pPr>
              <w:spacing w:before="100" w:after="200" w:line="276" w:lineRule="auto"/>
              <w:ind w:left="360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</w:p>
          <w:p w14:paraId="2AE5C346" w14:textId="6C7AAB97" w:rsidR="000753FA" w:rsidRDefault="00000000" w:rsidP="000753FA">
            <w:hyperlink r:id="rId10" w:history="1">
              <w:r w:rsidR="000753FA" w:rsidRPr="000753FA">
                <w:rPr>
                  <w:rFonts w:eastAsiaTheme="minorEastAsia" w:cs="Arial"/>
                  <w:color w:val="0563C1" w:themeColor="hyperlink"/>
                  <w:kern w:val="0"/>
                  <w:szCs w:val="24"/>
                  <w:u w:val="single"/>
                  <w14:ligatures w14:val="none"/>
                </w:rPr>
                <w:t xml:space="preserve">VA Form 21P-10195, </w:t>
              </w:r>
              <w:r w:rsidR="000753FA" w:rsidRPr="000753FA">
                <w:rPr>
                  <w:rFonts w:eastAsiaTheme="minorEastAsia" w:cs="Arial"/>
                  <w:i/>
                  <w:iCs/>
                  <w:color w:val="0563C1" w:themeColor="hyperlink"/>
                  <w:kern w:val="0"/>
                  <w:szCs w:val="24"/>
                  <w:u w:val="single"/>
                  <w14:ligatures w14:val="none"/>
                </w:rPr>
                <w:t>Legal Summary Accrued Benefits</w:t>
              </w:r>
            </w:hyperlink>
            <w:r w:rsidR="000753FA" w:rsidRPr="000753FA">
              <w:rPr>
                <w:rFonts w:eastAsiaTheme="minorEastAsia" w:cs="Arial"/>
                <w:kern w:val="0"/>
                <w:szCs w:val="24"/>
                <w14:ligatures w14:val="none"/>
              </w:rPr>
              <w:t xml:space="preserve">, may be used </w:t>
            </w:r>
            <w:r w:rsidR="007641A7">
              <w:rPr>
                <w:rFonts w:eastAsiaTheme="minorEastAsia" w:cs="Arial"/>
                <w:kern w:val="0"/>
                <w:szCs w:val="24"/>
                <w14:ligatures w14:val="none"/>
              </w:rPr>
              <w:t>in lieu of listing</w:t>
            </w:r>
            <w:r w:rsidR="000753FA" w:rsidRPr="000753FA">
              <w:rPr>
                <w:rFonts w:eastAsiaTheme="minorEastAsia" w:cs="Arial"/>
                <w:kern w:val="0"/>
                <w:szCs w:val="24"/>
                <w14:ligatures w14:val="none"/>
              </w:rPr>
              <w:t xml:space="preserve"> the laws and regulations </w:t>
            </w:r>
            <w:r w:rsidR="007641A7">
              <w:rPr>
                <w:rFonts w:eastAsiaTheme="minorEastAsia" w:cs="Arial"/>
                <w:kern w:val="0"/>
                <w:szCs w:val="24"/>
                <w14:ligatures w14:val="none"/>
              </w:rPr>
              <w:t>for</w:t>
            </w:r>
            <w:r w:rsidR="000753FA" w:rsidRPr="000753FA">
              <w:rPr>
                <w:rFonts w:eastAsiaTheme="minorEastAsia" w:cs="Arial"/>
                <w:kern w:val="0"/>
                <w:szCs w:val="24"/>
                <w14:ligatures w14:val="none"/>
              </w:rPr>
              <w:t xml:space="preserve"> most accrued claims.</w:t>
            </w:r>
          </w:p>
        </w:tc>
      </w:tr>
    </w:tbl>
    <w:p w14:paraId="77613362" w14:textId="685F0403" w:rsidR="00013AFF" w:rsidRDefault="00013AFF"/>
    <w:p w14:paraId="79F99D0F" w14:textId="4E589C4E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Accrued (Returned and Canceled Checks)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185"/>
      </w:tblGrid>
      <w:tr w:rsidR="000753FA" w14:paraId="2D99184D" w14:textId="77777777" w:rsidTr="00E674A7">
        <w:tc>
          <w:tcPr>
            <w:tcW w:w="1885" w:type="dxa"/>
            <w:shd w:val="clear" w:color="auto" w:fill="D9E2F3" w:themeFill="accent1" w:themeFillTint="33"/>
          </w:tcPr>
          <w:p w14:paraId="6A5650AF" w14:textId="7911286E" w:rsidR="000753FA" w:rsidRDefault="000753FA">
            <w:r>
              <w:t xml:space="preserve">Grant/Deny </w:t>
            </w:r>
          </w:p>
        </w:tc>
        <w:tc>
          <w:tcPr>
            <w:tcW w:w="8185" w:type="dxa"/>
          </w:tcPr>
          <w:p w14:paraId="0F9A9950" w14:textId="77777777" w:rsidR="000753FA" w:rsidRDefault="000753FA" w:rsidP="000753FA">
            <w:pPr>
              <w:numPr>
                <w:ilvl w:val="0"/>
                <w:numId w:val="4"/>
              </w:numPr>
              <w:spacing w:before="100" w:after="200" w:line="276" w:lineRule="auto"/>
              <w:ind w:left="360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753FA">
              <w:rPr>
                <w:rFonts w:eastAsiaTheme="minorEastAsia" w:cs="Arial"/>
                <w:kern w:val="0"/>
                <w:szCs w:val="24"/>
                <w14:ligatures w14:val="none"/>
              </w:rPr>
              <w:t>38 C.F.R. § 3.1003 Returned and canceled checks</w:t>
            </w:r>
          </w:p>
          <w:p w14:paraId="0C622E5B" w14:textId="38F8532D" w:rsidR="000753FA" w:rsidRPr="000753FA" w:rsidRDefault="000753FA" w:rsidP="000753FA">
            <w:pPr>
              <w:numPr>
                <w:ilvl w:val="0"/>
                <w:numId w:val="4"/>
              </w:numPr>
              <w:spacing w:before="100" w:after="200" w:line="276" w:lineRule="auto"/>
              <w:ind w:left="360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753FA">
              <w:rPr>
                <w:rFonts w:eastAsiaTheme="minorEastAsia" w:cs="Arial"/>
                <w:kern w:val="0"/>
                <w:szCs w:val="24"/>
                <w14:ligatures w14:val="none"/>
              </w:rPr>
              <w:t>38 U.S.C. § 5122 Cancellation of checks mailed to deceased payees</w:t>
            </w:r>
          </w:p>
        </w:tc>
      </w:tr>
    </w:tbl>
    <w:p w14:paraId="19E2E532" w14:textId="494DFD1B" w:rsidR="00013AFF" w:rsidRDefault="00013AFF"/>
    <w:p w14:paraId="6B745FCB" w14:textId="518B3E7A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Active Duty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185"/>
      </w:tblGrid>
      <w:tr w:rsidR="000753FA" w14:paraId="7120260C" w14:textId="77777777" w:rsidTr="00E674A7">
        <w:tc>
          <w:tcPr>
            <w:tcW w:w="1885" w:type="dxa"/>
            <w:shd w:val="clear" w:color="auto" w:fill="D9E2F3" w:themeFill="accent1" w:themeFillTint="33"/>
          </w:tcPr>
          <w:p w14:paraId="013C726E" w14:textId="49DEFF56" w:rsidR="000753FA" w:rsidRDefault="00E674A7">
            <w:r>
              <w:rPr>
                <w:rFonts w:cs="Arial"/>
                <w:szCs w:val="24"/>
              </w:rPr>
              <w:t xml:space="preserve">Return to active duty </w:t>
            </w:r>
          </w:p>
        </w:tc>
        <w:tc>
          <w:tcPr>
            <w:tcW w:w="8185" w:type="dxa"/>
          </w:tcPr>
          <w:p w14:paraId="7E5AFB8C" w14:textId="77777777" w:rsidR="00E674A7" w:rsidRPr="00E674A7" w:rsidRDefault="00E674A7" w:rsidP="00E674A7">
            <w:pPr>
              <w:numPr>
                <w:ilvl w:val="0"/>
                <w:numId w:val="5"/>
              </w:numPr>
              <w:spacing w:before="100" w:after="200" w:line="276" w:lineRule="auto"/>
              <w:ind w:left="360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3.6 Duty periods</w:t>
            </w:r>
          </w:p>
          <w:p w14:paraId="0371257F" w14:textId="77777777" w:rsidR="00E674A7" w:rsidRPr="00E674A7" w:rsidRDefault="00E674A7" w:rsidP="00E674A7">
            <w:pPr>
              <w:numPr>
                <w:ilvl w:val="0"/>
                <w:numId w:val="5"/>
              </w:numPr>
              <w:spacing w:before="100" w:after="200" w:line="276" w:lineRule="auto"/>
              <w:ind w:left="360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3.501 Veterans (Reductions and discontinuances)</w:t>
            </w:r>
          </w:p>
          <w:p w14:paraId="26B82186" w14:textId="77777777" w:rsidR="00E674A7" w:rsidRPr="00E674A7" w:rsidRDefault="00E674A7" w:rsidP="00E674A7">
            <w:pPr>
              <w:numPr>
                <w:ilvl w:val="0"/>
                <w:numId w:val="5"/>
              </w:numPr>
              <w:spacing w:before="100" w:after="200" w:line="276" w:lineRule="auto"/>
              <w:ind w:left="360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3.654 Active service pay</w:t>
            </w:r>
          </w:p>
          <w:p w14:paraId="00EAE7DA" w14:textId="77777777" w:rsidR="00E674A7" w:rsidRDefault="00E674A7" w:rsidP="00E674A7">
            <w:pPr>
              <w:numPr>
                <w:ilvl w:val="0"/>
                <w:numId w:val="5"/>
              </w:numPr>
              <w:spacing w:before="100" w:after="200" w:line="276" w:lineRule="auto"/>
              <w:ind w:left="360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3.700 General (Concurrent benefits and elections)</w:t>
            </w:r>
          </w:p>
          <w:p w14:paraId="06FE9ED6" w14:textId="4ECD4553" w:rsidR="000753FA" w:rsidRPr="00E674A7" w:rsidRDefault="00E674A7" w:rsidP="00E674A7">
            <w:pPr>
              <w:numPr>
                <w:ilvl w:val="0"/>
                <w:numId w:val="5"/>
              </w:numPr>
              <w:spacing w:before="100" w:after="200" w:line="276" w:lineRule="auto"/>
              <w:ind w:left="360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lastRenderedPageBreak/>
              <w:t>38 U.S.C. § 5304 Prohibition against duplication of benefits</w:t>
            </w:r>
          </w:p>
        </w:tc>
      </w:tr>
      <w:tr w:rsidR="00E674A7" w14:paraId="2CF58527" w14:textId="77777777" w:rsidTr="00E674A7">
        <w:tc>
          <w:tcPr>
            <w:tcW w:w="1885" w:type="dxa"/>
            <w:shd w:val="clear" w:color="auto" w:fill="D9E2F3" w:themeFill="accent1" w:themeFillTint="33"/>
          </w:tcPr>
          <w:p w14:paraId="42AD9ADB" w14:textId="57723C0F" w:rsidR="00E674A7" w:rsidRDefault="00E674A7">
            <w:r>
              <w:rPr>
                <w:rFonts w:cs="Arial"/>
                <w:szCs w:val="24"/>
              </w:rPr>
              <w:lastRenderedPageBreak/>
              <w:t xml:space="preserve">Release from active duty </w:t>
            </w:r>
          </w:p>
        </w:tc>
        <w:tc>
          <w:tcPr>
            <w:tcW w:w="8185" w:type="dxa"/>
          </w:tcPr>
          <w:p w14:paraId="25EE3AD1" w14:textId="77777777" w:rsidR="00E674A7" w:rsidRPr="00E674A7" w:rsidRDefault="00E674A7" w:rsidP="00E674A7">
            <w:pPr>
              <w:numPr>
                <w:ilvl w:val="0"/>
                <w:numId w:val="5"/>
              </w:numPr>
              <w:spacing w:before="100" w:after="200" w:line="276" w:lineRule="auto"/>
              <w:ind w:left="360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3.6 Duty periods</w:t>
            </w:r>
          </w:p>
          <w:p w14:paraId="3F531C92" w14:textId="77777777" w:rsidR="00E674A7" w:rsidRPr="00E674A7" w:rsidRDefault="00E674A7" w:rsidP="00E674A7">
            <w:pPr>
              <w:numPr>
                <w:ilvl w:val="0"/>
                <w:numId w:val="5"/>
              </w:numPr>
              <w:spacing w:before="100" w:after="200" w:line="276" w:lineRule="auto"/>
              <w:ind w:left="360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3.12 Character of discharge</w:t>
            </w:r>
          </w:p>
          <w:p w14:paraId="727BF32A" w14:textId="77777777" w:rsidR="00E674A7" w:rsidRDefault="00E674A7" w:rsidP="00E674A7">
            <w:pPr>
              <w:numPr>
                <w:ilvl w:val="0"/>
                <w:numId w:val="5"/>
              </w:numPr>
              <w:spacing w:before="100" w:after="200" w:line="276" w:lineRule="auto"/>
              <w:ind w:left="360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3.203 Service records as evidence of service and character of discharge</w:t>
            </w:r>
          </w:p>
          <w:p w14:paraId="191A9C93" w14:textId="182C8234" w:rsidR="00E674A7" w:rsidRPr="00E674A7" w:rsidRDefault="00E674A7" w:rsidP="00E674A7">
            <w:pPr>
              <w:numPr>
                <w:ilvl w:val="0"/>
                <w:numId w:val="5"/>
              </w:numPr>
              <w:spacing w:before="100" w:after="200" w:line="276" w:lineRule="auto"/>
              <w:ind w:left="360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3.654 Active service pay</w:t>
            </w:r>
          </w:p>
        </w:tc>
      </w:tr>
    </w:tbl>
    <w:p w14:paraId="17F41506" w14:textId="77777777" w:rsidR="000753FA" w:rsidRDefault="000753FA"/>
    <w:p w14:paraId="2A7973B4" w14:textId="74749379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Administrative Error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185"/>
      </w:tblGrid>
      <w:tr w:rsidR="000753FA" w14:paraId="657D7E32" w14:textId="77777777" w:rsidTr="00E674A7">
        <w:tc>
          <w:tcPr>
            <w:tcW w:w="1885" w:type="dxa"/>
            <w:shd w:val="clear" w:color="auto" w:fill="D9E2F3" w:themeFill="accent1" w:themeFillTint="33"/>
          </w:tcPr>
          <w:p w14:paraId="12332BAF" w14:textId="3D9CE446" w:rsidR="000753FA" w:rsidRDefault="00E674A7">
            <w:r>
              <w:t>Award adjustment due to admin error</w:t>
            </w:r>
          </w:p>
        </w:tc>
        <w:tc>
          <w:tcPr>
            <w:tcW w:w="8185" w:type="dxa"/>
          </w:tcPr>
          <w:p w14:paraId="02F36945" w14:textId="77777777" w:rsidR="00E674A7" w:rsidRPr="00E674A7" w:rsidRDefault="00E674A7" w:rsidP="00E674A7">
            <w:pPr>
              <w:numPr>
                <w:ilvl w:val="0"/>
                <w:numId w:val="8"/>
              </w:numPr>
            </w:pPr>
            <w:r w:rsidRPr="00E674A7">
              <w:t>38 C.F.R. § 3.105 Revisions of decisions</w:t>
            </w:r>
          </w:p>
          <w:p w14:paraId="4F1A2FC4" w14:textId="77777777" w:rsidR="00E674A7" w:rsidRDefault="00E674A7" w:rsidP="00E674A7">
            <w:pPr>
              <w:numPr>
                <w:ilvl w:val="0"/>
                <w:numId w:val="8"/>
              </w:numPr>
            </w:pPr>
            <w:r w:rsidRPr="00E674A7">
              <w:t>38 C.F.R. § 3.500 General (Reductions and discontinuances)</w:t>
            </w:r>
          </w:p>
          <w:p w14:paraId="501F8D53" w14:textId="3AA758C8" w:rsidR="000753FA" w:rsidRDefault="00E674A7" w:rsidP="00E674A7">
            <w:pPr>
              <w:numPr>
                <w:ilvl w:val="0"/>
                <w:numId w:val="8"/>
              </w:numPr>
            </w:pPr>
            <w:r w:rsidRPr="00E674A7">
              <w:t>38 U.S.C. § 5112 Effective dates of reductions and discontinuances</w:t>
            </w:r>
          </w:p>
        </w:tc>
      </w:tr>
    </w:tbl>
    <w:p w14:paraId="0CD84162" w14:textId="77777777" w:rsidR="000753FA" w:rsidRDefault="000753FA"/>
    <w:p w14:paraId="3FF8AD07" w14:textId="7E49522F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Apportionment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8146"/>
      </w:tblGrid>
      <w:tr w:rsidR="000753FA" w14:paraId="4858F2F2" w14:textId="77777777" w:rsidTr="00F70ED1">
        <w:tc>
          <w:tcPr>
            <w:tcW w:w="1924" w:type="dxa"/>
            <w:shd w:val="clear" w:color="auto" w:fill="D9E2F3" w:themeFill="accent1" w:themeFillTint="33"/>
          </w:tcPr>
          <w:p w14:paraId="19C6CB2C" w14:textId="49FA3B37" w:rsidR="000753FA" w:rsidRDefault="00E674A7">
            <w:r>
              <w:t xml:space="preserve">Grant </w:t>
            </w:r>
          </w:p>
        </w:tc>
        <w:tc>
          <w:tcPr>
            <w:tcW w:w="8146" w:type="dxa"/>
          </w:tcPr>
          <w:p w14:paraId="27A82A02" w14:textId="77777777" w:rsidR="00E674A7" w:rsidRPr="00E674A7" w:rsidRDefault="00E674A7" w:rsidP="00E674A7">
            <w:pPr>
              <w:numPr>
                <w:ilvl w:val="0"/>
                <w:numId w:val="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3.31 Commencement of the period of payment</w:t>
            </w:r>
          </w:p>
          <w:p w14:paraId="7960481E" w14:textId="77777777" w:rsidR="00E674A7" w:rsidRPr="00E674A7" w:rsidRDefault="00E674A7" w:rsidP="00E674A7">
            <w:pPr>
              <w:numPr>
                <w:ilvl w:val="0"/>
                <w:numId w:val="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3.400 General (Effective dates)</w:t>
            </w:r>
          </w:p>
          <w:p w14:paraId="7DBBAC58" w14:textId="77777777" w:rsidR="00E674A7" w:rsidRPr="00E674A7" w:rsidRDefault="00E674A7" w:rsidP="00E674A7">
            <w:pPr>
              <w:numPr>
                <w:ilvl w:val="0"/>
                <w:numId w:val="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3.450 General (Apportionment)</w:t>
            </w:r>
          </w:p>
          <w:p w14:paraId="23CF9924" w14:textId="77777777" w:rsidR="00E674A7" w:rsidRPr="00E674A7" w:rsidRDefault="00E674A7" w:rsidP="00E674A7">
            <w:pPr>
              <w:numPr>
                <w:ilvl w:val="0"/>
                <w:numId w:val="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3.451 Special apportionment</w:t>
            </w:r>
          </w:p>
          <w:p w14:paraId="6E32C694" w14:textId="77777777" w:rsidR="00E674A7" w:rsidRPr="00E674A7" w:rsidRDefault="00E674A7" w:rsidP="00E674A7">
            <w:pPr>
              <w:numPr>
                <w:ilvl w:val="0"/>
                <w:numId w:val="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3.452 Situations when benefits may be apportioned</w:t>
            </w:r>
          </w:p>
          <w:p w14:paraId="2CF90710" w14:textId="77777777" w:rsidR="00E674A7" w:rsidRDefault="00E674A7" w:rsidP="00E674A7">
            <w:pPr>
              <w:numPr>
                <w:ilvl w:val="0"/>
                <w:numId w:val="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3.453 Veterans compensation or service pension or retirement pay</w:t>
            </w:r>
          </w:p>
          <w:p w14:paraId="7A6D2608" w14:textId="6890CED8" w:rsidR="000753FA" w:rsidRPr="00E674A7" w:rsidRDefault="00E674A7" w:rsidP="00E674A7">
            <w:pPr>
              <w:numPr>
                <w:ilvl w:val="0"/>
                <w:numId w:val="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U.S.C. § 5307 Apportionment of benefits</w:t>
            </w:r>
          </w:p>
        </w:tc>
      </w:tr>
      <w:tr w:rsidR="00E674A7" w14:paraId="6418BF44" w14:textId="77777777" w:rsidTr="00F70ED1">
        <w:tc>
          <w:tcPr>
            <w:tcW w:w="1924" w:type="dxa"/>
            <w:shd w:val="clear" w:color="auto" w:fill="D9E2F3" w:themeFill="accent1" w:themeFillTint="33"/>
          </w:tcPr>
          <w:p w14:paraId="2080C3C8" w14:textId="1FBE8BD8" w:rsidR="00E674A7" w:rsidRDefault="00E674A7">
            <w:r>
              <w:t xml:space="preserve">Deny </w:t>
            </w:r>
          </w:p>
        </w:tc>
        <w:tc>
          <w:tcPr>
            <w:tcW w:w="8146" w:type="dxa"/>
          </w:tcPr>
          <w:p w14:paraId="2CDA6C7F" w14:textId="77777777" w:rsidR="00E674A7" w:rsidRP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3.450 General (Apportionment)</w:t>
            </w:r>
          </w:p>
          <w:p w14:paraId="5280FCDB" w14:textId="77777777" w:rsidR="00E674A7" w:rsidRP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3.451 Special apportionment</w:t>
            </w:r>
          </w:p>
          <w:p w14:paraId="39714AA8" w14:textId="77777777" w:rsidR="00E674A7" w:rsidRP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3.452 Situations when benefits may be apportioned</w:t>
            </w:r>
          </w:p>
          <w:p w14:paraId="4A49D47D" w14:textId="5FD059A4" w:rsidR="00E674A7" w:rsidRP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3.458 Veteran</w:t>
            </w:r>
            <w:r w:rsidR="006610F8">
              <w:rPr>
                <w:rFonts w:eastAsiaTheme="minorEastAsia" w:cs="Arial"/>
                <w:kern w:val="0"/>
                <w:szCs w:val="24"/>
                <w14:ligatures w14:val="none"/>
              </w:rPr>
              <w:t>’</w:t>
            </w: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s benefits not apportionable</w:t>
            </w:r>
          </w:p>
          <w:p w14:paraId="0D69A7DD" w14:textId="77777777" w:rsidR="00E674A7" w:rsidRPr="00887B87" w:rsidRDefault="00E674A7" w:rsidP="00E674A7">
            <w:pPr>
              <w:spacing w:before="100" w:after="200" w:line="276" w:lineRule="auto"/>
              <w:rPr>
                <w:rFonts w:eastAsiaTheme="minorEastAsia" w:cs="Arial"/>
                <w:kern w:val="0"/>
                <w:sz w:val="8"/>
                <w:szCs w:val="8"/>
                <w14:ligatures w14:val="none"/>
              </w:rPr>
            </w:pPr>
          </w:p>
          <w:p w14:paraId="06E396B1" w14:textId="295984B4" w:rsidR="00E674A7" w:rsidRDefault="00E674A7" w:rsidP="00E674A7">
            <w:r w:rsidRPr="00E674A7">
              <w:rPr>
                <w:rFonts w:eastAsiaTheme="minorEastAsia" w:cs="Arial"/>
                <w:i/>
                <w:iCs/>
                <w:kern w:val="0"/>
                <w:szCs w:val="24"/>
                <w14:ligatures w14:val="none"/>
              </w:rPr>
              <w:t>Review denial basis to determine if additional laws and regulations may be needed. Example: a denial based on evidence of record failing to show the child meets the definition of a child would require additional laws such as 38 C.F.R. § 3.57</w:t>
            </w:r>
          </w:p>
        </w:tc>
      </w:tr>
      <w:tr w:rsidR="00E674A7" w14:paraId="67685EE1" w14:textId="77777777" w:rsidTr="00F70ED1">
        <w:tc>
          <w:tcPr>
            <w:tcW w:w="1924" w:type="dxa"/>
            <w:shd w:val="clear" w:color="auto" w:fill="D9E2F3" w:themeFill="accent1" w:themeFillTint="33"/>
          </w:tcPr>
          <w:p w14:paraId="31109EC4" w14:textId="498DB2AC" w:rsidR="00E674A7" w:rsidRDefault="00887B87">
            <w:r>
              <w:t>C</w:t>
            </w:r>
            <w:r w:rsidR="00E674A7">
              <w:t>hild-apportionee stopped attending school</w:t>
            </w:r>
          </w:p>
        </w:tc>
        <w:tc>
          <w:tcPr>
            <w:tcW w:w="8146" w:type="dxa"/>
          </w:tcPr>
          <w:p w14:paraId="6B517EE0" w14:textId="77777777" w:rsid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3.667 School attendance</w:t>
            </w:r>
          </w:p>
          <w:p w14:paraId="65A78A0F" w14:textId="307D54BB" w:rsidR="00E674A7" w:rsidRP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3.500 General (Reductions and discontinuances)</w:t>
            </w:r>
          </w:p>
        </w:tc>
      </w:tr>
      <w:tr w:rsidR="00E674A7" w14:paraId="106F5513" w14:textId="77777777" w:rsidTr="00F70ED1">
        <w:tc>
          <w:tcPr>
            <w:tcW w:w="1924" w:type="dxa"/>
            <w:shd w:val="clear" w:color="auto" w:fill="D9E2F3" w:themeFill="accent1" w:themeFillTint="33"/>
          </w:tcPr>
          <w:p w14:paraId="3E1F045C" w14:textId="13D7C0E7" w:rsidR="00E674A7" w:rsidRDefault="00887B87">
            <w:r>
              <w:t>C</w:t>
            </w:r>
            <w:r w:rsidR="00E674A7">
              <w:t>hild-apportionee entered active service</w:t>
            </w:r>
          </w:p>
        </w:tc>
        <w:tc>
          <w:tcPr>
            <w:tcW w:w="8146" w:type="dxa"/>
          </w:tcPr>
          <w:p w14:paraId="5054B12C" w14:textId="77777777" w:rsidR="00E674A7" w:rsidRP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3.458 Veteran’s benefits not apportionable</w:t>
            </w:r>
          </w:p>
          <w:p w14:paraId="5C1DCA36" w14:textId="77777777" w:rsid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3.500 General (Reductions and discontinuances)</w:t>
            </w:r>
          </w:p>
          <w:p w14:paraId="46F71862" w14:textId="7DE362AA" w:rsidR="00E674A7" w:rsidRP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3.503 Children (Reductions and discontinuances)</w:t>
            </w:r>
          </w:p>
        </w:tc>
      </w:tr>
      <w:tr w:rsidR="00E674A7" w14:paraId="7DA931AF" w14:textId="77777777" w:rsidTr="00F70ED1">
        <w:tc>
          <w:tcPr>
            <w:tcW w:w="1924" w:type="dxa"/>
            <w:shd w:val="clear" w:color="auto" w:fill="D9E2F3" w:themeFill="accent1" w:themeFillTint="33"/>
          </w:tcPr>
          <w:p w14:paraId="11BC4EB3" w14:textId="46585524" w:rsidR="00E674A7" w:rsidRDefault="00887B87">
            <w:r>
              <w:t>D</w:t>
            </w:r>
            <w:r w:rsidR="00E674A7">
              <w:t>ivorce from spouse-apportionee</w:t>
            </w:r>
          </w:p>
        </w:tc>
        <w:tc>
          <w:tcPr>
            <w:tcW w:w="8146" w:type="dxa"/>
          </w:tcPr>
          <w:p w14:paraId="0A106911" w14:textId="77777777" w:rsidR="00E674A7" w:rsidRP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3.204 Evidence of dependents and age</w:t>
            </w:r>
          </w:p>
          <w:p w14:paraId="329B725D" w14:textId="77777777" w:rsidR="00E674A7" w:rsidRP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3.206 Divorce</w:t>
            </w:r>
          </w:p>
          <w:p w14:paraId="107F34AD" w14:textId="77777777" w:rsid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3.500 General (Reductions and discontinuances)</w:t>
            </w:r>
          </w:p>
          <w:p w14:paraId="0023EF8A" w14:textId="7B1490FC" w:rsidR="00E674A7" w:rsidRP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lastRenderedPageBreak/>
              <w:t>38 C.F.R. § 3.501 Veterans (Reductions and discontinuances)</w:t>
            </w:r>
          </w:p>
        </w:tc>
      </w:tr>
      <w:tr w:rsidR="00E674A7" w14:paraId="102B9F17" w14:textId="77777777" w:rsidTr="00F70ED1">
        <w:tc>
          <w:tcPr>
            <w:tcW w:w="1924" w:type="dxa"/>
            <w:shd w:val="clear" w:color="auto" w:fill="D9E2F3" w:themeFill="accent1" w:themeFillTint="33"/>
          </w:tcPr>
          <w:p w14:paraId="59252256" w14:textId="254FCA86" w:rsidR="00E674A7" w:rsidRDefault="00887B87">
            <w:r>
              <w:lastRenderedPageBreak/>
              <w:t>D</w:t>
            </w:r>
            <w:r w:rsidR="00E674A7">
              <w:t>eath of apportionee</w:t>
            </w:r>
          </w:p>
        </w:tc>
        <w:tc>
          <w:tcPr>
            <w:tcW w:w="8146" w:type="dxa"/>
          </w:tcPr>
          <w:p w14:paraId="5A9FD6C1" w14:textId="77777777" w:rsidR="00E674A7" w:rsidRP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3.211 Death</w:t>
            </w:r>
          </w:p>
          <w:p w14:paraId="40FE95DC" w14:textId="77777777" w:rsid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3.1000 Entitlement under 38 U.S.C. § 5121 to benefits due and unpaid upon death of a beneficiary</w:t>
            </w:r>
          </w:p>
          <w:p w14:paraId="00A334C2" w14:textId="01C7FA68" w:rsidR="00E674A7" w:rsidRP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3.500 General (Reductions and discontinuances)</w:t>
            </w:r>
          </w:p>
        </w:tc>
      </w:tr>
      <w:tr w:rsidR="00E674A7" w14:paraId="2D626F7C" w14:textId="77777777" w:rsidTr="00F70ED1">
        <w:tc>
          <w:tcPr>
            <w:tcW w:w="1924" w:type="dxa"/>
            <w:shd w:val="clear" w:color="auto" w:fill="D9E2F3" w:themeFill="accent1" w:themeFillTint="33"/>
          </w:tcPr>
          <w:p w14:paraId="50D07499" w14:textId="1D7094EF" w:rsidR="00E674A7" w:rsidRDefault="00887B87">
            <w:r>
              <w:t>Marriage</w:t>
            </w:r>
            <w:r w:rsidR="00E674A7">
              <w:t xml:space="preserve"> of child</w:t>
            </w:r>
            <w:r>
              <w:t>-apportionee</w:t>
            </w:r>
          </w:p>
        </w:tc>
        <w:tc>
          <w:tcPr>
            <w:tcW w:w="8146" w:type="dxa"/>
          </w:tcPr>
          <w:p w14:paraId="763175C5" w14:textId="77777777" w:rsid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3.57 Child</w:t>
            </w:r>
          </w:p>
          <w:p w14:paraId="6815F4EF" w14:textId="628000EC" w:rsidR="00E674A7" w:rsidRP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3.500 General (Reductions and discontinuances)</w:t>
            </w:r>
          </w:p>
        </w:tc>
      </w:tr>
      <w:tr w:rsidR="00E674A7" w14:paraId="7CAE7B5B" w14:textId="77777777" w:rsidTr="00F70ED1">
        <w:tc>
          <w:tcPr>
            <w:tcW w:w="1924" w:type="dxa"/>
            <w:shd w:val="clear" w:color="auto" w:fill="D9E2F3" w:themeFill="accent1" w:themeFillTint="33"/>
          </w:tcPr>
          <w:p w14:paraId="4F9E87EF" w14:textId="062E859F" w:rsidR="00E674A7" w:rsidRDefault="00E674A7" w:rsidP="00887B87">
            <w:r>
              <w:t xml:space="preserve">Grant/deny/stop apportionment </w:t>
            </w:r>
            <w:r w:rsidR="00887B87">
              <w:t xml:space="preserve">based on </w:t>
            </w:r>
            <w:r>
              <w:t>Incarceration of Veteran</w:t>
            </w:r>
          </w:p>
        </w:tc>
        <w:tc>
          <w:tcPr>
            <w:tcW w:w="8146" w:type="dxa"/>
          </w:tcPr>
          <w:p w14:paraId="3815D85B" w14:textId="77777777" w:rsid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3.665 Incarcerated beneficiaries and fugitive felons – compensation</w:t>
            </w:r>
          </w:p>
          <w:p w14:paraId="0FD1BF8F" w14:textId="3919F8DF" w:rsidR="00E674A7" w:rsidRPr="00E674A7" w:rsidRDefault="00E674A7" w:rsidP="00E674A7">
            <w:pPr>
              <w:numPr>
                <w:ilvl w:val="0"/>
                <w:numId w:val="1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U.S.C. § 5313 Limitation on payment of compensation and dependency and indemnity compensation to persons incarcerated for conviction of a felony</w:t>
            </w:r>
          </w:p>
        </w:tc>
      </w:tr>
    </w:tbl>
    <w:p w14:paraId="79DC28F2" w14:textId="1A79A584" w:rsidR="00013AFF" w:rsidRDefault="00013AFF"/>
    <w:p w14:paraId="60CC85BE" w14:textId="704AEFC1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Audit Error Worksheet (AEW)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E674A7" w14:paraId="47E4AFB6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40B51593" w14:textId="77777777" w:rsidR="00E674A7" w:rsidRDefault="00E674A7">
            <w:r>
              <w:t>AEW Processing</w:t>
            </w:r>
          </w:p>
          <w:p w14:paraId="60157FC2" w14:textId="5D5BBE67" w:rsidR="00041820" w:rsidRDefault="00041820"/>
        </w:tc>
        <w:tc>
          <w:tcPr>
            <w:tcW w:w="8275" w:type="dxa"/>
          </w:tcPr>
          <w:p w14:paraId="5AD0A9DD" w14:textId="77777777" w:rsidR="00E674A7" w:rsidRPr="00E674A7" w:rsidRDefault="00E674A7" w:rsidP="00E674A7">
            <w:pPr>
              <w:numPr>
                <w:ilvl w:val="0"/>
                <w:numId w:val="11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3.750 Entitlement to concurrent receipt of military retired pay and disability compensation</w:t>
            </w:r>
          </w:p>
          <w:p w14:paraId="12117913" w14:textId="77777777" w:rsidR="00E674A7" w:rsidRPr="00E674A7" w:rsidRDefault="00E674A7" w:rsidP="00E674A7">
            <w:pPr>
              <w:numPr>
                <w:ilvl w:val="0"/>
                <w:numId w:val="11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U.S.C. § 5304 Prohibition against duplication of benefits</w:t>
            </w:r>
          </w:p>
          <w:p w14:paraId="435E960F" w14:textId="77777777" w:rsidR="00E674A7" w:rsidRDefault="00E674A7" w:rsidP="00E674A7">
            <w:pPr>
              <w:numPr>
                <w:ilvl w:val="0"/>
                <w:numId w:val="11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10 U.S.C. § 1413a Combat-related special compensation</w:t>
            </w:r>
          </w:p>
          <w:p w14:paraId="33D32FFC" w14:textId="1EAF9438" w:rsidR="00E674A7" w:rsidRPr="00E674A7" w:rsidRDefault="00E674A7" w:rsidP="00E674A7">
            <w:pPr>
              <w:numPr>
                <w:ilvl w:val="0"/>
                <w:numId w:val="11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10 U.S.C. § 1414 Concurrent payment of retired pay and Veterans’ disability compensation</w:t>
            </w:r>
          </w:p>
        </w:tc>
      </w:tr>
    </w:tbl>
    <w:p w14:paraId="74CE13A3" w14:textId="77777777" w:rsidR="005861DF" w:rsidRDefault="005861DF"/>
    <w:p w14:paraId="00F7B45A" w14:textId="27CFBEEE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Automobile Allowance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E674A7" w14:paraId="765318BF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33D85B23" w14:textId="1D595D71" w:rsidR="00E674A7" w:rsidRDefault="00E674A7">
            <w:r>
              <w:t>Denial for second or additional auto allowance</w:t>
            </w:r>
          </w:p>
        </w:tc>
        <w:tc>
          <w:tcPr>
            <w:tcW w:w="8275" w:type="dxa"/>
          </w:tcPr>
          <w:p w14:paraId="36C9DE92" w14:textId="77777777" w:rsidR="00E674A7" w:rsidRDefault="00E674A7" w:rsidP="00E674A7">
            <w:pPr>
              <w:numPr>
                <w:ilvl w:val="0"/>
                <w:numId w:val="12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C.F.R. § 3.808 Automobiles or other conveyances and adaptive equipment; certification</w:t>
            </w:r>
          </w:p>
          <w:p w14:paraId="0E2D2E3A" w14:textId="796C5C61" w:rsidR="00E674A7" w:rsidRPr="00E674A7" w:rsidRDefault="00E674A7" w:rsidP="00E674A7">
            <w:pPr>
              <w:numPr>
                <w:ilvl w:val="0"/>
                <w:numId w:val="12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E674A7">
              <w:rPr>
                <w:rFonts w:eastAsiaTheme="minorEastAsia" w:cs="Arial"/>
                <w:kern w:val="0"/>
                <w:szCs w:val="24"/>
                <w14:ligatures w14:val="none"/>
              </w:rPr>
              <w:t>38 U.S.C. § 3903 Limitations on assistance; special training courses</w:t>
            </w:r>
          </w:p>
        </w:tc>
      </w:tr>
    </w:tbl>
    <w:p w14:paraId="41C7630C" w14:textId="77777777" w:rsidR="00887B87" w:rsidRDefault="00887B87"/>
    <w:p w14:paraId="0FDE1E3D" w14:textId="4BC8822E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Character of Discharge (COD)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E674A7" w14:paraId="61C6A48A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3947B9CD" w14:textId="35DCF4AC" w:rsidR="00E674A7" w:rsidRDefault="000E1027">
            <w:r>
              <w:t>COD Decision</w:t>
            </w:r>
          </w:p>
        </w:tc>
        <w:tc>
          <w:tcPr>
            <w:tcW w:w="8275" w:type="dxa"/>
          </w:tcPr>
          <w:p w14:paraId="68F4CF99" w14:textId="77777777" w:rsidR="000E1027" w:rsidRPr="000E1027" w:rsidRDefault="000E1027" w:rsidP="000E1027">
            <w:pPr>
              <w:numPr>
                <w:ilvl w:val="0"/>
                <w:numId w:val="13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3.12 Character of discharge</w:t>
            </w:r>
          </w:p>
          <w:p w14:paraId="12CD1BEB" w14:textId="77777777" w:rsidR="000E1027" w:rsidRPr="000E1027" w:rsidRDefault="000E1027" w:rsidP="000E1027">
            <w:pPr>
              <w:numPr>
                <w:ilvl w:val="0"/>
                <w:numId w:val="13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3.13 Discharge to change status</w:t>
            </w:r>
          </w:p>
          <w:p w14:paraId="61B4B919" w14:textId="77777777" w:rsidR="000E1027" w:rsidRPr="000E1027" w:rsidRDefault="000E1027" w:rsidP="000E1027">
            <w:pPr>
              <w:numPr>
                <w:ilvl w:val="0"/>
                <w:numId w:val="13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3.14 Validity of enlistments</w:t>
            </w:r>
          </w:p>
          <w:p w14:paraId="6D2DCCCB" w14:textId="77777777" w:rsidR="000E1027" w:rsidRPr="000E1027" w:rsidRDefault="000E1027" w:rsidP="000E1027">
            <w:pPr>
              <w:numPr>
                <w:ilvl w:val="0"/>
                <w:numId w:val="13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3.203 Service records as evidence of service and character of discharge</w:t>
            </w:r>
          </w:p>
          <w:p w14:paraId="11168A59" w14:textId="77777777" w:rsidR="000E1027" w:rsidRPr="000E1027" w:rsidRDefault="000E1027" w:rsidP="000E1027">
            <w:pPr>
              <w:numPr>
                <w:ilvl w:val="0"/>
                <w:numId w:val="13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3.354 Determination of insanity</w:t>
            </w:r>
          </w:p>
          <w:p w14:paraId="28C642E3" w14:textId="570BCA35" w:rsidR="000E1027" w:rsidRPr="000E1027" w:rsidRDefault="000E1027" w:rsidP="000E1027">
            <w:pPr>
              <w:numPr>
                <w:ilvl w:val="0"/>
                <w:numId w:val="13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3.360 Service-connected health-care eligibility of certain person</w:t>
            </w:r>
            <w:r w:rsidR="006610F8">
              <w:rPr>
                <w:rFonts w:eastAsiaTheme="minorEastAsia" w:cs="Arial"/>
                <w:kern w:val="0"/>
                <w:szCs w:val="24"/>
                <w14:ligatures w14:val="none"/>
              </w:rPr>
              <w:t>s</w:t>
            </w: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 xml:space="preserve"> administratively discharged under other than honorable conditions</w:t>
            </w:r>
          </w:p>
          <w:p w14:paraId="5900CE0A" w14:textId="77777777" w:rsidR="000E1027" w:rsidRPr="000E1027" w:rsidRDefault="000E1027" w:rsidP="000E1027">
            <w:pPr>
              <w:numPr>
                <w:ilvl w:val="0"/>
                <w:numId w:val="13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U.S.C. § 5303B Character of service determinations</w:t>
            </w:r>
          </w:p>
          <w:p w14:paraId="0FAFAE84" w14:textId="3BB34D19" w:rsidR="00E674A7" w:rsidRPr="000E1027" w:rsidRDefault="000E1027" w:rsidP="000E1027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E1027">
              <w:rPr>
                <w:rFonts w:ascii="Arial" w:hAnsi="Arial" w:cs="Arial"/>
                <w:sz w:val="24"/>
                <w:szCs w:val="24"/>
              </w:rPr>
              <w:lastRenderedPageBreak/>
              <w:t xml:space="preserve">38 C.F.R. § 3.105(c) Revision of decisions </w:t>
            </w:r>
            <w:r w:rsidRPr="000E1027">
              <w:rPr>
                <w:rFonts w:ascii="Arial" w:hAnsi="Arial" w:cs="Arial"/>
                <w:i/>
                <w:iCs/>
                <w:color w:val="833C0B" w:themeColor="accent2" w:themeShade="80"/>
                <w:sz w:val="24"/>
                <w:szCs w:val="24"/>
              </w:rPr>
              <w:t>(use if the COD is changed to terminate benefits)</w:t>
            </w:r>
          </w:p>
        </w:tc>
      </w:tr>
    </w:tbl>
    <w:p w14:paraId="3484B399" w14:textId="77777777" w:rsidR="006610F8" w:rsidRDefault="006610F8" w:rsidP="006610F8">
      <w:pPr>
        <w:shd w:val="clear" w:color="auto" w:fill="FFFFFF" w:themeFill="background1"/>
        <w:jc w:val="center"/>
        <w:rPr>
          <w:b/>
          <w:bCs/>
          <w:color w:val="FFFFFF" w:themeColor="background1"/>
        </w:rPr>
      </w:pPr>
    </w:p>
    <w:p w14:paraId="70436F5E" w14:textId="52D0EF99" w:rsidR="00E674A7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Dependent Minor Child (Biological, Stepchild, or Adopted)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E674A7" w14:paraId="113552BD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240934AC" w14:textId="46F87C3D" w:rsidR="00E674A7" w:rsidRDefault="000E1027">
            <w:r>
              <w:t>Grant/Deny</w:t>
            </w:r>
          </w:p>
        </w:tc>
        <w:tc>
          <w:tcPr>
            <w:tcW w:w="8275" w:type="dxa"/>
          </w:tcPr>
          <w:p w14:paraId="413FF224" w14:textId="77777777" w:rsidR="000E1027" w:rsidRPr="000E1027" w:rsidRDefault="000E1027" w:rsidP="000E1027">
            <w:p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If decision establishes and/or denies the relationship, include:</w:t>
            </w:r>
          </w:p>
          <w:p w14:paraId="4D391C67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3.4 Compensation</w:t>
            </w:r>
          </w:p>
          <w:p w14:paraId="230386A4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3.57 Child</w:t>
            </w:r>
          </w:p>
          <w:p w14:paraId="595118A5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 xml:space="preserve">38 C.F.R. § 3.58 Child adopted out of family </w:t>
            </w:r>
            <w:r w:rsidRPr="000E1027">
              <w:rPr>
                <w:rFonts w:eastAsiaTheme="minorEastAsia" w:cs="Arial"/>
                <w:i/>
                <w:iCs/>
                <w:color w:val="833C0B" w:themeColor="accent2" w:themeShade="80"/>
                <w:kern w:val="0"/>
                <w:szCs w:val="24"/>
                <w14:ligatures w14:val="none"/>
              </w:rPr>
              <w:t>(when applicable)</w:t>
            </w:r>
          </w:p>
          <w:p w14:paraId="172B4E55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3.204 Evidence of dependents and age</w:t>
            </w:r>
          </w:p>
          <w:p w14:paraId="7368C4EE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3.209 Birth</w:t>
            </w:r>
          </w:p>
          <w:p w14:paraId="1557C531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3.210 Child’s relationship</w:t>
            </w:r>
          </w:p>
          <w:p w14:paraId="63349D79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3.216 Mandatory disclosure of social security numbers</w:t>
            </w:r>
          </w:p>
          <w:p w14:paraId="748A1F65" w14:textId="77777777" w:rsidR="000E1027" w:rsidRPr="000E1027" w:rsidRDefault="000E1027" w:rsidP="000E1027">
            <w:pPr>
              <w:spacing w:before="100" w:after="200" w:line="276" w:lineRule="auto"/>
              <w:rPr>
                <w:rFonts w:eastAsiaTheme="minorEastAsia" w:cs="Arial"/>
                <w:kern w:val="0"/>
                <w:szCs w:val="24"/>
                <w14:ligatures w14:val="none"/>
              </w:rPr>
            </w:pPr>
          </w:p>
          <w:p w14:paraId="71E349DE" w14:textId="77777777" w:rsidR="000E1027" w:rsidRPr="000E1027" w:rsidRDefault="000E1027" w:rsidP="000E1027">
            <w:pPr>
              <w:spacing w:before="100" w:after="200" w:line="276" w:lineRule="auto"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If the decision adds the minor child to the Veteran’s award, also include:</w:t>
            </w:r>
          </w:p>
          <w:p w14:paraId="3795C44F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3.31 Commencement of the period of payment</w:t>
            </w:r>
          </w:p>
          <w:p w14:paraId="0798CB84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3.401 Veterans (Effective dates)</w:t>
            </w:r>
          </w:p>
          <w:p w14:paraId="0BC43F01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3.403 Children (Effective dates)</w:t>
            </w:r>
          </w:p>
          <w:p w14:paraId="02B1B7BF" w14:textId="77777777" w:rsid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3.503 Children (Reductions and discontinuances)</w:t>
            </w:r>
          </w:p>
          <w:p w14:paraId="318A3863" w14:textId="77777777" w:rsidR="000E1027" w:rsidRDefault="000E1027" w:rsidP="000E1027">
            <w:p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</w:p>
          <w:p w14:paraId="10366109" w14:textId="78816C1E" w:rsidR="00E674A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 xml:space="preserve">38 C.F.R. § 3.2500 Revision of decisions </w:t>
            </w:r>
            <w:r w:rsidRPr="000E1027">
              <w:rPr>
                <w:rFonts w:eastAsiaTheme="minorEastAsia" w:cs="Arial"/>
                <w:i/>
                <w:iCs/>
                <w:color w:val="833C0B" w:themeColor="accent2" w:themeShade="80"/>
                <w:kern w:val="0"/>
                <w:szCs w:val="24"/>
                <w14:ligatures w14:val="none"/>
              </w:rPr>
              <w:t>(use only when the effective date is based on a continuously pursued qualifying review request)</w:t>
            </w:r>
          </w:p>
        </w:tc>
      </w:tr>
      <w:tr w:rsidR="000E1027" w14:paraId="4A783625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4FDA3105" w14:textId="7E754682" w:rsidR="000E1027" w:rsidRDefault="00887B87">
            <w:r>
              <w:t>Death</w:t>
            </w:r>
            <w:r w:rsidR="000E1027">
              <w:t xml:space="preserve"> of child</w:t>
            </w:r>
          </w:p>
        </w:tc>
        <w:tc>
          <w:tcPr>
            <w:tcW w:w="8275" w:type="dxa"/>
          </w:tcPr>
          <w:p w14:paraId="5D6BEE7E" w14:textId="77777777" w:rsidR="000E1027" w:rsidRPr="000E1027" w:rsidRDefault="000E1027" w:rsidP="000E1027">
            <w:pPr>
              <w:numPr>
                <w:ilvl w:val="0"/>
                <w:numId w:val="16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3.211 Death</w:t>
            </w:r>
          </w:p>
          <w:p w14:paraId="10A9453F" w14:textId="77777777" w:rsidR="000E1027" w:rsidRPr="000E1027" w:rsidRDefault="000E1027" w:rsidP="000E1027">
            <w:pPr>
              <w:numPr>
                <w:ilvl w:val="0"/>
                <w:numId w:val="16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3.213 Change of status affecting entitlement</w:t>
            </w:r>
          </w:p>
          <w:p w14:paraId="48D243D3" w14:textId="77777777" w:rsidR="000E1027" w:rsidRDefault="000E1027" w:rsidP="000E1027">
            <w:pPr>
              <w:numPr>
                <w:ilvl w:val="0"/>
                <w:numId w:val="16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3.500 General (Reductions and discontinuances)</w:t>
            </w:r>
          </w:p>
          <w:p w14:paraId="00976131" w14:textId="4580C97F" w:rsidR="000E1027" w:rsidRPr="000E1027" w:rsidRDefault="000E1027" w:rsidP="000E1027">
            <w:pPr>
              <w:numPr>
                <w:ilvl w:val="0"/>
                <w:numId w:val="16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U.S.C. § 5112 Effective dates of reductions and discontinuances</w:t>
            </w:r>
          </w:p>
        </w:tc>
      </w:tr>
      <w:tr w:rsidR="000E1027" w14:paraId="74241773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2819C080" w14:textId="6B5A119B" w:rsidR="000E1027" w:rsidRDefault="00887B87">
            <w:r>
              <w:t>M</w:t>
            </w:r>
            <w:r w:rsidR="000E1027">
              <w:t>arriage of child</w:t>
            </w:r>
          </w:p>
        </w:tc>
        <w:tc>
          <w:tcPr>
            <w:tcW w:w="8275" w:type="dxa"/>
          </w:tcPr>
          <w:p w14:paraId="1E035310" w14:textId="77777777" w:rsidR="000E1027" w:rsidRDefault="000E1027" w:rsidP="000E1027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3.55 Reinstatement of benefits eligibility based upon terminated marital relationships</w:t>
            </w:r>
          </w:p>
          <w:p w14:paraId="00964D1B" w14:textId="77777777" w:rsidR="000E1027" w:rsidRDefault="000E1027" w:rsidP="000E1027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3.57 Child</w:t>
            </w:r>
          </w:p>
          <w:p w14:paraId="2118B271" w14:textId="77777777" w:rsidR="000E1027" w:rsidRDefault="000E1027" w:rsidP="000E1027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3.204 Evidence of dependents and age</w:t>
            </w:r>
          </w:p>
          <w:p w14:paraId="4B826448" w14:textId="77777777" w:rsidR="000E1027" w:rsidRDefault="000E1027" w:rsidP="000E1027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3.213 Change of status affecting entitlement</w:t>
            </w:r>
          </w:p>
          <w:p w14:paraId="644DEB38" w14:textId="77777777" w:rsidR="000E1027" w:rsidRDefault="000E1027" w:rsidP="000E1027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3.400 General (Effective dates)</w:t>
            </w:r>
          </w:p>
          <w:p w14:paraId="1C45A966" w14:textId="77777777" w:rsidR="000E1027" w:rsidRDefault="000E1027" w:rsidP="000E1027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3.500 General (Reductions and discontinuances)</w:t>
            </w:r>
          </w:p>
          <w:p w14:paraId="7EFABCA6" w14:textId="378070AB" w:rsidR="000E1027" w:rsidRPr="000E1027" w:rsidRDefault="000E1027" w:rsidP="000E1027">
            <w:pPr>
              <w:numPr>
                <w:ilvl w:val="0"/>
                <w:numId w:val="16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>
              <w:rPr>
                <w:rFonts w:cs="Arial"/>
                <w:szCs w:val="24"/>
              </w:rPr>
              <w:t>38 U.S.C. § 5112 Effective dates of reductions and discontinuances</w:t>
            </w:r>
          </w:p>
        </w:tc>
      </w:tr>
      <w:tr w:rsidR="000E1027" w14:paraId="7A53B586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5B341A8D" w14:textId="14297FEF" w:rsidR="000E1027" w:rsidRDefault="00887B87">
            <w:r>
              <w:t>S</w:t>
            </w:r>
            <w:r w:rsidR="000E1027">
              <w:t>tepchild no longer in household/no support</w:t>
            </w:r>
          </w:p>
        </w:tc>
        <w:tc>
          <w:tcPr>
            <w:tcW w:w="8275" w:type="dxa"/>
          </w:tcPr>
          <w:p w14:paraId="6D9E0EC8" w14:textId="77777777" w:rsidR="000E1027" w:rsidRDefault="000E1027" w:rsidP="000E1027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3.57 Child</w:t>
            </w:r>
          </w:p>
          <w:p w14:paraId="78EB6A23" w14:textId="63A9FCF4" w:rsidR="000E1027" w:rsidRDefault="000E1027" w:rsidP="000E1027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3.503 Children (Reductions and discontinuances)</w:t>
            </w:r>
          </w:p>
        </w:tc>
      </w:tr>
    </w:tbl>
    <w:p w14:paraId="087B6AD5" w14:textId="77777777" w:rsidR="00F2492B" w:rsidRDefault="00F2492B"/>
    <w:p w14:paraId="5644266E" w14:textId="77777777" w:rsidR="006610F8" w:rsidRDefault="006610F8" w:rsidP="006610F8">
      <w:pPr>
        <w:shd w:val="clear" w:color="auto" w:fill="FFFFFF" w:themeFill="background1"/>
        <w:jc w:val="center"/>
        <w:rPr>
          <w:b/>
          <w:bCs/>
          <w:color w:val="FFFFFF" w:themeColor="background1"/>
        </w:rPr>
      </w:pPr>
    </w:p>
    <w:p w14:paraId="4622D786" w14:textId="3588A58F" w:rsidR="00F2492B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lastRenderedPageBreak/>
        <w:t>Dependent School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E674A7" w14:paraId="6D48D41C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18B7C092" w14:textId="40FD5CF2" w:rsidR="00E674A7" w:rsidRDefault="000E1027">
            <w:r>
              <w:t xml:space="preserve">Grant/Deny </w:t>
            </w:r>
          </w:p>
        </w:tc>
        <w:tc>
          <w:tcPr>
            <w:tcW w:w="8275" w:type="dxa"/>
          </w:tcPr>
          <w:p w14:paraId="14739FA8" w14:textId="77777777" w:rsidR="000E1027" w:rsidRPr="000E1027" w:rsidRDefault="000E1027" w:rsidP="000E1027">
            <w:p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If decision establishes and/or denies eligibility of the school child, include:</w:t>
            </w:r>
          </w:p>
          <w:p w14:paraId="32C0A3E2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3.4 Compensation</w:t>
            </w:r>
          </w:p>
          <w:p w14:paraId="235BE341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3.57 Child</w:t>
            </w:r>
          </w:p>
          <w:p w14:paraId="1729F966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3.204 Evidence of dependents and age</w:t>
            </w:r>
          </w:p>
          <w:p w14:paraId="40518E27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3.209 Birth</w:t>
            </w:r>
          </w:p>
          <w:p w14:paraId="13C74EAE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3.210 Child’s relationship</w:t>
            </w:r>
          </w:p>
          <w:p w14:paraId="60221AE3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3.216 Mandatory disclosure of social security numbers</w:t>
            </w:r>
          </w:p>
          <w:p w14:paraId="176E60B7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3.667 School attendance</w:t>
            </w:r>
          </w:p>
          <w:p w14:paraId="008115B1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3.707 Dependents’ educational assistance</w:t>
            </w:r>
          </w:p>
          <w:p w14:paraId="7329C62B" w14:textId="77777777" w:rsidR="000E102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21.4200 Definitions - Schools</w:t>
            </w:r>
          </w:p>
          <w:p w14:paraId="24A45988" w14:textId="77777777" w:rsidR="000E1027" w:rsidRPr="000E1027" w:rsidRDefault="000E1027" w:rsidP="000E1027">
            <w:pPr>
              <w:spacing w:before="100" w:after="200" w:line="276" w:lineRule="auto"/>
              <w:rPr>
                <w:rFonts w:eastAsiaTheme="minorEastAsia" w:cs="Arial"/>
                <w:kern w:val="0"/>
                <w:sz w:val="8"/>
                <w:szCs w:val="8"/>
                <w14:ligatures w14:val="none"/>
              </w:rPr>
            </w:pPr>
          </w:p>
          <w:p w14:paraId="500B89CD" w14:textId="77777777" w:rsidR="000E1027" w:rsidRPr="000E1027" w:rsidRDefault="000E1027" w:rsidP="000E1027">
            <w:pPr>
              <w:spacing w:before="100" w:after="200" w:line="276" w:lineRule="auto"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If the decision adds the school child to the award, also include:</w:t>
            </w:r>
          </w:p>
          <w:p w14:paraId="65B25DAE" w14:textId="77777777" w:rsid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3.503 Children (Reductions and discontinuances)</w:t>
            </w:r>
          </w:p>
          <w:p w14:paraId="5C636C91" w14:textId="06C0BEBF" w:rsidR="00E674A7" w:rsidRPr="000E1027" w:rsidRDefault="000E1027" w:rsidP="000E1027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3.31 Commencement of the period of payment</w:t>
            </w:r>
          </w:p>
        </w:tc>
      </w:tr>
      <w:tr w:rsidR="000E1027" w14:paraId="3B8E2BF6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50E29799" w14:textId="180779E2" w:rsidR="000E1027" w:rsidRDefault="00887B87">
            <w:r>
              <w:t>Attendance terminated early</w:t>
            </w:r>
          </w:p>
        </w:tc>
        <w:tc>
          <w:tcPr>
            <w:tcW w:w="8275" w:type="dxa"/>
          </w:tcPr>
          <w:p w14:paraId="243CD306" w14:textId="77777777" w:rsidR="000E1027" w:rsidRDefault="000E1027" w:rsidP="000E1027">
            <w:pPr>
              <w:numPr>
                <w:ilvl w:val="0"/>
                <w:numId w:val="18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3.667 School attendance</w:t>
            </w:r>
          </w:p>
          <w:p w14:paraId="1FDEA5DF" w14:textId="4C78502A" w:rsidR="000E1027" w:rsidRPr="000E1027" w:rsidRDefault="000E1027" w:rsidP="000E1027">
            <w:pPr>
              <w:numPr>
                <w:ilvl w:val="0"/>
                <w:numId w:val="18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3.213 Change of status affecting entitlement</w:t>
            </w:r>
          </w:p>
        </w:tc>
      </w:tr>
      <w:tr w:rsidR="000E1027" w14:paraId="7B4EF872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34201C32" w14:textId="1F2D5A47" w:rsidR="000E1027" w:rsidRDefault="00887B87">
            <w:r>
              <w:t>Child in</w:t>
            </w:r>
            <w:r w:rsidR="000E1027">
              <w:t xml:space="preserve"> receipt of educational assistance</w:t>
            </w:r>
          </w:p>
        </w:tc>
        <w:tc>
          <w:tcPr>
            <w:tcW w:w="8275" w:type="dxa"/>
          </w:tcPr>
          <w:p w14:paraId="4E3D2F21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3.503 Children (Reductions and discontinuances)</w:t>
            </w:r>
          </w:p>
          <w:p w14:paraId="4AAC1211" w14:textId="123B4BCA" w:rsidR="00560120" w:rsidRDefault="00560120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3.667 School attendance</w:t>
            </w:r>
          </w:p>
          <w:p w14:paraId="1C45F6E2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3.707 Dependents’ educational assistance</w:t>
            </w:r>
          </w:p>
          <w:p w14:paraId="431CF32D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3.807 Dependents’ educational assistance; certification</w:t>
            </w:r>
          </w:p>
          <w:p w14:paraId="48A9CC3B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21.3023 Nonduplication; pension, compensation, and dependency and indemnity compensation</w:t>
            </w:r>
          </w:p>
          <w:p w14:paraId="4EE67CCF" w14:textId="129A5127" w:rsidR="000E1027" w:rsidRP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U.S.C. § 3322 Bar to duplication of educational assistance benefits</w:t>
            </w:r>
          </w:p>
        </w:tc>
      </w:tr>
      <w:tr w:rsidR="004F0FF5" w14:paraId="2C2DA722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125B4D89" w14:textId="564911C8" w:rsidR="004F0FF5" w:rsidRDefault="004F0FF5">
            <w:r>
              <w:t>Adjust removal date based on extension of school period</w:t>
            </w:r>
          </w:p>
        </w:tc>
        <w:tc>
          <w:tcPr>
            <w:tcW w:w="8275" w:type="dxa"/>
          </w:tcPr>
          <w:p w14:paraId="552B21BD" w14:textId="77777777" w:rsidR="004F0FF5" w:rsidRDefault="004F0FF5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3.667 School Attendance</w:t>
            </w:r>
          </w:p>
          <w:p w14:paraId="53BA4674" w14:textId="711BFC9A" w:rsidR="004F0FF5" w:rsidRDefault="004F0FF5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U.S.C. § 5112 Effective dates of reductions and discontinuances</w:t>
            </w:r>
          </w:p>
        </w:tc>
      </w:tr>
      <w:tr w:rsidR="000E1027" w14:paraId="6F9D52ED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27C9EFDD" w14:textId="1B619D9E" w:rsidR="000E1027" w:rsidRDefault="00887B87">
            <w:r>
              <w:t>Death</w:t>
            </w:r>
            <w:r w:rsidR="000E1027">
              <w:t xml:space="preserve"> of child</w:t>
            </w:r>
          </w:p>
        </w:tc>
        <w:tc>
          <w:tcPr>
            <w:tcW w:w="8275" w:type="dxa"/>
          </w:tcPr>
          <w:p w14:paraId="1222116B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3.211 Death</w:t>
            </w:r>
          </w:p>
          <w:p w14:paraId="4002F4E3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3.213 Change of status affecting entitlement</w:t>
            </w:r>
          </w:p>
          <w:p w14:paraId="4C797916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3.500 General (Reductions and discontinuances)</w:t>
            </w:r>
          </w:p>
          <w:p w14:paraId="0903BE04" w14:textId="6B272BEA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U.S.C. § 5112 Effective dates of reductions and discontinuances</w:t>
            </w:r>
          </w:p>
        </w:tc>
      </w:tr>
      <w:tr w:rsidR="000E1027" w14:paraId="4B2F1824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2B15560A" w14:textId="216F676A" w:rsidR="000E1027" w:rsidRDefault="00887B87">
            <w:r>
              <w:t>Marriage</w:t>
            </w:r>
            <w:r w:rsidR="000E1027">
              <w:t xml:space="preserve"> of child</w:t>
            </w:r>
          </w:p>
        </w:tc>
        <w:tc>
          <w:tcPr>
            <w:tcW w:w="8275" w:type="dxa"/>
          </w:tcPr>
          <w:p w14:paraId="457B2929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3.55 Reinstatement of benefits eligibility based upon terminated marital relationships</w:t>
            </w:r>
          </w:p>
          <w:p w14:paraId="20E6E5E9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3.57 Child</w:t>
            </w:r>
          </w:p>
          <w:p w14:paraId="550ED138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3.204 Evidence of dependents and age</w:t>
            </w:r>
          </w:p>
          <w:p w14:paraId="347D2650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3.213 Change of status affecting entitlement</w:t>
            </w:r>
          </w:p>
          <w:p w14:paraId="4033A427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3.400 General (Effective dates)</w:t>
            </w:r>
          </w:p>
          <w:p w14:paraId="182D44E3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3.500 General (Reductions and discontinuances)</w:t>
            </w:r>
          </w:p>
          <w:p w14:paraId="6C927F6B" w14:textId="1BB86E5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U.S.C. § 5112 Effective dates of reductions and discontinuances</w:t>
            </w:r>
          </w:p>
        </w:tc>
      </w:tr>
    </w:tbl>
    <w:p w14:paraId="41DF8074" w14:textId="77777777" w:rsidR="00E674A7" w:rsidRDefault="00E674A7"/>
    <w:p w14:paraId="086B7A5A" w14:textId="5B656B5C" w:rsidR="00F2492B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Dependent Spouse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E674A7" w14:paraId="1C04DD34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73ECE59B" w14:textId="7E12CCFE" w:rsidR="00E674A7" w:rsidRDefault="000E1027">
            <w:r>
              <w:t>Grant/Deny</w:t>
            </w:r>
          </w:p>
        </w:tc>
        <w:tc>
          <w:tcPr>
            <w:tcW w:w="8275" w:type="dxa"/>
          </w:tcPr>
          <w:p w14:paraId="78FC7B36" w14:textId="77777777" w:rsidR="000E1027" w:rsidRPr="000E1027" w:rsidRDefault="000E1027" w:rsidP="000E1027">
            <w:pPr>
              <w:numPr>
                <w:ilvl w:val="0"/>
                <w:numId w:val="18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3.1 Definitions</w:t>
            </w:r>
          </w:p>
          <w:p w14:paraId="090FB8D0" w14:textId="77777777" w:rsidR="000E1027" w:rsidRPr="000E1027" w:rsidRDefault="000E1027" w:rsidP="000E1027">
            <w:pPr>
              <w:numPr>
                <w:ilvl w:val="0"/>
                <w:numId w:val="18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3.4 Compensation</w:t>
            </w:r>
          </w:p>
          <w:p w14:paraId="3B31C739" w14:textId="77777777" w:rsidR="000E1027" w:rsidRPr="000E1027" w:rsidRDefault="000E1027" w:rsidP="000E1027">
            <w:pPr>
              <w:numPr>
                <w:ilvl w:val="0"/>
                <w:numId w:val="18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3.50 Spouse and surviving spouse</w:t>
            </w:r>
          </w:p>
          <w:p w14:paraId="7FB4B05E" w14:textId="77777777" w:rsidR="000E1027" w:rsidRPr="000E1027" w:rsidRDefault="000E1027" w:rsidP="000E1027">
            <w:pPr>
              <w:numPr>
                <w:ilvl w:val="0"/>
                <w:numId w:val="18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3.204 Evidence of dependents and age</w:t>
            </w:r>
          </w:p>
          <w:p w14:paraId="51DEFE1C" w14:textId="77777777" w:rsidR="000E1027" w:rsidRPr="000E1027" w:rsidRDefault="000E1027" w:rsidP="000E1027">
            <w:pPr>
              <w:numPr>
                <w:ilvl w:val="0"/>
                <w:numId w:val="18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3.205 Marriage</w:t>
            </w:r>
          </w:p>
          <w:p w14:paraId="72C74AAA" w14:textId="77777777" w:rsidR="000E1027" w:rsidRPr="000E1027" w:rsidRDefault="000E1027" w:rsidP="000E1027">
            <w:pPr>
              <w:numPr>
                <w:ilvl w:val="0"/>
                <w:numId w:val="18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3.216 Mandatory disclosure of social security numbers</w:t>
            </w:r>
          </w:p>
          <w:p w14:paraId="62885B6F" w14:textId="77777777" w:rsidR="000E1027" w:rsidRPr="000E1027" w:rsidRDefault="000E1027" w:rsidP="000E1027">
            <w:pPr>
              <w:spacing w:before="100" w:after="200" w:line="276" w:lineRule="auto"/>
              <w:rPr>
                <w:rFonts w:eastAsiaTheme="minorEastAsia" w:cs="Arial"/>
                <w:kern w:val="0"/>
                <w:sz w:val="8"/>
                <w:szCs w:val="8"/>
                <w14:ligatures w14:val="none"/>
              </w:rPr>
            </w:pPr>
          </w:p>
          <w:p w14:paraId="24289EF2" w14:textId="77777777" w:rsidR="000E1027" w:rsidRPr="000E1027" w:rsidRDefault="000E1027" w:rsidP="000E1027">
            <w:pPr>
              <w:spacing w:before="100" w:after="200" w:line="276" w:lineRule="auto"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When adding spouse to award, also include:</w:t>
            </w:r>
          </w:p>
          <w:p w14:paraId="456679CA" w14:textId="77777777" w:rsidR="000E1027" w:rsidRDefault="000E1027" w:rsidP="000E1027">
            <w:pPr>
              <w:numPr>
                <w:ilvl w:val="0"/>
                <w:numId w:val="1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3.31 Commencement of the period of payment</w:t>
            </w:r>
          </w:p>
          <w:p w14:paraId="62316537" w14:textId="075B05FD" w:rsidR="00E674A7" w:rsidRPr="000E1027" w:rsidRDefault="000E1027" w:rsidP="000E1027">
            <w:pPr>
              <w:numPr>
                <w:ilvl w:val="0"/>
                <w:numId w:val="1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3.401 Veterans (Effective dates)</w:t>
            </w:r>
          </w:p>
        </w:tc>
      </w:tr>
      <w:tr w:rsidR="000E1027" w14:paraId="7E1FB9CE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402BB009" w14:textId="0F05722C" w:rsidR="000E1027" w:rsidRDefault="000E1027">
            <w:r>
              <w:t>Remove spouse based on divorce</w:t>
            </w:r>
          </w:p>
        </w:tc>
        <w:tc>
          <w:tcPr>
            <w:tcW w:w="8275" w:type="dxa"/>
          </w:tcPr>
          <w:p w14:paraId="7D4199F8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3.50 Spouse and surviving spouse</w:t>
            </w:r>
          </w:p>
          <w:p w14:paraId="58BCAB5D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3.206 Divorce</w:t>
            </w:r>
          </w:p>
          <w:p w14:paraId="5906FAC1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3.213 Change of status affecting entitlement</w:t>
            </w:r>
          </w:p>
          <w:p w14:paraId="670D23B5" w14:textId="7BCEB47F" w:rsidR="000E1027" w:rsidRPr="000E1027" w:rsidRDefault="000E1027" w:rsidP="000E1027">
            <w:pPr>
              <w:numPr>
                <w:ilvl w:val="0"/>
                <w:numId w:val="18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>
              <w:rPr>
                <w:rFonts w:cs="Arial"/>
                <w:szCs w:val="24"/>
              </w:rPr>
              <w:t>38 C.F.R. § 3.501 Veterans (Reductions and discontinuances)</w:t>
            </w:r>
          </w:p>
        </w:tc>
      </w:tr>
      <w:tr w:rsidR="000E1027" w14:paraId="276B6E7C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1387D724" w14:textId="7716889F" w:rsidR="000E1027" w:rsidRDefault="000E1027">
            <w:r>
              <w:t>Remove spouse based on death of spouse</w:t>
            </w:r>
          </w:p>
        </w:tc>
        <w:tc>
          <w:tcPr>
            <w:tcW w:w="8275" w:type="dxa"/>
          </w:tcPr>
          <w:p w14:paraId="7149021E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3.211 Death</w:t>
            </w:r>
          </w:p>
          <w:p w14:paraId="18E32B2B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3.213 Change of status affecting entitlement</w:t>
            </w:r>
          </w:p>
          <w:p w14:paraId="5D552B4F" w14:textId="5DFBC43F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3.500 General (Reductions and discontinuances)</w:t>
            </w:r>
          </w:p>
        </w:tc>
      </w:tr>
      <w:tr w:rsidR="000E1027" w14:paraId="0625DC38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77B02D88" w14:textId="50F00D51" w:rsidR="000E1027" w:rsidRDefault="000E1027">
            <w:r>
              <w:t>Grant spousal A&amp;A based on spouse’s nursing home status</w:t>
            </w:r>
          </w:p>
        </w:tc>
        <w:tc>
          <w:tcPr>
            <w:tcW w:w="8275" w:type="dxa"/>
          </w:tcPr>
          <w:p w14:paraId="3315D51E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3.1 Definitions</w:t>
            </w:r>
          </w:p>
          <w:p w14:paraId="679DA8E0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3.351 Special monthly dependency and indemnity compensation, death compensation, pension and spouse’s compensation ratings</w:t>
            </w:r>
          </w:p>
          <w:p w14:paraId="3CCFACD3" w14:textId="2664966F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3.401 Veterans (Effective dates)</w:t>
            </w:r>
          </w:p>
        </w:tc>
      </w:tr>
      <w:tr w:rsidR="000E1027" w14:paraId="1E0FFB52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3660324F" w14:textId="490FBF17" w:rsidR="000E1027" w:rsidRDefault="000E1027">
            <w:r>
              <w:t>Discontinue spousal A&amp;A – discharge from nursing home</w:t>
            </w:r>
          </w:p>
        </w:tc>
        <w:tc>
          <w:tcPr>
            <w:tcW w:w="8275" w:type="dxa"/>
          </w:tcPr>
          <w:p w14:paraId="7C38C27B" w14:textId="77777777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3.351 Special monthly dependency and indemnity compensation, death compensation, pension and spouse’s compensation ratings</w:t>
            </w:r>
          </w:p>
          <w:p w14:paraId="2376C27D" w14:textId="2889F10E" w:rsidR="000E1027" w:rsidRDefault="000E1027" w:rsidP="000E102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3.501 Veterans (Reductions and discontinuances)</w:t>
            </w:r>
          </w:p>
        </w:tc>
      </w:tr>
    </w:tbl>
    <w:p w14:paraId="3AD01554" w14:textId="77777777" w:rsidR="00E674A7" w:rsidRDefault="00E674A7"/>
    <w:p w14:paraId="5B24742A" w14:textId="14E7E90F" w:rsidR="00F2492B" w:rsidRPr="00F70ED1" w:rsidRDefault="00B426AE" w:rsidP="00F70ED1">
      <w:pPr>
        <w:shd w:val="clear" w:color="auto" w:fill="1F3864" w:themeFill="accent1" w:themeFillShade="80"/>
        <w:jc w:val="center"/>
        <w:rPr>
          <w:b/>
          <w:bCs/>
        </w:rPr>
      </w:pPr>
      <w:r>
        <w:rPr>
          <w:b/>
          <w:bCs/>
        </w:rPr>
        <w:t>Dependent Parent</w:t>
      </w:r>
      <w:r w:rsidR="00F70ED1" w:rsidRPr="00F70ED1">
        <w:rPr>
          <w:b/>
          <w:bCs/>
        </w:rPr>
        <w:t xml:space="preserve"> (Biological and Adoptive)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E674A7" w14:paraId="3F5B3D91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4478C516" w14:textId="18AF5992" w:rsidR="00E674A7" w:rsidRDefault="000E1027">
            <w:r>
              <w:t>Grant/Deny</w:t>
            </w:r>
          </w:p>
        </w:tc>
        <w:tc>
          <w:tcPr>
            <w:tcW w:w="8275" w:type="dxa"/>
          </w:tcPr>
          <w:p w14:paraId="38FBA061" w14:textId="77777777" w:rsidR="000E1027" w:rsidRPr="000E1027" w:rsidRDefault="000E1027" w:rsidP="000E1027">
            <w:pPr>
              <w:numPr>
                <w:ilvl w:val="0"/>
                <w:numId w:val="2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3.4 Compensation</w:t>
            </w:r>
          </w:p>
          <w:p w14:paraId="28448C38" w14:textId="77777777" w:rsidR="000E1027" w:rsidRPr="000E1027" w:rsidRDefault="000E1027" w:rsidP="000E1027">
            <w:pPr>
              <w:numPr>
                <w:ilvl w:val="0"/>
                <w:numId w:val="2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3.59 Parent (Relationship)</w:t>
            </w:r>
          </w:p>
          <w:p w14:paraId="68C41828" w14:textId="77777777" w:rsidR="000E1027" w:rsidRPr="000E1027" w:rsidRDefault="000E1027" w:rsidP="000E1027">
            <w:pPr>
              <w:numPr>
                <w:ilvl w:val="0"/>
                <w:numId w:val="2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3.209 Birth</w:t>
            </w:r>
          </w:p>
          <w:p w14:paraId="45DFB23D" w14:textId="77777777" w:rsidR="000E1027" w:rsidRPr="000E1027" w:rsidRDefault="000E1027" w:rsidP="000E1027">
            <w:pPr>
              <w:numPr>
                <w:ilvl w:val="0"/>
                <w:numId w:val="2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3.210 Child’s relationship</w:t>
            </w:r>
          </w:p>
          <w:p w14:paraId="31C5A3BB" w14:textId="77777777" w:rsidR="000E1027" w:rsidRPr="000E1027" w:rsidRDefault="000E1027" w:rsidP="000E1027">
            <w:pPr>
              <w:numPr>
                <w:ilvl w:val="0"/>
                <w:numId w:val="2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3.216 Mandatory disclosure of social security numbers</w:t>
            </w:r>
          </w:p>
          <w:p w14:paraId="0627010C" w14:textId="77777777" w:rsidR="000E1027" w:rsidRPr="000E1027" w:rsidRDefault="000E1027" w:rsidP="000E1027">
            <w:pPr>
              <w:numPr>
                <w:ilvl w:val="0"/>
                <w:numId w:val="2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3.250 Dependency of parents; compensation</w:t>
            </w:r>
          </w:p>
          <w:p w14:paraId="215FE11C" w14:textId="77777777" w:rsidR="000E1027" w:rsidRPr="000E1027" w:rsidRDefault="000E1027" w:rsidP="000E1027">
            <w:pPr>
              <w:numPr>
                <w:ilvl w:val="0"/>
                <w:numId w:val="2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3.263 Corpus of estate; net worth</w:t>
            </w:r>
          </w:p>
          <w:p w14:paraId="764BA80A" w14:textId="0D3A6695" w:rsidR="000E1027" w:rsidRPr="000E1027" w:rsidRDefault="000E1027" w:rsidP="000E1027">
            <w:pPr>
              <w:spacing w:before="100" w:after="200" w:line="276" w:lineRule="auto"/>
              <w:rPr>
                <w:rFonts w:eastAsiaTheme="minorEastAsia" w:cs="Arial"/>
                <w:kern w:val="0"/>
                <w:szCs w:val="24"/>
                <w14:ligatures w14:val="none"/>
              </w:rPr>
            </w:pPr>
          </w:p>
          <w:p w14:paraId="4F7A82AA" w14:textId="77777777" w:rsidR="000E1027" w:rsidRPr="000E1027" w:rsidRDefault="000E1027" w:rsidP="000E1027">
            <w:pPr>
              <w:spacing w:before="100" w:after="200" w:line="276" w:lineRule="auto"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lastRenderedPageBreak/>
              <w:t>When adding parent(s) to the award, also include:</w:t>
            </w:r>
          </w:p>
          <w:p w14:paraId="29F3977D" w14:textId="77777777" w:rsidR="000E1027" w:rsidRDefault="000E1027" w:rsidP="000E1027">
            <w:pPr>
              <w:numPr>
                <w:ilvl w:val="0"/>
                <w:numId w:val="21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3.31 Commencement of the period of payment</w:t>
            </w:r>
          </w:p>
          <w:p w14:paraId="682DC7EA" w14:textId="01076730" w:rsidR="00E674A7" w:rsidRPr="000E1027" w:rsidRDefault="000E1027" w:rsidP="000E1027">
            <w:pPr>
              <w:numPr>
                <w:ilvl w:val="0"/>
                <w:numId w:val="21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3.401 Veterans (Effective dates)</w:t>
            </w:r>
          </w:p>
        </w:tc>
      </w:tr>
      <w:tr w:rsidR="000E1027" w14:paraId="41490611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22C02FBB" w14:textId="610BF8F4" w:rsidR="000E1027" w:rsidRDefault="000E1027">
            <w:r>
              <w:lastRenderedPageBreak/>
              <w:t>Remove parent(s)</w:t>
            </w:r>
          </w:p>
        </w:tc>
        <w:tc>
          <w:tcPr>
            <w:tcW w:w="8275" w:type="dxa"/>
          </w:tcPr>
          <w:p w14:paraId="41F3CE95" w14:textId="67A4FC71" w:rsidR="000E1027" w:rsidRPr="000E1027" w:rsidRDefault="000E1027" w:rsidP="000E1027">
            <w:pPr>
              <w:numPr>
                <w:ilvl w:val="0"/>
                <w:numId w:val="2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>
              <w:rPr>
                <w:rFonts w:cs="Arial"/>
                <w:szCs w:val="24"/>
              </w:rPr>
              <w:t>38 C.F.R. § 3.500 General (Reductions and discontinuances)</w:t>
            </w:r>
          </w:p>
        </w:tc>
      </w:tr>
    </w:tbl>
    <w:p w14:paraId="58CE595B" w14:textId="77777777" w:rsidR="00E674A7" w:rsidRDefault="00E674A7"/>
    <w:p w14:paraId="71A9E017" w14:textId="507C3673" w:rsidR="00F70ED1" w:rsidRPr="00F70ED1" w:rsidRDefault="00B426AE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Dependent Parent</w:t>
      </w:r>
      <w:r w:rsidR="00F70ED1" w:rsidRPr="00F70ED1">
        <w:rPr>
          <w:b/>
          <w:bCs/>
          <w:color w:val="FFFFFF" w:themeColor="background1"/>
        </w:rPr>
        <w:t xml:space="preserve"> (Foster Parent)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7641A7" w14:paraId="78370789" w14:textId="77777777" w:rsidTr="007641A7">
        <w:tc>
          <w:tcPr>
            <w:tcW w:w="1795" w:type="dxa"/>
            <w:shd w:val="clear" w:color="auto" w:fill="D9E2F3" w:themeFill="accent1" w:themeFillTint="33"/>
          </w:tcPr>
          <w:p w14:paraId="5D0EDF8E" w14:textId="420BD693" w:rsidR="007641A7" w:rsidRDefault="007641A7">
            <w:r>
              <w:t>Grant/Deny</w:t>
            </w:r>
          </w:p>
        </w:tc>
        <w:tc>
          <w:tcPr>
            <w:tcW w:w="8275" w:type="dxa"/>
          </w:tcPr>
          <w:p w14:paraId="76B64C1D" w14:textId="77777777" w:rsidR="007641A7" w:rsidRPr="000E1027" w:rsidRDefault="007641A7" w:rsidP="007641A7">
            <w:pPr>
              <w:numPr>
                <w:ilvl w:val="0"/>
                <w:numId w:val="2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3.4 Compensation</w:t>
            </w:r>
          </w:p>
          <w:p w14:paraId="4A92E6A7" w14:textId="77777777" w:rsidR="007641A7" w:rsidRPr="000E1027" w:rsidRDefault="007641A7" w:rsidP="007641A7">
            <w:pPr>
              <w:numPr>
                <w:ilvl w:val="0"/>
                <w:numId w:val="2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3.59 Parent (Relationship)</w:t>
            </w:r>
          </w:p>
          <w:p w14:paraId="30422F11" w14:textId="77777777" w:rsidR="007641A7" w:rsidRPr="000E1027" w:rsidRDefault="007641A7" w:rsidP="007641A7">
            <w:pPr>
              <w:numPr>
                <w:ilvl w:val="0"/>
                <w:numId w:val="2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3.216 Mandatory disclosure of social security numbers</w:t>
            </w:r>
          </w:p>
          <w:p w14:paraId="76145A54" w14:textId="77777777" w:rsidR="007641A7" w:rsidRPr="000E1027" w:rsidRDefault="007641A7" w:rsidP="007641A7">
            <w:pPr>
              <w:numPr>
                <w:ilvl w:val="0"/>
                <w:numId w:val="2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3.250 Dependency of parents; compensation</w:t>
            </w:r>
          </w:p>
          <w:p w14:paraId="05DA4516" w14:textId="77777777" w:rsidR="007641A7" w:rsidRPr="000E1027" w:rsidRDefault="007641A7" w:rsidP="007641A7">
            <w:pPr>
              <w:numPr>
                <w:ilvl w:val="0"/>
                <w:numId w:val="2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3.263 Corpus of estate; net worth</w:t>
            </w:r>
          </w:p>
          <w:p w14:paraId="219922E7" w14:textId="77777777" w:rsidR="007641A7" w:rsidRPr="000E1027" w:rsidRDefault="007641A7" w:rsidP="007641A7">
            <w:pPr>
              <w:spacing w:before="100" w:after="200" w:line="276" w:lineRule="auto"/>
              <w:rPr>
                <w:rFonts w:eastAsiaTheme="minorEastAsia" w:cs="Arial"/>
                <w:kern w:val="0"/>
                <w:szCs w:val="24"/>
                <w14:ligatures w14:val="none"/>
              </w:rPr>
            </w:pPr>
          </w:p>
          <w:p w14:paraId="0ADCBD74" w14:textId="77777777" w:rsidR="007641A7" w:rsidRPr="000E1027" w:rsidRDefault="007641A7" w:rsidP="007641A7">
            <w:pPr>
              <w:spacing w:before="100" w:after="200" w:line="276" w:lineRule="auto"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When adding parent(s) to the award, also include:</w:t>
            </w:r>
          </w:p>
          <w:p w14:paraId="515CD432" w14:textId="77777777" w:rsidR="007641A7" w:rsidRDefault="007641A7" w:rsidP="007641A7">
            <w:pPr>
              <w:numPr>
                <w:ilvl w:val="0"/>
                <w:numId w:val="21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3.31 Commencement of the period of payment</w:t>
            </w:r>
          </w:p>
          <w:p w14:paraId="1EA34266" w14:textId="71455FD2" w:rsidR="007641A7" w:rsidRPr="007641A7" w:rsidRDefault="007641A7" w:rsidP="007641A7">
            <w:pPr>
              <w:numPr>
                <w:ilvl w:val="0"/>
                <w:numId w:val="21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7641A7">
              <w:rPr>
                <w:rFonts w:eastAsiaTheme="minorEastAsia" w:cs="Arial"/>
                <w:kern w:val="0"/>
                <w:szCs w:val="24"/>
                <w14:ligatures w14:val="none"/>
              </w:rPr>
              <w:t>38 C.F.R. § 3.401 Veterans (Effective dates)</w:t>
            </w:r>
          </w:p>
        </w:tc>
      </w:tr>
      <w:tr w:rsidR="007641A7" w14:paraId="0AAB1206" w14:textId="77777777" w:rsidTr="007641A7">
        <w:tc>
          <w:tcPr>
            <w:tcW w:w="1795" w:type="dxa"/>
            <w:shd w:val="clear" w:color="auto" w:fill="D9E2F3" w:themeFill="accent1" w:themeFillTint="33"/>
          </w:tcPr>
          <w:p w14:paraId="679D7B3A" w14:textId="1D1DEA76" w:rsidR="007641A7" w:rsidRDefault="007641A7">
            <w:r>
              <w:t>Remove parent(s)</w:t>
            </w:r>
          </w:p>
        </w:tc>
        <w:tc>
          <w:tcPr>
            <w:tcW w:w="8275" w:type="dxa"/>
          </w:tcPr>
          <w:p w14:paraId="1F8D4C0B" w14:textId="23C65ABE" w:rsidR="007641A7" w:rsidRPr="000E1027" w:rsidRDefault="007641A7" w:rsidP="007641A7">
            <w:pPr>
              <w:numPr>
                <w:ilvl w:val="0"/>
                <w:numId w:val="2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>
              <w:rPr>
                <w:rFonts w:eastAsiaTheme="minorEastAsia" w:cs="Arial"/>
                <w:kern w:val="0"/>
                <w:szCs w:val="24"/>
                <w14:ligatures w14:val="none"/>
              </w:rPr>
              <w:t>38 C.F.R. § 3.500 General (Reductions and discontinuances)</w:t>
            </w:r>
          </w:p>
        </w:tc>
      </w:tr>
    </w:tbl>
    <w:p w14:paraId="4B407433" w14:textId="77777777" w:rsidR="007641A7" w:rsidRDefault="007641A7"/>
    <w:p w14:paraId="16FBC470" w14:textId="5FA75923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Dependency Verification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E674A7" w14:paraId="458FD136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0F89C4AA" w14:textId="098EB077" w:rsidR="00E674A7" w:rsidRPr="000E1027" w:rsidRDefault="007641A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Return of</w:t>
            </w:r>
            <w:r w:rsidR="000E1027" w:rsidRPr="000E1027">
              <w:rPr>
                <w:rFonts w:cs="Arial"/>
                <w:szCs w:val="24"/>
              </w:rPr>
              <w:t xml:space="preserve"> VA Form 21-0538</w:t>
            </w:r>
            <w:r>
              <w:rPr>
                <w:rFonts w:cs="Arial"/>
                <w:szCs w:val="24"/>
              </w:rPr>
              <w:t xml:space="preserve"> with no changes</w:t>
            </w:r>
          </w:p>
        </w:tc>
        <w:tc>
          <w:tcPr>
            <w:tcW w:w="8275" w:type="dxa"/>
          </w:tcPr>
          <w:p w14:paraId="334A5446" w14:textId="3F8FA8AC" w:rsidR="00E674A7" w:rsidRPr="000E1027" w:rsidRDefault="000E1027" w:rsidP="000E102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E1027">
              <w:rPr>
                <w:rFonts w:ascii="Arial" w:hAnsi="Arial" w:cs="Arial"/>
                <w:sz w:val="24"/>
                <w:szCs w:val="24"/>
              </w:rPr>
              <w:t>38 C.F.R. § 3.652 Periodic certification of continued eligibility</w:t>
            </w:r>
          </w:p>
        </w:tc>
      </w:tr>
      <w:tr w:rsidR="000E1027" w14:paraId="7478A285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7144EAE8" w14:textId="4E844D1F" w:rsidR="000E1027" w:rsidRPr="000E1027" w:rsidRDefault="000E102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Remo</w:t>
            </w:r>
            <w:r w:rsidR="006610F8">
              <w:rPr>
                <w:rFonts w:cs="Arial"/>
                <w:szCs w:val="24"/>
              </w:rPr>
              <w:t>ve</w:t>
            </w:r>
            <w:r>
              <w:rPr>
                <w:rFonts w:cs="Arial"/>
                <w:szCs w:val="24"/>
              </w:rPr>
              <w:t xml:space="preserve"> dependent(s) based on failure to return questionnaire</w:t>
            </w:r>
          </w:p>
        </w:tc>
        <w:tc>
          <w:tcPr>
            <w:tcW w:w="8275" w:type="dxa"/>
          </w:tcPr>
          <w:p w14:paraId="474A3372" w14:textId="77777777" w:rsidR="000E1027" w:rsidRDefault="000E1027" w:rsidP="000E1027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3.652 Periodic certification of continued eligibility</w:t>
            </w:r>
          </w:p>
          <w:p w14:paraId="7BF4AC08" w14:textId="04A47B0D" w:rsidR="000E1027" w:rsidRPr="000E1027" w:rsidRDefault="000E1027" w:rsidP="000E102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3.500 General (Reductions and discontinuances)</w:t>
            </w:r>
          </w:p>
        </w:tc>
      </w:tr>
      <w:tr w:rsidR="000E1027" w14:paraId="1C54E4A8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120256EA" w14:textId="4989C23E" w:rsidR="000E1027" w:rsidRDefault="000E102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change based on school attendance verification</w:t>
            </w:r>
          </w:p>
        </w:tc>
        <w:tc>
          <w:tcPr>
            <w:tcW w:w="8275" w:type="dxa"/>
          </w:tcPr>
          <w:p w14:paraId="089A3183" w14:textId="77777777" w:rsidR="000E1027" w:rsidRDefault="000E1027" w:rsidP="000E1027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3.652 Periodic certification of continued eligibility</w:t>
            </w:r>
          </w:p>
          <w:p w14:paraId="7ECD12BD" w14:textId="1E6A1DB9" w:rsidR="000E1027" w:rsidRDefault="000E1027" w:rsidP="000E1027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3.667 School attendance</w:t>
            </w:r>
          </w:p>
        </w:tc>
      </w:tr>
      <w:tr w:rsidR="000E1027" w14:paraId="1C91A6DE" w14:textId="77777777" w:rsidTr="00E674A7">
        <w:tc>
          <w:tcPr>
            <w:tcW w:w="1795" w:type="dxa"/>
            <w:shd w:val="clear" w:color="auto" w:fill="D9E2F3" w:themeFill="accent1" w:themeFillTint="33"/>
          </w:tcPr>
          <w:p w14:paraId="45A3E564" w14:textId="3B75217E" w:rsidR="000E1027" w:rsidRDefault="000E102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Remov</w:t>
            </w:r>
            <w:r w:rsidR="006610F8">
              <w:rPr>
                <w:rFonts w:cs="Arial"/>
                <w:szCs w:val="24"/>
              </w:rPr>
              <w:t>e</w:t>
            </w:r>
            <w:r>
              <w:rPr>
                <w:rFonts w:cs="Arial"/>
                <w:szCs w:val="24"/>
              </w:rPr>
              <w:t xml:space="preserve"> school child based on change in school attendance</w:t>
            </w:r>
          </w:p>
        </w:tc>
        <w:tc>
          <w:tcPr>
            <w:tcW w:w="8275" w:type="dxa"/>
          </w:tcPr>
          <w:p w14:paraId="338E09FF" w14:textId="77777777" w:rsidR="000E1027" w:rsidRDefault="000E1027" w:rsidP="000E1027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3.652 Periodic certification of continued eligibility</w:t>
            </w:r>
          </w:p>
          <w:p w14:paraId="6B223DCC" w14:textId="77777777" w:rsidR="000E1027" w:rsidRDefault="000E1027" w:rsidP="000E1027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3.500 General (Reductions and discontinuances)</w:t>
            </w:r>
          </w:p>
          <w:p w14:paraId="1BA9A3DD" w14:textId="77777777" w:rsidR="000E1027" w:rsidRDefault="000E1027" w:rsidP="000E1027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3.503 Children (Reductions and discontinuances)</w:t>
            </w:r>
          </w:p>
          <w:p w14:paraId="3BA3F8EE" w14:textId="5600065D" w:rsidR="000E1027" w:rsidRDefault="000E1027" w:rsidP="000E1027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3.667 School attendance</w:t>
            </w:r>
          </w:p>
        </w:tc>
      </w:tr>
    </w:tbl>
    <w:p w14:paraId="24EF2F96" w14:textId="77777777" w:rsidR="00887B87" w:rsidRDefault="00887B87"/>
    <w:p w14:paraId="2F13CA1D" w14:textId="581D2E90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lastRenderedPageBreak/>
        <w:t>Disappearance of Veteran/Whereabouts Unknown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F2492B" w14:paraId="42D79066" w14:textId="77777777" w:rsidTr="00F2492B">
        <w:tc>
          <w:tcPr>
            <w:tcW w:w="1795" w:type="dxa"/>
            <w:shd w:val="clear" w:color="auto" w:fill="D9E2F3" w:themeFill="accent1" w:themeFillTint="33"/>
          </w:tcPr>
          <w:p w14:paraId="49FFFED6" w14:textId="7940EE2C" w:rsidR="00F2492B" w:rsidRPr="00F2492B" w:rsidRDefault="00F2492B">
            <w:pPr>
              <w:rPr>
                <w:rFonts w:cs="Arial"/>
                <w:szCs w:val="24"/>
              </w:rPr>
            </w:pPr>
            <w:r w:rsidRPr="00F2492B">
              <w:rPr>
                <w:rFonts w:cs="Arial"/>
                <w:szCs w:val="24"/>
              </w:rPr>
              <w:t>Terminate benefits</w:t>
            </w:r>
          </w:p>
        </w:tc>
        <w:tc>
          <w:tcPr>
            <w:tcW w:w="8275" w:type="dxa"/>
          </w:tcPr>
          <w:p w14:paraId="7D2B49AE" w14:textId="77777777" w:rsidR="00F2492B" w:rsidRDefault="00F2492B" w:rsidP="00F2492B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492B">
              <w:rPr>
                <w:rFonts w:ascii="Arial" w:hAnsi="Arial" w:cs="Arial"/>
                <w:sz w:val="24"/>
                <w:szCs w:val="24"/>
              </w:rPr>
              <w:t>38 C.</w:t>
            </w:r>
            <w:r>
              <w:rPr>
                <w:rFonts w:ascii="Arial" w:hAnsi="Arial" w:cs="Arial"/>
                <w:sz w:val="24"/>
                <w:szCs w:val="24"/>
              </w:rPr>
              <w:t>F.R. § 3.158 Abandoned claims</w:t>
            </w:r>
          </w:p>
          <w:p w14:paraId="03323C40" w14:textId="77777777" w:rsidR="00F2492B" w:rsidRDefault="00F2492B" w:rsidP="00F2492B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3.500 General (Reductions and Discontinuances)</w:t>
            </w:r>
          </w:p>
          <w:p w14:paraId="7CE04582" w14:textId="34772015" w:rsidR="00F2492B" w:rsidRPr="00F2492B" w:rsidRDefault="00F2492B" w:rsidP="00F2492B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C.F.R. § 3.656 Disappearance of Veteran</w:t>
            </w:r>
          </w:p>
        </w:tc>
      </w:tr>
    </w:tbl>
    <w:p w14:paraId="273302A8" w14:textId="77777777" w:rsidR="00034B50" w:rsidRDefault="00034B50"/>
    <w:p w14:paraId="2048EC83" w14:textId="091BBAA9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Drill Pay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0E1027" w14:paraId="2E7B0105" w14:textId="77777777" w:rsidTr="000E1027">
        <w:tc>
          <w:tcPr>
            <w:tcW w:w="1795" w:type="dxa"/>
            <w:shd w:val="clear" w:color="auto" w:fill="D9E2F3" w:themeFill="accent1" w:themeFillTint="33"/>
          </w:tcPr>
          <w:p w14:paraId="69AB3C61" w14:textId="38D212E3" w:rsidR="000E1027" w:rsidRDefault="000E1027">
            <w:r>
              <w:t>Drill Pay Adjustment</w:t>
            </w:r>
          </w:p>
        </w:tc>
        <w:tc>
          <w:tcPr>
            <w:tcW w:w="8275" w:type="dxa"/>
          </w:tcPr>
          <w:p w14:paraId="7A8D1351" w14:textId="77777777" w:rsidR="000E1027" w:rsidRPr="000E1027" w:rsidRDefault="000E1027" w:rsidP="000E1027">
            <w:pPr>
              <w:numPr>
                <w:ilvl w:val="0"/>
                <w:numId w:val="22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3.6 Duty periods</w:t>
            </w:r>
          </w:p>
          <w:p w14:paraId="112AFB0C" w14:textId="77777777" w:rsidR="000E1027" w:rsidRPr="000E1027" w:rsidRDefault="000E1027" w:rsidP="000E1027">
            <w:pPr>
              <w:numPr>
                <w:ilvl w:val="0"/>
                <w:numId w:val="22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3.654 Active service pay</w:t>
            </w:r>
          </w:p>
          <w:p w14:paraId="38EDAF23" w14:textId="77777777" w:rsidR="000E1027" w:rsidRDefault="000E1027" w:rsidP="000E1027">
            <w:pPr>
              <w:numPr>
                <w:ilvl w:val="0"/>
                <w:numId w:val="22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3.700 General (Concurrent benefits and elections)</w:t>
            </w:r>
          </w:p>
          <w:p w14:paraId="6938434E" w14:textId="116498E6" w:rsidR="000E1027" w:rsidRPr="000E1027" w:rsidRDefault="000E1027" w:rsidP="000E1027">
            <w:pPr>
              <w:numPr>
                <w:ilvl w:val="0"/>
                <w:numId w:val="22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U.S.C. § 5304 Prohibition against duplication of benefits</w:t>
            </w:r>
          </w:p>
        </w:tc>
      </w:tr>
    </w:tbl>
    <w:p w14:paraId="24D482B0" w14:textId="77777777" w:rsidR="000E1027" w:rsidRDefault="000E1027"/>
    <w:p w14:paraId="01051FAE" w14:textId="78513DE2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Dual Entitlement to Compensation and Pension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0E1027" w14:paraId="0FE904E9" w14:textId="77777777" w:rsidTr="000E1027">
        <w:tc>
          <w:tcPr>
            <w:tcW w:w="1795" w:type="dxa"/>
            <w:shd w:val="clear" w:color="auto" w:fill="D9E2F3" w:themeFill="accent1" w:themeFillTint="33"/>
          </w:tcPr>
          <w:p w14:paraId="486AD00E" w14:textId="4D8564D0" w:rsidR="000E1027" w:rsidRDefault="000E1027">
            <w:r>
              <w:t>Award of greater benefit when entitled to both</w:t>
            </w:r>
          </w:p>
        </w:tc>
        <w:tc>
          <w:tcPr>
            <w:tcW w:w="8275" w:type="dxa"/>
          </w:tcPr>
          <w:p w14:paraId="4DCE1822" w14:textId="77777777" w:rsidR="000E1027" w:rsidRPr="000E1027" w:rsidRDefault="000E1027" w:rsidP="000E1027">
            <w:pPr>
              <w:numPr>
                <w:ilvl w:val="0"/>
                <w:numId w:val="23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3.31 Commencement of the period of payment</w:t>
            </w:r>
          </w:p>
          <w:p w14:paraId="7680ADEF" w14:textId="77777777" w:rsidR="000E1027" w:rsidRPr="000E1027" w:rsidRDefault="000E1027" w:rsidP="000E1027">
            <w:pPr>
              <w:numPr>
                <w:ilvl w:val="0"/>
                <w:numId w:val="23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3.400 General (Effective dates)</w:t>
            </w:r>
          </w:p>
          <w:p w14:paraId="419DA502" w14:textId="77777777" w:rsidR="000E1027" w:rsidRDefault="000E1027" w:rsidP="000E1027">
            <w:pPr>
              <w:numPr>
                <w:ilvl w:val="0"/>
                <w:numId w:val="23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3.701 Election of pension or compensation</w:t>
            </w:r>
          </w:p>
          <w:p w14:paraId="44BC8938" w14:textId="57D008E1" w:rsidR="000E1027" w:rsidRPr="000E1027" w:rsidRDefault="000E1027" w:rsidP="000E1027">
            <w:pPr>
              <w:numPr>
                <w:ilvl w:val="0"/>
                <w:numId w:val="23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 xml:space="preserve">38 C.F.R. § 3.551 Reduction because of hospitalization </w:t>
            </w:r>
            <w:r w:rsidRPr="000E1027">
              <w:rPr>
                <w:rFonts w:eastAsiaTheme="minorEastAsia" w:cs="Arial"/>
                <w:i/>
                <w:iCs/>
                <w:color w:val="833C0B" w:themeColor="accent2" w:themeShade="80"/>
                <w:kern w:val="0"/>
                <w:szCs w:val="24"/>
                <w14:ligatures w14:val="none"/>
              </w:rPr>
              <w:t>(use when pension was elected for the $90 Medicaid nursing home rate)</w:t>
            </w:r>
          </w:p>
        </w:tc>
      </w:tr>
    </w:tbl>
    <w:p w14:paraId="60FFF9AF" w14:textId="77777777" w:rsidR="000E1027" w:rsidRDefault="000E1027"/>
    <w:p w14:paraId="64D0EDE9" w14:textId="0B64617D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Federal Employees’ Compensation (FEC)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0E1027" w14:paraId="5ECC30DD" w14:textId="77777777" w:rsidTr="000E1027">
        <w:tc>
          <w:tcPr>
            <w:tcW w:w="1795" w:type="dxa"/>
            <w:shd w:val="clear" w:color="auto" w:fill="D9E2F3" w:themeFill="accent1" w:themeFillTint="33"/>
          </w:tcPr>
          <w:p w14:paraId="74E75717" w14:textId="03AD3779" w:rsidR="000E1027" w:rsidRDefault="000E1027">
            <w:r>
              <w:t>Award adjustment due to FEC</w:t>
            </w:r>
          </w:p>
        </w:tc>
        <w:tc>
          <w:tcPr>
            <w:tcW w:w="8275" w:type="dxa"/>
          </w:tcPr>
          <w:p w14:paraId="622855E6" w14:textId="77777777" w:rsidR="000E1027" w:rsidRPr="000E1027" w:rsidRDefault="000E1027" w:rsidP="000E1027">
            <w:pPr>
              <w:numPr>
                <w:ilvl w:val="0"/>
                <w:numId w:val="24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3.400 General (Effective dates)</w:t>
            </w:r>
          </w:p>
          <w:p w14:paraId="407440B5" w14:textId="77777777" w:rsidR="000E1027" w:rsidRDefault="000E1027" w:rsidP="000E1027">
            <w:pPr>
              <w:numPr>
                <w:ilvl w:val="0"/>
                <w:numId w:val="24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3.500 General (Reductions and discontinuances)</w:t>
            </w:r>
          </w:p>
          <w:p w14:paraId="6A050CE2" w14:textId="46E325A9" w:rsidR="000E1027" w:rsidRPr="000E1027" w:rsidRDefault="000E1027" w:rsidP="000E1027">
            <w:pPr>
              <w:numPr>
                <w:ilvl w:val="0"/>
                <w:numId w:val="24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3.708 Federal Employees’ Compensation</w:t>
            </w:r>
          </w:p>
        </w:tc>
      </w:tr>
    </w:tbl>
    <w:p w14:paraId="0D7B5DBA" w14:textId="77777777" w:rsidR="000E1027" w:rsidRDefault="000E1027"/>
    <w:p w14:paraId="0C0A78C3" w14:textId="379D1DA4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Fugitive Felon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0E1027" w14:paraId="39F2A034" w14:textId="77777777" w:rsidTr="000E1027">
        <w:tc>
          <w:tcPr>
            <w:tcW w:w="1795" w:type="dxa"/>
            <w:shd w:val="clear" w:color="auto" w:fill="D9E2F3" w:themeFill="accent1" w:themeFillTint="33"/>
          </w:tcPr>
          <w:p w14:paraId="4F1062CD" w14:textId="0ABBCA65" w:rsidR="000E1027" w:rsidRDefault="000E1027">
            <w:r>
              <w:t>Terminate / Reinstate based on fugitive felon status</w:t>
            </w:r>
          </w:p>
        </w:tc>
        <w:tc>
          <w:tcPr>
            <w:tcW w:w="8275" w:type="dxa"/>
          </w:tcPr>
          <w:p w14:paraId="2DFB083B" w14:textId="77777777" w:rsidR="000E1027" w:rsidRPr="000E1027" w:rsidRDefault="000E1027" w:rsidP="000E1027">
            <w:pPr>
              <w:numPr>
                <w:ilvl w:val="0"/>
                <w:numId w:val="2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3.31 Commencement of the period of payment</w:t>
            </w:r>
          </w:p>
          <w:p w14:paraId="1277966E" w14:textId="77777777" w:rsidR="000E1027" w:rsidRDefault="000E1027" w:rsidP="000E1027">
            <w:pPr>
              <w:numPr>
                <w:ilvl w:val="0"/>
                <w:numId w:val="2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3.665 Incarcerated beneficiaries and fugitive felons – compensation</w:t>
            </w:r>
          </w:p>
          <w:p w14:paraId="42AB1FE0" w14:textId="4E67A13C" w:rsidR="000E1027" w:rsidRPr="000E1027" w:rsidRDefault="000E1027" w:rsidP="000E1027">
            <w:pPr>
              <w:numPr>
                <w:ilvl w:val="0"/>
                <w:numId w:val="25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U.S.C. § 5313B Prohibition on providing certain benefits with respect to person</w:t>
            </w:r>
            <w:r w:rsidR="006610F8">
              <w:rPr>
                <w:rFonts w:eastAsiaTheme="minorEastAsia" w:cs="Arial"/>
                <w:kern w:val="0"/>
                <w:szCs w:val="24"/>
                <w14:ligatures w14:val="none"/>
              </w:rPr>
              <w:t>s</w:t>
            </w: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 xml:space="preserve"> who are fugitive felons</w:t>
            </w:r>
          </w:p>
        </w:tc>
      </w:tr>
    </w:tbl>
    <w:p w14:paraId="7E24C7C3" w14:textId="77777777" w:rsidR="000E1027" w:rsidRDefault="000E1027"/>
    <w:p w14:paraId="4E0AA22F" w14:textId="628710E5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Hospitalization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0E1027" w14:paraId="1A6F8342" w14:textId="77777777" w:rsidTr="000E1027">
        <w:tc>
          <w:tcPr>
            <w:tcW w:w="1795" w:type="dxa"/>
            <w:shd w:val="clear" w:color="auto" w:fill="D9E2F3" w:themeFill="accent1" w:themeFillTint="33"/>
          </w:tcPr>
          <w:p w14:paraId="312AE38C" w14:textId="027DAC22" w:rsidR="000E1027" w:rsidRDefault="000E1027">
            <w:r>
              <w:t>Reduction of A&amp;A to the HB rate based on hospitalization</w:t>
            </w:r>
          </w:p>
        </w:tc>
        <w:tc>
          <w:tcPr>
            <w:tcW w:w="8275" w:type="dxa"/>
          </w:tcPr>
          <w:p w14:paraId="0EAD12D5" w14:textId="77777777" w:rsidR="000E1027" w:rsidRDefault="000E1027" w:rsidP="000E1027">
            <w:pPr>
              <w:numPr>
                <w:ilvl w:val="0"/>
                <w:numId w:val="26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3.552 Adjustment of allowance for aid and attendance</w:t>
            </w:r>
          </w:p>
          <w:p w14:paraId="5568396A" w14:textId="20B82389" w:rsidR="000E1027" w:rsidRPr="000E1027" w:rsidRDefault="000E1027" w:rsidP="000E1027">
            <w:pPr>
              <w:numPr>
                <w:ilvl w:val="0"/>
                <w:numId w:val="26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3.501 Veterans (Reductions and discontinuances)</w:t>
            </w:r>
          </w:p>
        </w:tc>
      </w:tr>
      <w:tr w:rsidR="00C73116" w14:paraId="4DFCB8E2" w14:textId="77777777" w:rsidTr="000E1027">
        <w:tc>
          <w:tcPr>
            <w:tcW w:w="1795" w:type="dxa"/>
            <w:shd w:val="clear" w:color="auto" w:fill="D9E2F3" w:themeFill="accent1" w:themeFillTint="33"/>
          </w:tcPr>
          <w:p w14:paraId="665EEE6C" w14:textId="4931D49C" w:rsidR="00C73116" w:rsidRDefault="00C73116">
            <w:r>
              <w:t>Reinstatement of A&amp;A following discharge from hospitalization</w:t>
            </w:r>
          </w:p>
        </w:tc>
        <w:tc>
          <w:tcPr>
            <w:tcW w:w="8275" w:type="dxa"/>
          </w:tcPr>
          <w:p w14:paraId="43FEA49B" w14:textId="2A4FBA70" w:rsidR="00C73116" w:rsidRDefault="00C73116" w:rsidP="000E1027">
            <w:pPr>
              <w:numPr>
                <w:ilvl w:val="0"/>
                <w:numId w:val="26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>
              <w:rPr>
                <w:rFonts w:eastAsiaTheme="minorEastAsia" w:cs="Arial"/>
                <w:kern w:val="0"/>
                <w:szCs w:val="24"/>
                <w14:ligatures w14:val="none"/>
              </w:rPr>
              <w:t>38 C.F.R. § 3.5</w:t>
            </w:r>
            <w:r w:rsidR="009261B8">
              <w:rPr>
                <w:rFonts w:eastAsiaTheme="minorEastAsia" w:cs="Arial"/>
                <w:kern w:val="0"/>
                <w:szCs w:val="24"/>
                <w14:ligatures w14:val="none"/>
              </w:rPr>
              <w:t>56 Adjustment on discharge or release</w:t>
            </w:r>
          </w:p>
          <w:p w14:paraId="62ED8B0F" w14:textId="697C2425" w:rsidR="00C73116" w:rsidRPr="000E1027" w:rsidRDefault="00C73116" w:rsidP="000E1027">
            <w:pPr>
              <w:numPr>
                <w:ilvl w:val="0"/>
                <w:numId w:val="26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>
              <w:rPr>
                <w:rFonts w:eastAsiaTheme="minorEastAsia" w:cs="Arial"/>
                <w:kern w:val="0"/>
                <w:szCs w:val="24"/>
                <w14:ligatures w14:val="none"/>
              </w:rPr>
              <w:t>38 C.F.R. § 3.401 Veterans (Effective dates)</w:t>
            </w:r>
          </w:p>
        </w:tc>
      </w:tr>
    </w:tbl>
    <w:p w14:paraId="6CB4C4A4" w14:textId="77777777" w:rsidR="000E1027" w:rsidRDefault="000E1027"/>
    <w:p w14:paraId="003FDEA2" w14:textId="46B9D254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Incarceration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0E1027" w14:paraId="7C74ADF6" w14:textId="77777777" w:rsidTr="000E1027">
        <w:tc>
          <w:tcPr>
            <w:tcW w:w="1795" w:type="dxa"/>
            <w:shd w:val="clear" w:color="auto" w:fill="D9E2F3" w:themeFill="accent1" w:themeFillTint="33"/>
          </w:tcPr>
          <w:p w14:paraId="704509A9" w14:textId="753BC599" w:rsidR="000E1027" w:rsidRDefault="009261B8">
            <w:r>
              <w:t>Reduce</w:t>
            </w:r>
            <w:r w:rsidR="000E1027">
              <w:t xml:space="preserve"> / Reinstate based on incarceration period</w:t>
            </w:r>
          </w:p>
        </w:tc>
        <w:tc>
          <w:tcPr>
            <w:tcW w:w="8275" w:type="dxa"/>
          </w:tcPr>
          <w:p w14:paraId="217A72FE" w14:textId="77777777" w:rsidR="000E1027" w:rsidRPr="000E1027" w:rsidRDefault="000E1027" w:rsidP="000E1027">
            <w:pPr>
              <w:numPr>
                <w:ilvl w:val="0"/>
                <w:numId w:val="27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3.31 Commencement of the period of payment</w:t>
            </w:r>
          </w:p>
          <w:p w14:paraId="719A5010" w14:textId="77777777" w:rsidR="000E1027" w:rsidRDefault="000E1027" w:rsidP="000E1027">
            <w:pPr>
              <w:numPr>
                <w:ilvl w:val="0"/>
                <w:numId w:val="27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3.665 Incarcerated beneficiaries and fugitive felons – compensation</w:t>
            </w:r>
          </w:p>
          <w:p w14:paraId="2390936E" w14:textId="78A1693D" w:rsidR="000E1027" w:rsidRPr="000E1027" w:rsidRDefault="000E1027" w:rsidP="000E1027">
            <w:pPr>
              <w:numPr>
                <w:ilvl w:val="0"/>
                <w:numId w:val="27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U.S.C. § 5313 Limitation on payment of compensation and dependency and indemnity compensation to person</w:t>
            </w:r>
            <w:r w:rsidR="006610F8">
              <w:rPr>
                <w:rFonts w:eastAsiaTheme="minorEastAsia" w:cs="Arial"/>
                <w:kern w:val="0"/>
                <w:szCs w:val="24"/>
                <w14:ligatures w14:val="none"/>
              </w:rPr>
              <w:t>s</w:t>
            </w: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 xml:space="preserve"> incarcerated for conviction of a felony</w:t>
            </w:r>
          </w:p>
        </w:tc>
      </w:tr>
    </w:tbl>
    <w:p w14:paraId="38BD839C" w14:textId="77777777" w:rsidR="000E1027" w:rsidRDefault="000E1027"/>
    <w:p w14:paraId="1F698C6C" w14:textId="6CD047C6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Incompetency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0E1027" w14:paraId="37B22168" w14:textId="77777777" w:rsidTr="000E1027">
        <w:tc>
          <w:tcPr>
            <w:tcW w:w="1795" w:type="dxa"/>
            <w:shd w:val="clear" w:color="auto" w:fill="D9E2F3" w:themeFill="accent1" w:themeFillTint="33"/>
          </w:tcPr>
          <w:p w14:paraId="13B09E60" w14:textId="29A16A69" w:rsidR="000E1027" w:rsidRDefault="007641A7">
            <w:r>
              <w:t>W</w:t>
            </w:r>
            <w:r w:rsidR="004F03A9">
              <w:t>ithhold</w:t>
            </w:r>
            <w:r w:rsidR="00034B50">
              <w:t xml:space="preserve"> </w:t>
            </w:r>
            <w:r w:rsidR="000E1027">
              <w:t>pending competency decision / appointment of fiduciary</w:t>
            </w:r>
          </w:p>
        </w:tc>
        <w:tc>
          <w:tcPr>
            <w:tcW w:w="8275" w:type="dxa"/>
          </w:tcPr>
          <w:p w14:paraId="4AF80395" w14:textId="77777777" w:rsidR="000E1027" w:rsidRPr="000E1027" w:rsidRDefault="000E1027" w:rsidP="000E1027">
            <w:pPr>
              <w:numPr>
                <w:ilvl w:val="0"/>
                <w:numId w:val="28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13.100 Fiduciary appointments</w:t>
            </w:r>
          </w:p>
          <w:p w14:paraId="27AE4CB0" w14:textId="77777777" w:rsidR="000E1027" w:rsidRDefault="000E1027" w:rsidP="000E1027">
            <w:pPr>
              <w:numPr>
                <w:ilvl w:val="0"/>
                <w:numId w:val="28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3.353 Determinations of incompetency and competency</w:t>
            </w:r>
          </w:p>
          <w:p w14:paraId="79B88ACF" w14:textId="64C0C271" w:rsidR="000E1027" w:rsidRPr="000E1027" w:rsidRDefault="000E1027" w:rsidP="000E1027">
            <w:pPr>
              <w:numPr>
                <w:ilvl w:val="0"/>
                <w:numId w:val="28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U.S.C. § 5502 Payments to and supervision of fiduciaries</w:t>
            </w:r>
          </w:p>
        </w:tc>
      </w:tr>
    </w:tbl>
    <w:p w14:paraId="5006F9BA" w14:textId="77777777" w:rsidR="000E1027" w:rsidRDefault="000E1027"/>
    <w:p w14:paraId="797802D7" w14:textId="4A4A8DC6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Military Retired Pay (MRP)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0E1027" w14:paraId="5C1C349A" w14:textId="77777777" w:rsidTr="000E1027">
        <w:tc>
          <w:tcPr>
            <w:tcW w:w="1795" w:type="dxa"/>
            <w:shd w:val="clear" w:color="auto" w:fill="D9E2F3" w:themeFill="accent1" w:themeFillTint="33"/>
          </w:tcPr>
          <w:p w14:paraId="21D292B6" w14:textId="1049F4B0" w:rsidR="000E1027" w:rsidRDefault="000E1027">
            <w:r>
              <w:t>Withhold for MRP adjustment</w:t>
            </w:r>
            <w:r w:rsidR="00034B50">
              <w:t xml:space="preserve"> / Receipt of waiver</w:t>
            </w:r>
          </w:p>
        </w:tc>
        <w:tc>
          <w:tcPr>
            <w:tcW w:w="8275" w:type="dxa"/>
          </w:tcPr>
          <w:p w14:paraId="6F649DA6" w14:textId="77777777" w:rsidR="000E1027" w:rsidRPr="000E1027" w:rsidRDefault="000E1027" w:rsidP="000E1027">
            <w:pPr>
              <w:numPr>
                <w:ilvl w:val="0"/>
                <w:numId w:val="2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3.31 Commencement of the period of payment</w:t>
            </w:r>
          </w:p>
          <w:p w14:paraId="0200EDA2" w14:textId="77777777" w:rsidR="000E1027" w:rsidRPr="000E1027" w:rsidRDefault="000E1027" w:rsidP="000E1027">
            <w:pPr>
              <w:numPr>
                <w:ilvl w:val="0"/>
                <w:numId w:val="2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3.401 Veterans (Effective dates)</w:t>
            </w:r>
          </w:p>
          <w:p w14:paraId="78A90AEF" w14:textId="77777777" w:rsidR="000E1027" w:rsidRPr="000E1027" w:rsidRDefault="000E1027" w:rsidP="000E1027">
            <w:pPr>
              <w:numPr>
                <w:ilvl w:val="0"/>
                <w:numId w:val="2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3.700 General (Concurrent benefits and elections)</w:t>
            </w:r>
          </w:p>
          <w:p w14:paraId="08155DAE" w14:textId="77777777" w:rsidR="000E1027" w:rsidRPr="000E1027" w:rsidRDefault="000E1027" w:rsidP="000E1027">
            <w:pPr>
              <w:numPr>
                <w:ilvl w:val="0"/>
                <w:numId w:val="2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3.750 Entitlement to concurrent receipt of military retired pay and disability compensation</w:t>
            </w:r>
          </w:p>
          <w:p w14:paraId="36B78127" w14:textId="77777777" w:rsidR="000E1027" w:rsidRDefault="000E1027" w:rsidP="000E1027">
            <w:pPr>
              <w:numPr>
                <w:ilvl w:val="0"/>
                <w:numId w:val="2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U.S.C. § 5304 Prohibition against duplication of benefits</w:t>
            </w:r>
          </w:p>
          <w:p w14:paraId="26531368" w14:textId="38E27DB3" w:rsidR="000E1027" w:rsidRPr="000E1027" w:rsidRDefault="000E1027" w:rsidP="000E1027">
            <w:pPr>
              <w:numPr>
                <w:ilvl w:val="0"/>
                <w:numId w:val="2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U.S.C. § 5305 Waiver of retired pay</w:t>
            </w:r>
          </w:p>
        </w:tc>
      </w:tr>
      <w:tr w:rsidR="006759F7" w14:paraId="51ADD34E" w14:textId="77777777" w:rsidTr="000E1027">
        <w:tc>
          <w:tcPr>
            <w:tcW w:w="1795" w:type="dxa"/>
            <w:shd w:val="clear" w:color="auto" w:fill="D9E2F3" w:themeFill="accent1" w:themeFillTint="33"/>
          </w:tcPr>
          <w:p w14:paraId="553D6E75" w14:textId="1E5752BB" w:rsidR="006759F7" w:rsidRDefault="006759F7">
            <w:r>
              <w:t>Elects MRP instead of disability compensation</w:t>
            </w:r>
          </w:p>
        </w:tc>
        <w:tc>
          <w:tcPr>
            <w:tcW w:w="8275" w:type="dxa"/>
          </w:tcPr>
          <w:p w14:paraId="3B00612C" w14:textId="7320D561" w:rsidR="006759F7" w:rsidRDefault="006759F7" w:rsidP="000E1027">
            <w:pPr>
              <w:numPr>
                <w:ilvl w:val="0"/>
                <w:numId w:val="2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>
              <w:rPr>
                <w:rFonts w:eastAsiaTheme="minorEastAsia" w:cs="Arial"/>
                <w:kern w:val="0"/>
                <w:szCs w:val="24"/>
                <w14:ligatures w14:val="none"/>
              </w:rPr>
              <w:t>38 C.F.R. § 3.750 Entitlement to concurrent receipt of military retired pay and disability compensation</w:t>
            </w:r>
          </w:p>
          <w:p w14:paraId="63BEF4BA" w14:textId="3B72B7C2" w:rsidR="006759F7" w:rsidRDefault="006759F7" w:rsidP="000E1027">
            <w:pPr>
              <w:numPr>
                <w:ilvl w:val="0"/>
                <w:numId w:val="2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>
              <w:rPr>
                <w:rFonts w:eastAsiaTheme="minorEastAsia" w:cs="Arial"/>
                <w:kern w:val="0"/>
                <w:szCs w:val="24"/>
                <w14:ligatures w14:val="none"/>
              </w:rPr>
              <w:t>38 C.F.R. § 3.700 General (Concurrent benefits and elections)</w:t>
            </w:r>
          </w:p>
          <w:p w14:paraId="2490D87A" w14:textId="2029195E" w:rsidR="006759F7" w:rsidRDefault="006759F7" w:rsidP="000E1027">
            <w:pPr>
              <w:numPr>
                <w:ilvl w:val="0"/>
                <w:numId w:val="2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>
              <w:rPr>
                <w:rFonts w:eastAsiaTheme="minorEastAsia" w:cs="Arial"/>
                <w:kern w:val="0"/>
                <w:szCs w:val="24"/>
                <w14:ligatures w14:val="none"/>
              </w:rPr>
              <w:t>38 U.S.C. § 5304 Prohibition against duplication of benefits</w:t>
            </w:r>
          </w:p>
          <w:p w14:paraId="30C35C04" w14:textId="3D9A02DD" w:rsidR="006759F7" w:rsidRPr="000E1027" w:rsidRDefault="006759F7" w:rsidP="000E1027">
            <w:pPr>
              <w:numPr>
                <w:ilvl w:val="0"/>
                <w:numId w:val="29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>
              <w:rPr>
                <w:rFonts w:eastAsiaTheme="minorEastAsia" w:cs="Arial"/>
                <w:kern w:val="0"/>
                <w:szCs w:val="24"/>
                <w14:ligatures w14:val="none"/>
              </w:rPr>
              <w:t>38 U.S.C. § 5305 Waiver of retired pay</w:t>
            </w:r>
          </w:p>
        </w:tc>
      </w:tr>
    </w:tbl>
    <w:p w14:paraId="421D3A5D" w14:textId="77777777" w:rsidR="000E1027" w:rsidRDefault="000E1027"/>
    <w:p w14:paraId="5D0A6592" w14:textId="03E6BA94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Month of Death (MOD)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2C446A" w14:paraId="6BC10B9A" w14:textId="77777777" w:rsidTr="0087342A">
        <w:tc>
          <w:tcPr>
            <w:tcW w:w="1795" w:type="dxa"/>
            <w:shd w:val="clear" w:color="auto" w:fill="D9E2F3" w:themeFill="accent1" w:themeFillTint="33"/>
          </w:tcPr>
          <w:p w14:paraId="6DFEAAAC" w14:textId="174B6011" w:rsidR="002C446A" w:rsidRDefault="002C446A">
            <w:r>
              <w:t>Initial / increased MOD payment</w:t>
            </w:r>
          </w:p>
        </w:tc>
        <w:tc>
          <w:tcPr>
            <w:tcW w:w="8275" w:type="dxa"/>
          </w:tcPr>
          <w:p w14:paraId="5DE66BC3" w14:textId="2DC5B107" w:rsidR="002C446A" w:rsidRPr="0087342A" w:rsidRDefault="002C446A" w:rsidP="0087342A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7342A">
              <w:rPr>
                <w:rFonts w:ascii="Arial" w:hAnsi="Arial" w:cs="Arial"/>
                <w:sz w:val="24"/>
                <w:szCs w:val="24"/>
              </w:rPr>
              <w:t>38 C.F.R</w:t>
            </w:r>
            <w:r>
              <w:rPr>
                <w:rFonts w:ascii="Arial" w:hAnsi="Arial" w:cs="Arial"/>
                <w:sz w:val="24"/>
                <w:szCs w:val="24"/>
              </w:rPr>
              <w:t>. § 3.20 Surviving spouse’s benefit for month of Veteran’s death</w:t>
            </w:r>
          </w:p>
        </w:tc>
      </w:tr>
    </w:tbl>
    <w:p w14:paraId="7C392E3A" w14:textId="77777777" w:rsidR="002C446A" w:rsidRDefault="002C446A"/>
    <w:p w14:paraId="515446B0" w14:textId="37CB74E3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Radiation Exposure Compensation Act (RECA)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0E1027" w14:paraId="5BED0CED" w14:textId="77777777" w:rsidTr="000E1027">
        <w:tc>
          <w:tcPr>
            <w:tcW w:w="1795" w:type="dxa"/>
            <w:shd w:val="clear" w:color="auto" w:fill="D9E2F3" w:themeFill="accent1" w:themeFillTint="33"/>
          </w:tcPr>
          <w:p w14:paraId="36E29D2C" w14:textId="3AB05A5D" w:rsidR="000E1027" w:rsidRDefault="000E1027">
            <w:r>
              <w:t>RECA Election</w:t>
            </w:r>
          </w:p>
        </w:tc>
        <w:tc>
          <w:tcPr>
            <w:tcW w:w="8275" w:type="dxa"/>
          </w:tcPr>
          <w:p w14:paraId="3DA2B481" w14:textId="77777777" w:rsidR="000E1027" w:rsidRDefault="000E1027" w:rsidP="000E1027">
            <w:pPr>
              <w:numPr>
                <w:ilvl w:val="0"/>
                <w:numId w:val="3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3.715 Radiation Exposure Compensation Act of 1990, as amended</w:t>
            </w:r>
          </w:p>
          <w:p w14:paraId="2EB474AE" w14:textId="25F393E7" w:rsidR="000E1027" w:rsidRPr="000E1027" w:rsidRDefault="000E1027" w:rsidP="000E1027">
            <w:pPr>
              <w:numPr>
                <w:ilvl w:val="0"/>
                <w:numId w:val="30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3.500 General (Reductions and discontinuances)</w:t>
            </w:r>
          </w:p>
        </w:tc>
      </w:tr>
    </w:tbl>
    <w:p w14:paraId="37DCBB76" w14:textId="77777777" w:rsidR="000E1027" w:rsidRDefault="000E1027"/>
    <w:p w14:paraId="723D17DC" w14:textId="77777777" w:rsidR="006610F8" w:rsidRDefault="006610F8"/>
    <w:p w14:paraId="7B6A6A90" w14:textId="12D0B4B1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lastRenderedPageBreak/>
        <w:t>Renouncement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0E1027" w14:paraId="446599BD" w14:textId="77777777" w:rsidTr="000E1027">
        <w:tc>
          <w:tcPr>
            <w:tcW w:w="1795" w:type="dxa"/>
            <w:shd w:val="clear" w:color="auto" w:fill="D9E2F3" w:themeFill="accent1" w:themeFillTint="33"/>
          </w:tcPr>
          <w:p w14:paraId="005D44CC" w14:textId="164D7CDD" w:rsidR="000E1027" w:rsidRDefault="000E1027">
            <w:r>
              <w:t>Terminate benefits due to renouncement</w:t>
            </w:r>
          </w:p>
        </w:tc>
        <w:tc>
          <w:tcPr>
            <w:tcW w:w="8275" w:type="dxa"/>
          </w:tcPr>
          <w:p w14:paraId="3E963D7F" w14:textId="77777777" w:rsidR="000E1027" w:rsidRPr="000E1027" w:rsidRDefault="000E1027" w:rsidP="000E1027">
            <w:pPr>
              <w:numPr>
                <w:ilvl w:val="0"/>
                <w:numId w:val="31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3.106 Renouncement</w:t>
            </w:r>
          </w:p>
          <w:p w14:paraId="24C1F819" w14:textId="77777777" w:rsidR="000E1027" w:rsidRDefault="000E1027" w:rsidP="000E1027">
            <w:pPr>
              <w:numPr>
                <w:ilvl w:val="0"/>
                <w:numId w:val="31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3.500 General (Reductions and discontinuances)</w:t>
            </w:r>
          </w:p>
          <w:p w14:paraId="1524EB5A" w14:textId="40578B15" w:rsidR="000E1027" w:rsidRPr="000E1027" w:rsidRDefault="000E1027" w:rsidP="000E1027">
            <w:pPr>
              <w:numPr>
                <w:ilvl w:val="0"/>
                <w:numId w:val="31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U.S.C. § 5306 Renouncement of right to benefits</w:t>
            </w:r>
          </w:p>
        </w:tc>
      </w:tr>
    </w:tbl>
    <w:p w14:paraId="5771B089" w14:textId="77777777" w:rsidR="000E1027" w:rsidRDefault="000E1027"/>
    <w:p w14:paraId="73DDB33A" w14:textId="37306E64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Resumption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0E1027" w14:paraId="12112846" w14:textId="77777777" w:rsidTr="000E1027">
        <w:tc>
          <w:tcPr>
            <w:tcW w:w="1795" w:type="dxa"/>
            <w:shd w:val="clear" w:color="auto" w:fill="D9E2F3" w:themeFill="accent1" w:themeFillTint="33"/>
          </w:tcPr>
          <w:p w14:paraId="0735D513" w14:textId="0F768B32" w:rsidR="000E1027" w:rsidRDefault="000E1027">
            <w:r>
              <w:t>Resume award</w:t>
            </w:r>
          </w:p>
        </w:tc>
        <w:tc>
          <w:tcPr>
            <w:tcW w:w="8275" w:type="dxa"/>
          </w:tcPr>
          <w:p w14:paraId="24FBC922" w14:textId="77777777" w:rsidR="000E1027" w:rsidRDefault="000E1027" w:rsidP="000E1027">
            <w:pPr>
              <w:numPr>
                <w:ilvl w:val="0"/>
                <w:numId w:val="32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3.158 Abandoned claim</w:t>
            </w:r>
          </w:p>
          <w:p w14:paraId="373BF41F" w14:textId="6A5FF04C" w:rsidR="000E1027" w:rsidRPr="000E1027" w:rsidRDefault="000E1027" w:rsidP="000E1027">
            <w:pPr>
              <w:numPr>
                <w:ilvl w:val="0"/>
                <w:numId w:val="32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3.400 General (Effective dates)</w:t>
            </w:r>
          </w:p>
        </w:tc>
      </w:tr>
    </w:tbl>
    <w:p w14:paraId="44FA4DBF" w14:textId="77777777" w:rsidR="007641A7" w:rsidRDefault="007641A7"/>
    <w:p w14:paraId="3E869B6A" w14:textId="47F45D3C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Separation Benefits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0E1027" w14:paraId="0F67DA5F" w14:textId="77777777" w:rsidTr="000E1027">
        <w:tc>
          <w:tcPr>
            <w:tcW w:w="1795" w:type="dxa"/>
            <w:shd w:val="clear" w:color="auto" w:fill="D9E2F3" w:themeFill="accent1" w:themeFillTint="33"/>
          </w:tcPr>
          <w:p w14:paraId="333785BF" w14:textId="4F27F0D3" w:rsidR="000E1027" w:rsidRDefault="000E1027">
            <w:r>
              <w:t>Withhold separation / severance pay</w:t>
            </w:r>
          </w:p>
        </w:tc>
        <w:tc>
          <w:tcPr>
            <w:tcW w:w="8275" w:type="dxa"/>
          </w:tcPr>
          <w:p w14:paraId="7412C6F7" w14:textId="78447699" w:rsidR="000E1027" w:rsidRDefault="000E1027" w:rsidP="000E1027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38 C.F.R. § 3.700 General (Concurrent benefits and elections)</w:t>
            </w:r>
          </w:p>
        </w:tc>
      </w:tr>
    </w:tbl>
    <w:p w14:paraId="675FD06A" w14:textId="77777777" w:rsidR="000E1027" w:rsidRDefault="000E1027"/>
    <w:p w14:paraId="7A1CE38A" w14:textId="523A9C6A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Substitution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0E1027" w14:paraId="5A2821A0" w14:textId="77777777" w:rsidTr="000E1027">
        <w:tc>
          <w:tcPr>
            <w:tcW w:w="1795" w:type="dxa"/>
            <w:shd w:val="clear" w:color="auto" w:fill="D9E2F3" w:themeFill="accent1" w:themeFillTint="33"/>
          </w:tcPr>
          <w:p w14:paraId="358433EE" w14:textId="75E07A80" w:rsidR="000E1027" w:rsidRDefault="000E1027">
            <w:r>
              <w:t>Grant/Deny</w:t>
            </w:r>
          </w:p>
        </w:tc>
        <w:tc>
          <w:tcPr>
            <w:tcW w:w="8275" w:type="dxa"/>
          </w:tcPr>
          <w:p w14:paraId="6E8E868E" w14:textId="77777777" w:rsidR="000E1027" w:rsidRDefault="000E1027" w:rsidP="000E1027">
            <w:pPr>
              <w:numPr>
                <w:ilvl w:val="0"/>
                <w:numId w:val="34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3.1010 Substitution under 38 U.S.C. § 5121A following death of a claimant</w:t>
            </w:r>
          </w:p>
          <w:p w14:paraId="2BC90741" w14:textId="6CCCE3A7" w:rsidR="000E1027" w:rsidRPr="000E1027" w:rsidRDefault="000E1027" w:rsidP="000E1027">
            <w:pPr>
              <w:numPr>
                <w:ilvl w:val="0"/>
                <w:numId w:val="34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U.S.C. § 5121A Substitution in case of death of claimant</w:t>
            </w:r>
          </w:p>
        </w:tc>
      </w:tr>
    </w:tbl>
    <w:p w14:paraId="2FB8B938" w14:textId="77777777" w:rsidR="00034B50" w:rsidRDefault="00034B50"/>
    <w:p w14:paraId="70FF175F" w14:textId="427A05BB" w:rsidR="00F70ED1" w:rsidRPr="00F70ED1" w:rsidRDefault="00F70ED1" w:rsidP="00F70ED1">
      <w:pPr>
        <w:shd w:val="clear" w:color="auto" w:fill="1F3864" w:themeFill="accent1" w:themeFillShade="80"/>
        <w:jc w:val="center"/>
        <w:rPr>
          <w:b/>
          <w:bCs/>
          <w:color w:val="FFFFFF" w:themeColor="background1"/>
        </w:rPr>
      </w:pPr>
      <w:r w:rsidRPr="00F70ED1">
        <w:rPr>
          <w:b/>
          <w:bCs/>
          <w:color w:val="FFFFFF" w:themeColor="background1"/>
        </w:rPr>
        <w:t>TORT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0E1027" w14:paraId="36EA6DA3" w14:textId="77777777" w:rsidTr="000E1027">
        <w:tc>
          <w:tcPr>
            <w:tcW w:w="1795" w:type="dxa"/>
            <w:shd w:val="clear" w:color="auto" w:fill="D9E2F3" w:themeFill="accent1" w:themeFillTint="33"/>
          </w:tcPr>
          <w:p w14:paraId="6D3BC72C" w14:textId="43A88CE3" w:rsidR="000E1027" w:rsidRDefault="000E1027">
            <w:r>
              <w:t>Offset based on TORT Award</w:t>
            </w:r>
          </w:p>
        </w:tc>
        <w:tc>
          <w:tcPr>
            <w:tcW w:w="8275" w:type="dxa"/>
          </w:tcPr>
          <w:p w14:paraId="33F1A34A" w14:textId="77777777" w:rsidR="000E1027" w:rsidRDefault="000E1027" w:rsidP="000E1027">
            <w:pPr>
              <w:numPr>
                <w:ilvl w:val="0"/>
                <w:numId w:val="34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3.362 Offsets under 38 U.S.C. § 1151(b) of benefits awarded under 38 U.S.C. § 1151(a)</w:t>
            </w:r>
          </w:p>
          <w:p w14:paraId="67B57216" w14:textId="77777777" w:rsidR="000E1027" w:rsidRDefault="000E1027" w:rsidP="000E1027">
            <w:pPr>
              <w:numPr>
                <w:ilvl w:val="0"/>
                <w:numId w:val="34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 w:rsidRPr="000E1027">
              <w:rPr>
                <w:rFonts w:eastAsiaTheme="minorEastAsia" w:cs="Arial"/>
                <w:kern w:val="0"/>
                <w:szCs w:val="24"/>
                <w14:ligatures w14:val="none"/>
              </w:rPr>
              <w:t>38 C.F.R. § 3.363 Bar to benefits under 38 U.S.C. § 1151</w:t>
            </w:r>
          </w:p>
          <w:p w14:paraId="2954D7E0" w14:textId="3FF6AC28" w:rsidR="00555C77" w:rsidRPr="000E1027" w:rsidRDefault="00555C77" w:rsidP="000E1027">
            <w:pPr>
              <w:numPr>
                <w:ilvl w:val="0"/>
                <w:numId w:val="34"/>
              </w:numPr>
              <w:spacing w:before="100" w:after="200" w:line="276" w:lineRule="auto"/>
              <w:contextualSpacing/>
              <w:rPr>
                <w:rFonts w:eastAsiaTheme="minorEastAsia" w:cs="Arial"/>
                <w:kern w:val="0"/>
                <w:szCs w:val="24"/>
                <w14:ligatures w14:val="none"/>
              </w:rPr>
            </w:pPr>
            <w:r>
              <w:rPr>
                <w:rFonts w:eastAsiaTheme="minorEastAsia" w:cs="Arial"/>
                <w:kern w:val="0"/>
                <w:szCs w:val="24"/>
                <w14:ligatures w14:val="none"/>
              </w:rPr>
              <w:t>38 U.S.C. § 1151 Benefits for person disabled by treatment or vocational rehabilitation</w:t>
            </w:r>
          </w:p>
        </w:tc>
      </w:tr>
    </w:tbl>
    <w:p w14:paraId="4210578F" w14:textId="77777777" w:rsidR="000E1027" w:rsidRDefault="000E1027"/>
    <w:p w14:paraId="333B34E3" w14:textId="3C1A4B7B" w:rsidR="00EB6CCA" w:rsidRDefault="00EB6CCA" w:rsidP="00DF7BC1"/>
    <w:sectPr w:rsidR="00EB6CCA" w:rsidSect="00E674A7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EC44C" w14:textId="77777777" w:rsidR="000A76CE" w:rsidRDefault="000A76CE" w:rsidP="00013AFF">
      <w:pPr>
        <w:spacing w:line="240" w:lineRule="auto"/>
      </w:pPr>
      <w:r>
        <w:separator/>
      </w:r>
    </w:p>
  </w:endnote>
  <w:endnote w:type="continuationSeparator" w:id="0">
    <w:p w14:paraId="263C20A9" w14:textId="77777777" w:rsidR="000A76CE" w:rsidRDefault="000A76CE" w:rsidP="00013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71CCA" w14:textId="5F5AA0CB" w:rsidR="00D23BD8" w:rsidRDefault="00D23BD8">
    <w:pPr>
      <w:pStyle w:val="Footer"/>
    </w:pPr>
    <w:r>
      <w:t>Quality Assurance (214)</w:t>
    </w:r>
    <w:r>
      <w:tab/>
    </w:r>
    <w:r>
      <w:tab/>
      <w:t xml:space="preserve">Last updated </w:t>
    </w:r>
    <w:r w:rsidR="00212436">
      <w:t>June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0910B" w14:textId="77777777" w:rsidR="000A76CE" w:rsidRDefault="000A76CE" w:rsidP="00013AFF">
      <w:pPr>
        <w:spacing w:line="240" w:lineRule="auto"/>
      </w:pPr>
      <w:r>
        <w:separator/>
      </w:r>
    </w:p>
  </w:footnote>
  <w:footnote w:type="continuationSeparator" w:id="0">
    <w:p w14:paraId="70226411" w14:textId="77777777" w:rsidR="000A76CE" w:rsidRDefault="000A76CE" w:rsidP="00013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CD79B" w14:textId="77777777" w:rsidR="000E1027" w:rsidRDefault="00013AFF" w:rsidP="00013AFF">
    <w:pPr>
      <w:pStyle w:val="Header"/>
      <w:jc w:val="center"/>
      <w:rPr>
        <w:color w:val="1F3864" w:themeColor="accent1" w:themeShade="80"/>
        <w:sz w:val="28"/>
        <w:szCs w:val="28"/>
      </w:rPr>
    </w:pPr>
    <w:r w:rsidRPr="00013AFF">
      <w:rPr>
        <w:caps/>
        <w:noProof/>
        <w:color w:val="808080" w:themeColor="background1" w:themeShade="80"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E951EA6" wp14:editId="515CAE5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6E54A" w14:textId="77777777" w:rsidR="00013AFF" w:rsidRDefault="00013AF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951EA6" id="Group 158" o:spid="_x0000_s1026" alt="&quot;&quot;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BE6E54A" w14:textId="77777777" w:rsidR="00013AFF" w:rsidRDefault="00013AF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013AFF">
      <w:rPr>
        <w:color w:val="1F3864" w:themeColor="accent1" w:themeShade="80"/>
        <w:sz w:val="28"/>
        <w:szCs w:val="28"/>
      </w:rPr>
      <w:t xml:space="preserve">Laws and Regulations for </w:t>
    </w:r>
    <w:r w:rsidR="000E1027">
      <w:rPr>
        <w:color w:val="1F3864" w:themeColor="accent1" w:themeShade="80"/>
        <w:sz w:val="28"/>
        <w:szCs w:val="28"/>
      </w:rPr>
      <w:t>Decision Notification on</w:t>
    </w:r>
  </w:p>
  <w:p w14:paraId="0CFB8D18" w14:textId="1F0232D6" w:rsidR="00013AFF" w:rsidRDefault="000E1027" w:rsidP="00013AFF">
    <w:pPr>
      <w:pStyle w:val="Header"/>
      <w:jc w:val="center"/>
      <w:rPr>
        <w:color w:val="1F3864" w:themeColor="accent1" w:themeShade="80"/>
        <w:sz w:val="28"/>
        <w:szCs w:val="28"/>
      </w:rPr>
    </w:pPr>
    <w:r>
      <w:rPr>
        <w:color w:val="1F3864" w:themeColor="accent1" w:themeShade="80"/>
        <w:sz w:val="28"/>
        <w:szCs w:val="28"/>
      </w:rPr>
      <w:t xml:space="preserve">Compensation </w:t>
    </w:r>
    <w:r w:rsidR="00013AFF" w:rsidRPr="00013AFF">
      <w:rPr>
        <w:color w:val="1F3864" w:themeColor="accent1" w:themeShade="80"/>
        <w:sz w:val="28"/>
        <w:szCs w:val="28"/>
      </w:rPr>
      <w:t>Non-Rating Issues</w:t>
    </w:r>
  </w:p>
  <w:p w14:paraId="34FD25CF" w14:textId="77777777" w:rsidR="00E674A7" w:rsidRPr="00013AFF" w:rsidRDefault="00E674A7" w:rsidP="00013AFF">
    <w:pPr>
      <w:pStyle w:val="Header"/>
      <w:jc w:val="center"/>
      <w:rPr>
        <w:color w:val="1F3864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3A1"/>
    <w:multiLevelType w:val="hybridMultilevel"/>
    <w:tmpl w:val="8B0CC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40AA7"/>
    <w:multiLevelType w:val="hybridMultilevel"/>
    <w:tmpl w:val="97EC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21926"/>
    <w:multiLevelType w:val="hybridMultilevel"/>
    <w:tmpl w:val="0748A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344D7"/>
    <w:multiLevelType w:val="hybridMultilevel"/>
    <w:tmpl w:val="76AE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C67C6C"/>
    <w:multiLevelType w:val="hybridMultilevel"/>
    <w:tmpl w:val="3D100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8258F0"/>
    <w:multiLevelType w:val="hybridMultilevel"/>
    <w:tmpl w:val="E7540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C95FB2"/>
    <w:multiLevelType w:val="hybridMultilevel"/>
    <w:tmpl w:val="EB5CE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20571"/>
    <w:multiLevelType w:val="hybridMultilevel"/>
    <w:tmpl w:val="D276B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7623D2"/>
    <w:multiLevelType w:val="hybridMultilevel"/>
    <w:tmpl w:val="DE0AA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AA27BA"/>
    <w:multiLevelType w:val="hybridMultilevel"/>
    <w:tmpl w:val="9DF2F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3D2CF5"/>
    <w:multiLevelType w:val="hybridMultilevel"/>
    <w:tmpl w:val="DA2C6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934D46"/>
    <w:multiLevelType w:val="hybridMultilevel"/>
    <w:tmpl w:val="61D45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F27ABC"/>
    <w:multiLevelType w:val="hybridMultilevel"/>
    <w:tmpl w:val="B84A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30078"/>
    <w:multiLevelType w:val="hybridMultilevel"/>
    <w:tmpl w:val="4D3A1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C1846"/>
    <w:multiLevelType w:val="hybridMultilevel"/>
    <w:tmpl w:val="E2BAB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164093"/>
    <w:multiLevelType w:val="hybridMultilevel"/>
    <w:tmpl w:val="A6941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D06457"/>
    <w:multiLevelType w:val="hybridMultilevel"/>
    <w:tmpl w:val="6C1AB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6C3101"/>
    <w:multiLevelType w:val="hybridMultilevel"/>
    <w:tmpl w:val="89D2B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234292"/>
    <w:multiLevelType w:val="hybridMultilevel"/>
    <w:tmpl w:val="5BB80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E40750"/>
    <w:multiLevelType w:val="hybridMultilevel"/>
    <w:tmpl w:val="6D700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6345CE"/>
    <w:multiLevelType w:val="hybridMultilevel"/>
    <w:tmpl w:val="77FC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157CB"/>
    <w:multiLevelType w:val="hybridMultilevel"/>
    <w:tmpl w:val="A1C46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0250D9"/>
    <w:multiLevelType w:val="hybridMultilevel"/>
    <w:tmpl w:val="D95E7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811860"/>
    <w:multiLevelType w:val="hybridMultilevel"/>
    <w:tmpl w:val="99EEE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BC7C07"/>
    <w:multiLevelType w:val="hybridMultilevel"/>
    <w:tmpl w:val="82162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683B20"/>
    <w:multiLevelType w:val="hybridMultilevel"/>
    <w:tmpl w:val="DF241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213D1F"/>
    <w:multiLevelType w:val="hybridMultilevel"/>
    <w:tmpl w:val="04849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7E36BD"/>
    <w:multiLevelType w:val="hybridMultilevel"/>
    <w:tmpl w:val="6E507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C56321"/>
    <w:multiLevelType w:val="hybridMultilevel"/>
    <w:tmpl w:val="A1CA3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3878D8"/>
    <w:multiLevelType w:val="hybridMultilevel"/>
    <w:tmpl w:val="7E506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C941B7"/>
    <w:multiLevelType w:val="hybridMultilevel"/>
    <w:tmpl w:val="81506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472150"/>
    <w:multiLevelType w:val="hybridMultilevel"/>
    <w:tmpl w:val="93B86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FA6EA4"/>
    <w:multiLevelType w:val="hybridMultilevel"/>
    <w:tmpl w:val="CA746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4C1649"/>
    <w:multiLevelType w:val="hybridMultilevel"/>
    <w:tmpl w:val="5A586D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765F8"/>
    <w:multiLevelType w:val="hybridMultilevel"/>
    <w:tmpl w:val="64160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9B7950"/>
    <w:multiLevelType w:val="hybridMultilevel"/>
    <w:tmpl w:val="6D6E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1441F3"/>
    <w:multiLevelType w:val="hybridMultilevel"/>
    <w:tmpl w:val="B1CA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745651">
    <w:abstractNumId w:val="19"/>
  </w:num>
  <w:num w:numId="2" w16cid:durableId="1791850303">
    <w:abstractNumId w:val="5"/>
  </w:num>
  <w:num w:numId="3" w16cid:durableId="2008315196">
    <w:abstractNumId w:val="1"/>
  </w:num>
  <w:num w:numId="4" w16cid:durableId="1342971771">
    <w:abstractNumId w:val="10"/>
  </w:num>
  <w:num w:numId="5" w16cid:durableId="464853262">
    <w:abstractNumId w:val="34"/>
  </w:num>
  <w:num w:numId="6" w16cid:durableId="1706251226">
    <w:abstractNumId w:val="12"/>
  </w:num>
  <w:num w:numId="7" w16cid:durableId="401488220">
    <w:abstractNumId w:val="20"/>
  </w:num>
  <w:num w:numId="8" w16cid:durableId="2098019055">
    <w:abstractNumId w:val="6"/>
  </w:num>
  <w:num w:numId="9" w16cid:durableId="1837184126">
    <w:abstractNumId w:val="7"/>
  </w:num>
  <w:num w:numId="10" w16cid:durableId="590704690">
    <w:abstractNumId w:val="21"/>
  </w:num>
  <w:num w:numId="11" w16cid:durableId="182016185">
    <w:abstractNumId w:val="22"/>
  </w:num>
  <w:num w:numId="12" w16cid:durableId="1507748902">
    <w:abstractNumId w:val="23"/>
  </w:num>
  <w:num w:numId="13" w16cid:durableId="535965260">
    <w:abstractNumId w:val="28"/>
  </w:num>
  <w:num w:numId="14" w16cid:durableId="1877768300">
    <w:abstractNumId w:val="16"/>
  </w:num>
  <w:num w:numId="15" w16cid:durableId="1097753502">
    <w:abstractNumId w:val="31"/>
  </w:num>
  <w:num w:numId="16" w16cid:durableId="1929119051">
    <w:abstractNumId w:val="30"/>
  </w:num>
  <w:num w:numId="17" w16cid:durableId="402683960">
    <w:abstractNumId w:val="25"/>
  </w:num>
  <w:num w:numId="18" w16cid:durableId="2014452026">
    <w:abstractNumId w:val="24"/>
  </w:num>
  <w:num w:numId="19" w16cid:durableId="696585008">
    <w:abstractNumId w:val="8"/>
  </w:num>
  <w:num w:numId="20" w16cid:durableId="632640896">
    <w:abstractNumId w:val="17"/>
  </w:num>
  <w:num w:numId="21" w16cid:durableId="1561794363">
    <w:abstractNumId w:val="27"/>
  </w:num>
  <w:num w:numId="22" w16cid:durableId="1067917223">
    <w:abstractNumId w:val="29"/>
  </w:num>
  <w:num w:numId="23" w16cid:durableId="46347521">
    <w:abstractNumId w:val="18"/>
  </w:num>
  <w:num w:numId="24" w16cid:durableId="637615359">
    <w:abstractNumId w:val="14"/>
  </w:num>
  <w:num w:numId="25" w16cid:durableId="464004276">
    <w:abstractNumId w:val="4"/>
  </w:num>
  <w:num w:numId="26" w16cid:durableId="284316271">
    <w:abstractNumId w:val="13"/>
  </w:num>
  <w:num w:numId="27" w16cid:durableId="913246065">
    <w:abstractNumId w:val="0"/>
  </w:num>
  <w:num w:numId="28" w16cid:durableId="1444491995">
    <w:abstractNumId w:val="3"/>
  </w:num>
  <w:num w:numId="29" w16cid:durableId="568224378">
    <w:abstractNumId w:val="11"/>
  </w:num>
  <w:num w:numId="30" w16cid:durableId="90511898">
    <w:abstractNumId w:val="35"/>
  </w:num>
  <w:num w:numId="31" w16cid:durableId="1430543753">
    <w:abstractNumId w:val="32"/>
  </w:num>
  <w:num w:numId="32" w16cid:durableId="1820609290">
    <w:abstractNumId w:val="36"/>
  </w:num>
  <w:num w:numId="33" w16cid:durableId="223375347">
    <w:abstractNumId w:val="2"/>
  </w:num>
  <w:num w:numId="34" w16cid:durableId="875389887">
    <w:abstractNumId w:val="15"/>
  </w:num>
  <w:num w:numId="35" w16cid:durableId="577984374">
    <w:abstractNumId w:val="9"/>
  </w:num>
  <w:num w:numId="36" w16cid:durableId="1166898406">
    <w:abstractNumId w:val="26"/>
  </w:num>
  <w:num w:numId="37" w16cid:durableId="198635261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FF"/>
    <w:rsid w:val="00013AFF"/>
    <w:rsid w:val="00034B50"/>
    <w:rsid w:val="0003593B"/>
    <w:rsid w:val="00041820"/>
    <w:rsid w:val="000753FA"/>
    <w:rsid w:val="000A76CE"/>
    <w:rsid w:val="000E1027"/>
    <w:rsid w:val="000E6C87"/>
    <w:rsid w:val="000F180D"/>
    <w:rsid w:val="00144A90"/>
    <w:rsid w:val="00160701"/>
    <w:rsid w:val="001A2FAD"/>
    <w:rsid w:val="001A6B9D"/>
    <w:rsid w:val="001B04CE"/>
    <w:rsid w:val="00212436"/>
    <w:rsid w:val="002C446A"/>
    <w:rsid w:val="003458D8"/>
    <w:rsid w:val="003C0532"/>
    <w:rsid w:val="00452BF3"/>
    <w:rsid w:val="004847C4"/>
    <w:rsid w:val="004F03A9"/>
    <w:rsid w:val="004F0FF5"/>
    <w:rsid w:val="004F1900"/>
    <w:rsid w:val="005549A8"/>
    <w:rsid w:val="00555C77"/>
    <w:rsid w:val="00560120"/>
    <w:rsid w:val="00583FF2"/>
    <w:rsid w:val="005861DF"/>
    <w:rsid w:val="006610F8"/>
    <w:rsid w:val="006759F7"/>
    <w:rsid w:val="006A5603"/>
    <w:rsid w:val="007363BF"/>
    <w:rsid w:val="007641A7"/>
    <w:rsid w:val="007A54F9"/>
    <w:rsid w:val="008036D5"/>
    <w:rsid w:val="0087342A"/>
    <w:rsid w:val="00887B87"/>
    <w:rsid w:val="008F3F62"/>
    <w:rsid w:val="009261B8"/>
    <w:rsid w:val="00943432"/>
    <w:rsid w:val="009652C0"/>
    <w:rsid w:val="00987BD6"/>
    <w:rsid w:val="00A44568"/>
    <w:rsid w:val="00B426AE"/>
    <w:rsid w:val="00B8189D"/>
    <w:rsid w:val="00C5021B"/>
    <w:rsid w:val="00C73116"/>
    <w:rsid w:val="00CF50E8"/>
    <w:rsid w:val="00D23BD8"/>
    <w:rsid w:val="00DF7BC1"/>
    <w:rsid w:val="00E220FD"/>
    <w:rsid w:val="00E674A7"/>
    <w:rsid w:val="00E86FC1"/>
    <w:rsid w:val="00EB6CCA"/>
    <w:rsid w:val="00EE759A"/>
    <w:rsid w:val="00F2492B"/>
    <w:rsid w:val="00F70ED1"/>
    <w:rsid w:val="00FA1983"/>
    <w:rsid w:val="00FE0D6D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90BC"/>
  <w15:chartTrackingRefBased/>
  <w15:docId w15:val="{F398C054-17A9-4E41-A87A-FC2E2C3A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A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AFF"/>
  </w:style>
  <w:style w:type="paragraph" w:styleId="Footer">
    <w:name w:val="footer"/>
    <w:basedOn w:val="Normal"/>
    <w:link w:val="FooterChar"/>
    <w:uiPriority w:val="99"/>
    <w:unhideWhenUsed/>
    <w:rsid w:val="00013A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AFF"/>
  </w:style>
  <w:style w:type="table" w:styleId="TableGrid">
    <w:name w:val="Table Grid"/>
    <w:basedOn w:val="TableNormal"/>
    <w:uiPriority w:val="39"/>
    <w:rsid w:val="00013A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AFF"/>
    <w:pPr>
      <w:spacing w:before="100" w:after="200" w:line="276" w:lineRule="auto"/>
      <w:ind w:left="720"/>
      <w:contextualSpacing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13AF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A5603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5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6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6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60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2FA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2F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2FA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FA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F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2FA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A2FA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1A2FAD"/>
  </w:style>
  <w:style w:type="character" w:styleId="UnresolvedMention">
    <w:name w:val="Unresolved Mention"/>
    <w:basedOn w:val="DefaultParagraphFont"/>
    <w:uiPriority w:val="99"/>
    <w:semiHidden/>
    <w:unhideWhenUsed/>
    <w:rsid w:val="001A2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38/chapter-I/part-3?toc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baw.vba.va.gov/bl/20/cio/20s5/forms/VBA-21P-10195-A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w.cornell.edu/uscode/text/3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Tit</b:Tag>
    <b:SourceType>InternetSite</b:SourceType>
    <b:Guid>{5ADA1CFD-89CB-46DD-86B7-EAD822A4D0FE}</b:Guid>
    <b:Title>Title 38 Code of Federal Regulations</b:Title>
    <b:URL>https://www.ecfr.gov/current/title-38/chapter-I/part-3?toc=1</b:URL>
    <b:RefOrder>1</b:RefOrder>
  </b:Source>
  <b:Source>
    <b:Tag>Uni</b:Tag>
    <b:SourceType>InternetSite</b:SourceType>
    <b:Guid>{4B2C3192-2B07-46FA-B2F3-65DEC371627E}</b:Guid>
    <b:Title>United States Code (USC)</b:Title>
    <b:URL>https://www.law.cornell.edu/uscode/text/38</b:URL>
    <b:RefOrder>2</b:RefOrder>
  </b:Source>
</b:Sources>
</file>

<file path=customXml/itemProps1.xml><?xml version="1.0" encoding="utf-8"?>
<ds:datastoreItem xmlns:ds="http://schemas.openxmlformats.org/officeDocument/2006/customXml" ds:itemID="{A74CF154-3CD5-4725-97A4-4CA1188252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f5b659-45e0-406d-ada9-08e0b284cfc4}" enabled="1" method="Standard" siteId="{e95f1b23-abaf-45ee-821d-b7ab251ab3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Laws and Regulations Job Aid</vt:lpstr>
    </vt:vector>
  </TitlesOfParts>
  <Company>Veterans Benefits Administration</Company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Laws and Regulations Job Aid</dc:title>
  <dc:subject/>
  <dc:creator>Department of Veterans Affairs, Veterans Benefits Administration, Office of Administrative Review, STAFF</dc:creator>
  <cp:keywords/>
  <dc:description/>
  <cp:lastModifiedBy>Kathy Poole</cp:lastModifiedBy>
  <cp:revision>6</cp:revision>
  <dcterms:created xsi:type="dcterms:W3CDTF">2024-06-28T14:03:00Z</dcterms:created>
  <dcterms:modified xsi:type="dcterms:W3CDTF">2024-06-28T16:15:00Z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