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D" w:rsidRDefault="004D10FD" w:rsidP="00496EE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Pension and Fiduciary Service</w:t>
      </w:r>
    </w:p>
    <w:p w:rsidR="00496EE8" w:rsidRPr="008E2777" w:rsidRDefault="00496EE8" w:rsidP="00496EE8">
      <w:pPr>
        <w:pStyle w:val="Title"/>
        <w:rPr>
          <w:rFonts w:ascii="Arial" w:hAnsi="Arial" w:cs="Arial"/>
        </w:rPr>
      </w:pPr>
      <w:r w:rsidRPr="008E2777">
        <w:rPr>
          <w:rFonts w:ascii="Arial" w:hAnsi="Arial" w:cs="Arial"/>
        </w:rPr>
        <w:t>National Fiduciary Quality &amp; Training Call Notes</w:t>
      </w:r>
    </w:p>
    <w:p w:rsidR="00496EE8" w:rsidRPr="008E2777" w:rsidRDefault="00496EE8" w:rsidP="009C2457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5E93" w:rsidRPr="008E2777" w:rsidRDefault="00D55E93" w:rsidP="009C245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918" w:type="dxa"/>
        <w:tblLook w:val="04A0" w:firstRow="1" w:lastRow="0" w:firstColumn="1" w:lastColumn="0" w:noHBand="0" w:noVBand="1"/>
      </w:tblPr>
      <w:tblGrid>
        <w:gridCol w:w="2565"/>
        <w:gridCol w:w="4365"/>
      </w:tblGrid>
      <w:tr w:rsidR="009C2457" w:rsidRPr="008E2777" w:rsidTr="00B24AD1">
        <w:trPr>
          <w:jc w:val="center"/>
        </w:trPr>
        <w:tc>
          <w:tcPr>
            <w:tcW w:w="2565" w:type="dxa"/>
            <w:vMerge w:val="restart"/>
            <w:shd w:val="clear" w:color="auto" w:fill="DBE5F1" w:themeFill="accent1" w:themeFillTint="33"/>
            <w:vAlign w:val="center"/>
          </w:tcPr>
          <w:p w:rsidR="009C2457" w:rsidRPr="008E2777" w:rsidRDefault="009C2457" w:rsidP="009C2457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2777">
              <w:rPr>
                <w:rFonts w:ascii="Arial" w:hAnsi="Arial" w:cs="Arial"/>
                <w:b/>
                <w:sz w:val="24"/>
                <w:szCs w:val="24"/>
              </w:rPr>
              <w:t>Call Information</w:t>
            </w:r>
          </w:p>
        </w:tc>
        <w:tc>
          <w:tcPr>
            <w:tcW w:w="4365" w:type="dxa"/>
          </w:tcPr>
          <w:p w:rsidR="009C2457" w:rsidRPr="008E2777" w:rsidRDefault="009C2457" w:rsidP="002D67A0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8E2777">
              <w:rPr>
                <w:rFonts w:ascii="Arial" w:hAnsi="Arial" w:cs="Arial"/>
                <w:sz w:val="24"/>
                <w:szCs w:val="24"/>
              </w:rPr>
              <w:t xml:space="preserve">Date:  </w:t>
            </w:r>
            <w:r w:rsidR="002D67A0">
              <w:rPr>
                <w:rFonts w:ascii="Arial" w:hAnsi="Arial" w:cs="Arial"/>
                <w:sz w:val="24"/>
                <w:szCs w:val="24"/>
              </w:rPr>
              <w:t>Tuesday, September 20, 2016</w:t>
            </w:r>
          </w:p>
        </w:tc>
      </w:tr>
      <w:tr w:rsidR="009C2457" w:rsidRPr="008E2777" w:rsidTr="00B24AD1">
        <w:trPr>
          <w:jc w:val="center"/>
        </w:trPr>
        <w:tc>
          <w:tcPr>
            <w:tcW w:w="2565" w:type="dxa"/>
            <w:vMerge/>
            <w:shd w:val="clear" w:color="auto" w:fill="DBE5F1" w:themeFill="accent1" w:themeFillTint="33"/>
            <w:vAlign w:val="center"/>
          </w:tcPr>
          <w:p w:rsidR="009C2457" w:rsidRPr="008E2777" w:rsidRDefault="009C2457" w:rsidP="009C2457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9C2457" w:rsidRPr="008E2777" w:rsidRDefault="00AB50FB" w:rsidP="00F914C2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8E2777">
              <w:rPr>
                <w:rFonts w:ascii="Arial" w:hAnsi="Arial" w:cs="Arial"/>
                <w:sz w:val="24"/>
                <w:szCs w:val="24"/>
              </w:rPr>
              <w:t xml:space="preserve">Time:  </w:t>
            </w:r>
            <w:r w:rsidR="00F914C2">
              <w:rPr>
                <w:rFonts w:ascii="Arial" w:hAnsi="Arial" w:cs="Arial"/>
                <w:sz w:val="24"/>
                <w:szCs w:val="24"/>
              </w:rPr>
              <w:t>1</w:t>
            </w:r>
            <w:r w:rsidR="009C2457" w:rsidRPr="008E2777">
              <w:rPr>
                <w:rFonts w:ascii="Arial" w:hAnsi="Arial" w:cs="Arial"/>
                <w:sz w:val="24"/>
                <w:szCs w:val="24"/>
              </w:rPr>
              <w:t>:00</w:t>
            </w:r>
            <w:r w:rsidRPr="008E277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914C2">
              <w:rPr>
                <w:rFonts w:ascii="Arial" w:hAnsi="Arial" w:cs="Arial"/>
                <w:sz w:val="24"/>
                <w:szCs w:val="24"/>
              </w:rPr>
              <w:t>2</w:t>
            </w:r>
            <w:r w:rsidRPr="008E2777">
              <w:rPr>
                <w:rFonts w:ascii="Arial" w:hAnsi="Arial" w:cs="Arial"/>
                <w:sz w:val="24"/>
                <w:szCs w:val="24"/>
              </w:rPr>
              <w:t>:00</w:t>
            </w:r>
            <w:r w:rsidR="009C2457" w:rsidRPr="008E2777">
              <w:rPr>
                <w:rFonts w:ascii="Arial" w:hAnsi="Arial" w:cs="Arial"/>
                <w:sz w:val="24"/>
                <w:szCs w:val="24"/>
              </w:rPr>
              <w:t>pm ET</w:t>
            </w:r>
          </w:p>
        </w:tc>
      </w:tr>
      <w:tr w:rsidR="009C2457" w:rsidRPr="008E2777" w:rsidTr="00B24AD1">
        <w:trPr>
          <w:jc w:val="center"/>
        </w:trPr>
        <w:tc>
          <w:tcPr>
            <w:tcW w:w="2565" w:type="dxa"/>
            <w:vMerge/>
            <w:shd w:val="clear" w:color="auto" w:fill="DBE5F1" w:themeFill="accent1" w:themeFillTint="33"/>
          </w:tcPr>
          <w:p w:rsidR="009C2457" w:rsidRPr="008E2777" w:rsidRDefault="009C2457" w:rsidP="00386CA0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11325B" w:rsidRPr="008E2777" w:rsidRDefault="0011325B" w:rsidP="00B24AD1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TMS:   VA </w:t>
            </w:r>
            <w:r w:rsidR="001F76F8" w:rsidRPr="001F76F8">
              <w:rPr>
                <w:rFonts w:ascii="Arial" w:hAnsi="Arial" w:cs="Arial"/>
                <w:sz w:val="24"/>
                <w:szCs w:val="24"/>
              </w:rPr>
              <w:t>4191622</w:t>
            </w:r>
            <w:r>
              <w:rPr>
                <w:rFonts w:ascii="Arial" w:hAnsi="Arial" w:cs="Arial"/>
                <w:sz w:val="24"/>
                <w:szCs w:val="24"/>
              </w:rPr>
              <w:t xml:space="preserve"> (Self-Study)</w:t>
            </w:r>
          </w:p>
        </w:tc>
      </w:tr>
    </w:tbl>
    <w:p w:rsidR="00386CA0" w:rsidRPr="008E2777" w:rsidRDefault="00386CA0" w:rsidP="00386CA0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-17138781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230CC" w:rsidRPr="008E2777" w:rsidRDefault="00A230CC">
          <w:pPr>
            <w:pStyle w:val="TOCHeading"/>
            <w:rPr>
              <w:rFonts w:ascii="Arial" w:hAnsi="Arial" w:cs="Arial"/>
            </w:rPr>
          </w:pPr>
          <w:r w:rsidRPr="008E2777">
            <w:rPr>
              <w:rFonts w:ascii="Arial" w:hAnsi="Arial" w:cs="Arial"/>
            </w:rPr>
            <w:t>Table of Contents</w:t>
          </w:r>
        </w:p>
        <w:p w:rsidR="009B723E" w:rsidRDefault="00A230C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8E2777">
            <w:fldChar w:fldCharType="begin"/>
          </w:r>
          <w:r w:rsidRPr="008E2777">
            <w:instrText xml:space="preserve"> TOC \o "1-3" \h \z \u </w:instrText>
          </w:r>
          <w:r w:rsidRPr="008E2777">
            <w:fldChar w:fldCharType="separate"/>
          </w:r>
          <w:hyperlink w:anchor="_Toc462817922" w:history="1">
            <w:r w:rsidR="009B723E" w:rsidRPr="00A0027E">
              <w:rPr>
                <w:rStyle w:val="Hyperlink"/>
                <w:noProof/>
              </w:rPr>
              <w:t>Call Meeting Minutes</w:t>
            </w:r>
            <w:r w:rsidR="009B723E">
              <w:rPr>
                <w:noProof/>
                <w:webHidden/>
              </w:rPr>
              <w:tab/>
            </w:r>
            <w:r w:rsidR="009B723E">
              <w:rPr>
                <w:noProof/>
                <w:webHidden/>
              </w:rPr>
              <w:fldChar w:fldCharType="begin"/>
            </w:r>
            <w:r w:rsidR="009B723E">
              <w:rPr>
                <w:noProof/>
                <w:webHidden/>
              </w:rPr>
              <w:instrText xml:space="preserve"> PAGEREF _Toc462817922 \h </w:instrText>
            </w:r>
            <w:r w:rsidR="009B723E">
              <w:rPr>
                <w:noProof/>
                <w:webHidden/>
              </w:rPr>
            </w:r>
            <w:r w:rsidR="009B723E">
              <w:rPr>
                <w:noProof/>
                <w:webHidden/>
              </w:rPr>
              <w:fldChar w:fldCharType="separate"/>
            </w:r>
            <w:r w:rsidR="009B723E">
              <w:rPr>
                <w:noProof/>
                <w:webHidden/>
              </w:rPr>
              <w:t>2</w:t>
            </w:r>
            <w:r w:rsidR="009B723E"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3" w:history="1">
            <w:r w:rsidRPr="00A0027E">
              <w:rPr>
                <w:rStyle w:val="Hyperlink"/>
                <w:noProof/>
              </w:rPr>
              <w:t>Local Training Submissions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4" w:history="1">
            <w:r w:rsidRPr="00A0027E">
              <w:rPr>
                <w:rStyle w:val="Hyperlink"/>
                <w:noProof/>
              </w:rPr>
              <w:t>Home Loan Concurrence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6" w:history="1">
            <w:r w:rsidRPr="00A0027E">
              <w:rPr>
                <w:rStyle w:val="Hyperlink"/>
                <w:noProof/>
              </w:rPr>
              <w:t>Quality Error Trends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7" w:history="1">
            <w:r w:rsidRPr="00A0027E">
              <w:rPr>
                <w:rStyle w:val="Hyperlink"/>
                <w:noProof/>
              </w:rPr>
              <w:t>TPR IPR Trends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8" w:history="1">
            <w:r w:rsidRPr="00A0027E">
              <w:rPr>
                <w:rStyle w:val="Hyperlink"/>
                <w:noProof/>
              </w:rPr>
              <w:t>Knowledge Management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2817929" w:history="1">
            <w:r w:rsidRPr="00A0027E">
              <w:rPr>
                <w:rStyle w:val="Hyperlink"/>
                <w:noProof/>
              </w:rPr>
              <w:t>FPM Chapter 5 Misuse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2817930" w:history="1">
            <w:r w:rsidRPr="00A0027E">
              <w:rPr>
                <w:rStyle w:val="Hyperlink"/>
                <w:noProof/>
              </w:rPr>
              <w:t>Questions from the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2817931" w:history="1">
            <w:r w:rsidRPr="00A0027E">
              <w:rPr>
                <w:rStyle w:val="Hyperlink"/>
                <w:noProof/>
              </w:rPr>
              <w:t>Ongoing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2817932" w:history="1">
            <w:r w:rsidRPr="00A0027E">
              <w:rPr>
                <w:rStyle w:val="Hyperlink"/>
                <w:noProof/>
              </w:rPr>
              <w:t>Next Monthly Quality &amp; Training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23E" w:rsidRDefault="009B723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2817933" w:history="1">
            <w:r w:rsidRPr="00A0027E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_Toc462817933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0CC" w:rsidRPr="008E2777" w:rsidRDefault="00A230CC">
          <w:pPr>
            <w:rPr>
              <w:rFonts w:ascii="Arial" w:hAnsi="Arial" w:cs="Arial"/>
            </w:rPr>
          </w:pPr>
          <w:r w:rsidRPr="008E2777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55E93" w:rsidRPr="008E2777" w:rsidRDefault="00D55E93" w:rsidP="00386CA0">
      <w:pPr>
        <w:rPr>
          <w:rFonts w:ascii="Arial" w:hAnsi="Arial" w:cs="Arial"/>
          <w:sz w:val="24"/>
          <w:szCs w:val="24"/>
        </w:rPr>
      </w:pPr>
    </w:p>
    <w:p w:rsidR="00A25993" w:rsidRPr="008E2777" w:rsidRDefault="00A25993">
      <w:pPr>
        <w:rPr>
          <w:rFonts w:ascii="Arial" w:hAnsi="Arial" w:cs="Arial"/>
          <w:sz w:val="24"/>
          <w:szCs w:val="24"/>
        </w:rPr>
      </w:pPr>
      <w:r w:rsidRPr="008E2777">
        <w:rPr>
          <w:rFonts w:ascii="Arial" w:hAnsi="Arial" w:cs="Arial"/>
          <w:sz w:val="24"/>
          <w:szCs w:val="24"/>
        </w:rPr>
        <w:br w:type="page"/>
      </w:r>
    </w:p>
    <w:p w:rsidR="0038459E" w:rsidRPr="0038459E" w:rsidRDefault="00A25993" w:rsidP="0038459E">
      <w:pPr>
        <w:pStyle w:val="Heading1"/>
        <w:rPr>
          <w:rFonts w:ascii="Arial" w:hAnsi="Arial" w:cs="Arial"/>
        </w:rPr>
      </w:pPr>
      <w:bookmarkStart w:id="1" w:name="_Toc462817922"/>
      <w:r w:rsidRPr="008E2777">
        <w:rPr>
          <w:rFonts w:ascii="Arial" w:hAnsi="Arial" w:cs="Arial"/>
        </w:rPr>
        <w:lastRenderedPageBreak/>
        <w:t>Call Meeting Minutes</w:t>
      </w:r>
      <w:bookmarkEnd w:id="1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08"/>
        <w:gridCol w:w="7668"/>
      </w:tblGrid>
      <w:tr w:rsidR="00556D45" w:rsidRPr="008E2777" w:rsidTr="00434958">
        <w:trPr>
          <w:cantSplit/>
          <w:trHeight w:val="590"/>
          <w:tblHeader/>
        </w:trPr>
        <w:tc>
          <w:tcPr>
            <w:tcW w:w="996" w:type="pct"/>
            <w:shd w:val="clear" w:color="auto" w:fill="C6D9F1" w:themeFill="text2" w:themeFillTint="33"/>
            <w:vAlign w:val="bottom"/>
          </w:tcPr>
          <w:p w:rsidR="00520B2B" w:rsidRPr="008E2777" w:rsidRDefault="00C43432" w:rsidP="008E2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2777">
              <w:rPr>
                <w:rFonts w:ascii="Arial" w:hAnsi="Arial" w:cs="Arial"/>
                <w:b/>
                <w:sz w:val="24"/>
                <w:szCs w:val="24"/>
              </w:rPr>
              <w:t>Call Agenda</w:t>
            </w:r>
            <w:r w:rsidR="00867A4B" w:rsidRPr="008E27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E2777">
              <w:rPr>
                <w:rFonts w:ascii="Arial" w:hAnsi="Arial" w:cs="Arial"/>
                <w:b/>
                <w:sz w:val="24"/>
                <w:szCs w:val="24"/>
              </w:rPr>
              <w:t>Ite</w:t>
            </w:r>
            <w:r w:rsidR="004D54F9" w:rsidRPr="008E2777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4004" w:type="pct"/>
            <w:shd w:val="clear" w:color="auto" w:fill="C6D9F1" w:themeFill="text2" w:themeFillTint="33"/>
          </w:tcPr>
          <w:p w:rsidR="00520B2B" w:rsidRPr="00556D45" w:rsidRDefault="00520B2B" w:rsidP="00B24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D45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C450EC" w:rsidRPr="008E2777" w:rsidTr="00434958">
        <w:trPr>
          <w:cantSplit/>
          <w:trHeight w:val="2595"/>
        </w:trPr>
        <w:tc>
          <w:tcPr>
            <w:tcW w:w="996" w:type="pct"/>
          </w:tcPr>
          <w:p w:rsidR="00C450EC" w:rsidRPr="008E2777" w:rsidRDefault="00434958" w:rsidP="007A72AE">
            <w:pPr>
              <w:pStyle w:val="Heading2"/>
              <w:outlineLvl w:val="1"/>
            </w:pPr>
            <w:bookmarkStart w:id="2" w:name="_Toc462817923"/>
            <w:r>
              <w:t>Local Training Submissions</w:t>
            </w:r>
            <w:bookmarkEnd w:id="2"/>
          </w:p>
        </w:tc>
        <w:tc>
          <w:tcPr>
            <w:tcW w:w="4004" w:type="pct"/>
          </w:tcPr>
          <w:p w:rsidR="00B07B99" w:rsidRPr="005628E1" w:rsidRDefault="00434958" w:rsidP="00B07B99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P&amp;F Service launched a new SharePoint site for submitting </w:t>
            </w:r>
            <w:r w:rsidR="007A02C3" w:rsidRPr="005628E1">
              <w:rPr>
                <w:rFonts w:ascii="Arial" w:hAnsi="Arial" w:cs="Arial"/>
                <w:sz w:val="24"/>
                <w:szCs w:val="24"/>
              </w:rPr>
              <w:t>locally created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training for approval </w:t>
            </w:r>
            <w:r w:rsidR="00DA0AC6">
              <w:rPr>
                <w:rFonts w:ascii="Arial" w:hAnsi="Arial" w:cs="Arial"/>
                <w:sz w:val="24"/>
                <w:szCs w:val="24"/>
              </w:rPr>
              <w:t xml:space="preserve">towards </w:t>
            </w:r>
            <w:r w:rsidRPr="005628E1">
              <w:rPr>
                <w:rFonts w:ascii="Arial" w:hAnsi="Arial" w:cs="Arial"/>
                <w:sz w:val="24"/>
                <w:szCs w:val="24"/>
              </w:rPr>
              <w:t>station-selected hours</w:t>
            </w:r>
            <w:r w:rsidR="00FD7950" w:rsidRPr="005628E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10466">
              <w:rPr>
                <w:rFonts w:ascii="Arial" w:hAnsi="Arial" w:cs="Arial"/>
                <w:sz w:val="24"/>
                <w:szCs w:val="24"/>
              </w:rPr>
              <w:t>Effective September 20, 2016, hubs must submit all local training submissions through the new SharePoint site.  Please discontinue use of the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old Quality &amp; Training SharePoint site.</w:t>
            </w:r>
          </w:p>
          <w:p w:rsidR="00434958" w:rsidRPr="005628E1" w:rsidRDefault="00434958" w:rsidP="00B0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958" w:rsidRPr="005628E1" w:rsidRDefault="00434958" w:rsidP="00434958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The new </w:t>
            </w:r>
            <w:r w:rsidR="00A10466">
              <w:rPr>
                <w:rFonts w:ascii="Arial" w:hAnsi="Arial" w:cs="Arial"/>
                <w:sz w:val="24"/>
                <w:szCs w:val="24"/>
              </w:rPr>
              <w:t xml:space="preserve">training submission 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site is a part of the Fiduciary Work Site SharePoint </w:t>
            </w:r>
            <w:r w:rsidR="00CD5A4F">
              <w:rPr>
                <w:rFonts w:ascii="Arial" w:hAnsi="Arial" w:cs="Arial"/>
                <w:sz w:val="24"/>
                <w:szCs w:val="24"/>
              </w:rPr>
              <w:t xml:space="preserve">and is located </w:t>
            </w:r>
            <w:proofErr w:type="gramStart"/>
            <w:r w:rsidR="00CD5A4F">
              <w:rPr>
                <w:rFonts w:ascii="Arial" w:hAnsi="Arial" w:cs="Arial"/>
                <w:sz w:val="24"/>
                <w:szCs w:val="24"/>
              </w:rPr>
              <w:t>at:</w:t>
            </w:r>
            <w:proofErr w:type="gramEnd"/>
            <w:r w:rsidR="00CD5A4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5628E1">
                <w:rPr>
                  <w:rStyle w:val="Hyperlink"/>
                  <w:rFonts w:ascii="Arial" w:hAnsi="Arial" w:cs="Arial"/>
                  <w:sz w:val="24"/>
                  <w:szCs w:val="24"/>
                </w:rPr>
                <w:t>http://vaww.infoshare.va.gov/sites/21PFSService/Fiduciary_Staff/BFFS/TrainingVACO/SitePages/Home.aspx</w:t>
              </w:r>
            </w:hyperlink>
            <w:r w:rsidRPr="005628E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958" w:rsidRPr="005628E1" w:rsidRDefault="00434958" w:rsidP="004349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0466" w:rsidRDefault="00434958" w:rsidP="00434958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To submit a training package, </w:t>
            </w:r>
          </w:p>
          <w:p w:rsidR="00A10466" w:rsidRDefault="00434958" w:rsidP="00A1046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A10466">
              <w:rPr>
                <w:rFonts w:ascii="Arial" w:hAnsi="Arial" w:cs="Arial"/>
                <w:sz w:val="24"/>
                <w:szCs w:val="24"/>
              </w:rPr>
              <w:t xml:space="preserve">select the </w:t>
            </w:r>
            <w:r w:rsidRPr="00A10466">
              <w:rPr>
                <w:rFonts w:ascii="Arial" w:hAnsi="Arial" w:cs="Arial"/>
                <w:b/>
                <w:sz w:val="24"/>
                <w:szCs w:val="24"/>
              </w:rPr>
              <w:t>Submit Local Training Request</w:t>
            </w:r>
            <w:r w:rsidRPr="00A10466">
              <w:rPr>
                <w:rFonts w:ascii="Arial" w:hAnsi="Arial" w:cs="Arial"/>
                <w:sz w:val="24"/>
                <w:szCs w:val="24"/>
              </w:rPr>
              <w:t xml:space="preserve"> button, </w:t>
            </w:r>
          </w:p>
          <w:p w:rsidR="00A10466" w:rsidRDefault="00434958" w:rsidP="00A1046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A10466">
              <w:rPr>
                <w:rFonts w:ascii="Arial" w:hAnsi="Arial" w:cs="Arial"/>
                <w:sz w:val="24"/>
                <w:szCs w:val="24"/>
              </w:rPr>
              <w:t xml:space="preserve">fill out the </w:t>
            </w:r>
            <w:r w:rsidRPr="00A10466">
              <w:rPr>
                <w:rFonts w:ascii="Arial" w:hAnsi="Arial" w:cs="Arial"/>
                <w:b/>
                <w:sz w:val="24"/>
                <w:szCs w:val="24"/>
              </w:rPr>
              <w:t>Local Training Request Form</w:t>
            </w:r>
            <w:r w:rsidRPr="00A1046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10466" w:rsidRDefault="00434958" w:rsidP="00A1046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A10466">
              <w:rPr>
                <w:rFonts w:ascii="Arial" w:hAnsi="Arial" w:cs="Arial"/>
                <w:b/>
                <w:sz w:val="24"/>
                <w:szCs w:val="24"/>
              </w:rPr>
              <w:t>attach</w:t>
            </w:r>
            <w:r w:rsidRPr="00A10466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CD5A4F" w:rsidRPr="00A10466">
              <w:rPr>
                <w:rFonts w:ascii="Arial" w:hAnsi="Arial" w:cs="Arial"/>
                <w:sz w:val="24"/>
                <w:szCs w:val="24"/>
              </w:rPr>
              <w:t xml:space="preserve">he training materials, and </w:t>
            </w:r>
          </w:p>
          <w:p w:rsidR="00A10466" w:rsidRDefault="00CD5A4F" w:rsidP="00A1046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0466">
              <w:rPr>
                <w:rFonts w:ascii="Arial" w:hAnsi="Arial" w:cs="Arial"/>
                <w:sz w:val="24"/>
                <w:szCs w:val="24"/>
              </w:rPr>
              <w:t>select</w:t>
            </w:r>
            <w:proofErr w:type="gramEnd"/>
            <w:r w:rsidRPr="00A10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466">
              <w:rPr>
                <w:rFonts w:ascii="Arial" w:hAnsi="Arial" w:cs="Arial"/>
                <w:b/>
                <w:sz w:val="24"/>
                <w:szCs w:val="24"/>
              </w:rPr>
              <w:t>Save and Submit Training Request</w:t>
            </w:r>
            <w:r w:rsidR="00434958" w:rsidRPr="00A1046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A10466" w:rsidRDefault="00A10466" w:rsidP="00A1046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34958" w:rsidRPr="00A10466" w:rsidRDefault="00434958" w:rsidP="00A10466">
            <w:pPr>
              <w:rPr>
                <w:rFonts w:ascii="Arial" w:hAnsi="Arial" w:cs="Arial"/>
                <w:sz w:val="24"/>
                <w:szCs w:val="24"/>
              </w:rPr>
            </w:pPr>
            <w:r w:rsidRPr="00A10466">
              <w:rPr>
                <w:rFonts w:ascii="Arial" w:hAnsi="Arial" w:cs="Arial"/>
                <w:sz w:val="24"/>
                <w:szCs w:val="24"/>
              </w:rPr>
              <w:t>P&amp;F Service will provide status updates via email to the submitter.</w:t>
            </w:r>
          </w:p>
        </w:tc>
      </w:tr>
      <w:tr w:rsidR="00434958" w:rsidRPr="008E2777" w:rsidTr="00434958">
        <w:trPr>
          <w:cantSplit/>
          <w:trHeight w:val="2595"/>
        </w:trPr>
        <w:tc>
          <w:tcPr>
            <w:tcW w:w="996" w:type="pct"/>
          </w:tcPr>
          <w:p w:rsidR="00434958" w:rsidRDefault="00434958" w:rsidP="007A72AE">
            <w:pPr>
              <w:pStyle w:val="Heading2"/>
              <w:outlineLvl w:val="1"/>
            </w:pPr>
            <w:bookmarkStart w:id="3" w:name="_Toc462817924"/>
            <w:r>
              <w:t>Home Loan Concurrence</w:t>
            </w:r>
            <w:bookmarkEnd w:id="3"/>
          </w:p>
        </w:tc>
        <w:tc>
          <w:tcPr>
            <w:tcW w:w="4004" w:type="pct"/>
          </w:tcPr>
          <w:p w:rsidR="00B61F3B" w:rsidRPr="005628E1" w:rsidRDefault="002F4169" w:rsidP="002F4169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Fiduciary personnel have a duty to report changes that may affect benefit entitlement to the Pension Management Center per Fiduciary Program Manual</w:t>
            </w:r>
            <w:r w:rsidR="00B8541B">
              <w:rPr>
                <w:rFonts w:ascii="Arial" w:hAnsi="Arial" w:cs="Arial"/>
                <w:sz w:val="24"/>
                <w:szCs w:val="24"/>
              </w:rPr>
              <w:t xml:space="preserve"> (FPM)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4.C.11.a/b.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466">
              <w:rPr>
                <w:rFonts w:ascii="Arial" w:hAnsi="Arial" w:cs="Arial"/>
                <w:sz w:val="24"/>
                <w:szCs w:val="24"/>
              </w:rPr>
              <w:t>Give s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pecial attention  to the income and net worth reported in home loan applications for non-service-connected pension recipients as any changes can increase, reduce, or terminate </w:t>
            </w:r>
            <w:r w:rsidR="00A10466">
              <w:rPr>
                <w:rFonts w:ascii="Arial" w:hAnsi="Arial" w:cs="Arial"/>
                <w:sz w:val="24"/>
                <w:szCs w:val="24"/>
              </w:rPr>
              <w:t>pension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 benefits.  </w:t>
            </w:r>
          </w:p>
          <w:p w:rsidR="002F4169" w:rsidRPr="005628E1" w:rsidRDefault="002F4169" w:rsidP="002F4169">
            <w:pPr>
              <w:rPr>
                <w:rFonts w:ascii="Arial" w:hAnsi="Arial" w:cs="Arial"/>
                <w:sz w:val="24"/>
                <w:szCs w:val="24"/>
              </w:rPr>
            </w:pPr>
          </w:p>
          <w:p w:rsidR="00B61F3B" w:rsidRPr="005628E1" w:rsidRDefault="00BA7E17" w:rsidP="002F4169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Carefully review loan applications and field </w:t>
            </w:r>
            <w:proofErr w:type="gramStart"/>
            <w:r w:rsidRPr="005628E1">
              <w:rPr>
                <w:rFonts w:ascii="Arial" w:hAnsi="Arial" w:cs="Arial"/>
                <w:sz w:val="24"/>
                <w:szCs w:val="24"/>
              </w:rPr>
              <w:t xml:space="preserve">examination reports 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>and compare</w:t>
            </w:r>
            <w:proofErr w:type="gramEnd"/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 them 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income and net worth </w:t>
            </w:r>
            <w:r w:rsidR="00882407">
              <w:rPr>
                <w:rFonts w:ascii="Arial" w:hAnsi="Arial" w:cs="Arial"/>
                <w:sz w:val="24"/>
                <w:szCs w:val="24"/>
              </w:rPr>
              <w:t>used to determine the rate of pension.  This information can</w:t>
            </w:r>
            <w:r w:rsidR="00E930FB" w:rsidRPr="005628E1">
              <w:rPr>
                <w:rFonts w:ascii="Arial" w:hAnsi="Arial" w:cs="Arial"/>
                <w:sz w:val="24"/>
                <w:szCs w:val="24"/>
              </w:rPr>
              <w:t xml:space="preserve"> be found by reviewing SHARE and/or benefit </w:t>
            </w:r>
            <w:r w:rsidRPr="005628E1">
              <w:rPr>
                <w:rFonts w:ascii="Arial" w:hAnsi="Arial" w:cs="Arial"/>
                <w:sz w:val="24"/>
                <w:szCs w:val="24"/>
              </w:rPr>
              <w:t>applications in VVA or VBMS.</w:t>
            </w:r>
          </w:p>
          <w:p w:rsidR="002F4169" w:rsidRPr="005628E1" w:rsidRDefault="002F4169" w:rsidP="002F4169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958" w:rsidRPr="005628E1" w:rsidRDefault="00BA7E17" w:rsidP="002F4169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There is </w:t>
            </w:r>
            <w:r w:rsidR="002F4169" w:rsidRPr="005628E1">
              <w:rPr>
                <w:rFonts w:ascii="Arial" w:hAnsi="Arial" w:cs="Arial"/>
                <w:sz w:val="24"/>
                <w:szCs w:val="24"/>
              </w:rPr>
              <w:t xml:space="preserve">refresher 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training on </w:t>
            </w:r>
            <w:r w:rsidRPr="005628E1">
              <w:rPr>
                <w:rFonts w:ascii="Arial" w:hAnsi="Arial" w:cs="Arial"/>
                <w:i/>
                <w:sz w:val="24"/>
                <w:szCs w:val="24"/>
              </w:rPr>
              <w:t>Reviewing VBA Systems for Income, Assets, and Medical Expenses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avail</w:t>
            </w:r>
            <w:r w:rsidR="002F4169" w:rsidRPr="005628E1">
              <w:rPr>
                <w:rFonts w:ascii="Arial" w:hAnsi="Arial" w:cs="Arial"/>
                <w:sz w:val="24"/>
                <w:szCs w:val="24"/>
              </w:rPr>
              <w:t xml:space="preserve">able under </w:t>
            </w:r>
            <w:r w:rsidR="005628E1">
              <w:rPr>
                <w:rFonts w:ascii="Arial" w:hAnsi="Arial" w:cs="Arial"/>
                <w:sz w:val="24"/>
                <w:szCs w:val="24"/>
              </w:rPr>
              <w:t xml:space="preserve">TMS </w:t>
            </w:r>
            <w:r w:rsidR="002F4169" w:rsidRPr="005628E1">
              <w:rPr>
                <w:rFonts w:ascii="Arial" w:hAnsi="Arial" w:cs="Arial"/>
                <w:sz w:val="24"/>
                <w:szCs w:val="24"/>
              </w:rPr>
              <w:t>VA 4175761.</w:t>
            </w:r>
          </w:p>
        </w:tc>
      </w:tr>
    </w:tbl>
    <w:p w:rsidR="00E930FB" w:rsidRDefault="00E930FB" w:rsidP="005D2B4F">
      <w:pPr>
        <w:pStyle w:val="Heading1"/>
        <w:rPr>
          <w:rFonts w:ascii="Arial" w:hAnsi="Arial" w:cs="Arial"/>
        </w:rPr>
      </w:pPr>
      <w:bookmarkStart w:id="4" w:name="_Misuse_Updates"/>
      <w:bookmarkEnd w:id="4"/>
    </w:p>
    <w:p w:rsidR="00E930FB" w:rsidRDefault="00E930FB" w:rsidP="00E930FB">
      <w:pPr>
        <w:rPr>
          <w:rFonts w:eastAsiaTheme="majorEastAsia"/>
          <w:color w:val="365F91" w:themeColor="accent1" w:themeShade="BF"/>
          <w:sz w:val="28"/>
          <w:szCs w:val="28"/>
        </w:rPr>
      </w:pPr>
      <w:r>
        <w:br w:type="page"/>
      </w:r>
    </w:p>
    <w:p w:rsidR="005D2B4F" w:rsidRPr="00B24AD1" w:rsidRDefault="005D2B4F" w:rsidP="005D2B4F">
      <w:pPr>
        <w:pStyle w:val="Heading1"/>
        <w:rPr>
          <w:rFonts w:ascii="Arial" w:hAnsi="Arial" w:cs="Arial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08"/>
        <w:gridCol w:w="7650"/>
      </w:tblGrid>
      <w:tr w:rsidR="00B111F9" w:rsidRPr="005D2B4F" w:rsidTr="00853C61">
        <w:trPr>
          <w:trHeight w:val="341"/>
        </w:trPr>
        <w:tc>
          <w:tcPr>
            <w:tcW w:w="1908" w:type="dxa"/>
            <w:shd w:val="clear" w:color="auto" w:fill="B8CCE4" w:themeFill="accent1" w:themeFillTint="66"/>
            <w:vAlign w:val="bottom"/>
          </w:tcPr>
          <w:p w:rsidR="00B111F9" w:rsidRPr="00853C61" w:rsidRDefault="00B111F9" w:rsidP="009D3AD7">
            <w:pPr>
              <w:pStyle w:val="Heading2"/>
              <w:outlineLvl w:val="1"/>
              <w:rPr>
                <w:color w:val="auto"/>
              </w:rPr>
            </w:pPr>
            <w:bookmarkStart w:id="5" w:name="_Toc462817925"/>
            <w:r w:rsidRPr="00853C61">
              <w:rPr>
                <w:rFonts w:ascii="Arial" w:hAnsi="Arial" w:cs="Arial"/>
                <w:color w:val="auto"/>
                <w:sz w:val="24"/>
              </w:rPr>
              <w:t>Area</w:t>
            </w:r>
            <w:bookmarkEnd w:id="5"/>
          </w:p>
        </w:tc>
        <w:tc>
          <w:tcPr>
            <w:tcW w:w="7650" w:type="dxa"/>
            <w:shd w:val="clear" w:color="auto" w:fill="B8CCE4" w:themeFill="accent1" w:themeFillTint="66"/>
            <w:vAlign w:val="bottom"/>
          </w:tcPr>
          <w:p w:rsidR="00B111F9" w:rsidRPr="00B111F9" w:rsidRDefault="00B111F9" w:rsidP="00402130">
            <w:pPr>
              <w:rPr>
                <w:rFonts w:ascii="Arial" w:hAnsi="Arial" w:cs="Arial"/>
                <w:sz w:val="24"/>
                <w:szCs w:val="24"/>
              </w:rPr>
            </w:pPr>
            <w:r w:rsidRPr="00B111F9">
              <w:rPr>
                <w:rFonts w:ascii="Arial" w:hAnsi="Arial" w:cs="Arial"/>
                <w:b/>
                <w:sz w:val="24"/>
                <w:szCs w:val="24"/>
              </w:rPr>
              <w:t xml:space="preserve">Details </w:t>
            </w:r>
          </w:p>
        </w:tc>
      </w:tr>
      <w:tr w:rsidR="005D2B4F" w:rsidRPr="005D2B4F" w:rsidTr="00434958">
        <w:trPr>
          <w:trHeight w:val="848"/>
        </w:trPr>
        <w:tc>
          <w:tcPr>
            <w:tcW w:w="1908" w:type="dxa"/>
          </w:tcPr>
          <w:p w:rsidR="005D2B4F" w:rsidRPr="005D2B4F" w:rsidRDefault="00E930FB" w:rsidP="009D3AD7">
            <w:pPr>
              <w:pStyle w:val="Heading2"/>
              <w:outlineLvl w:val="1"/>
            </w:pPr>
            <w:bookmarkStart w:id="6" w:name="_Toc462817926"/>
            <w:r>
              <w:t>Quality Error Trends</w:t>
            </w:r>
            <w:bookmarkEnd w:id="6"/>
          </w:p>
        </w:tc>
        <w:tc>
          <w:tcPr>
            <w:tcW w:w="7650" w:type="dxa"/>
          </w:tcPr>
          <w:p w:rsidR="00563BFD" w:rsidRPr="005628E1" w:rsidRDefault="00402130" w:rsidP="00402130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The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 xml:space="preserve"> Director’s Dashboard</w:t>
            </w:r>
            <w:r w:rsidR="00882407">
              <w:rPr>
                <w:rFonts w:ascii="Arial" w:hAnsi="Arial" w:cs="Arial"/>
                <w:sz w:val="24"/>
                <w:szCs w:val="24"/>
              </w:rPr>
              <w:t xml:space="preserve"> has the August 2016 weighted accuracy results posted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 xml:space="preserve">, which shows a national accuracy of 87.6% for the three-month period of April through June 2016. </w:t>
            </w:r>
          </w:p>
          <w:p w:rsidR="00563BFD" w:rsidRPr="005628E1" w:rsidRDefault="00563BFD" w:rsidP="00563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BFD" w:rsidRPr="005628E1" w:rsidRDefault="00CD5A4F" w:rsidP="00563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P&amp;F Service cited 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 xml:space="preserve">83 errors </w:t>
            </w:r>
            <w:r>
              <w:rPr>
                <w:rFonts w:ascii="Arial" w:hAnsi="Arial" w:cs="Arial"/>
                <w:sz w:val="24"/>
                <w:szCs w:val="24"/>
              </w:rPr>
              <w:t>during this time, and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 xml:space="preserve"> 51% of them</w:t>
            </w:r>
            <w:r>
              <w:rPr>
                <w:rFonts w:ascii="Arial" w:hAnsi="Arial" w:cs="Arial"/>
                <w:sz w:val="24"/>
                <w:szCs w:val="24"/>
              </w:rPr>
              <w:t xml:space="preserve"> were 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 xml:space="preserve">in the Beneficiary Protection category.  Specifically, the errors relate to:  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Proper investigation and qualification of a proposed fiduciary</w:t>
            </w:r>
            <w:r w:rsidR="00CD5A4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Proper assessment of dependent needs</w:t>
            </w:r>
            <w:r w:rsidR="00CD5A4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Utilizing alte</w:t>
            </w:r>
            <w:r w:rsidR="00563BFD" w:rsidRPr="005628E1">
              <w:rPr>
                <w:rFonts w:ascii="Arial" w:hAnsi="Arial" w:cs="Arial"/>
                <w:sz w:val="24"/>
                <w:szCs w:val="24"/>
              </w:rPr>
              <w:t>rnate supervision appropriately,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Proper development and documentation of welfare and fund usage issues,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Establishing an accounting due date when required, 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Ensuring bank statements for the entire accounting period are of record, and</w:t>
            </w:r>
          </w:p>
          <w:p w:rsidR="00B61F3B" w:rsidRPr="005628E1" w:rsidRDefault="00BA7E17" w:rsidP="00563BFD">
            <w:pPr>
              <w:pStyle w:val="ListParagraph"/>
              <w:numPr>
                <w:ilvl w:val="0"/>
                <w:numId w:val="40"/>
              </w:numPr>
              <w:ind w:left="702"/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Establishing correct diary dates to control for future accountings.</w:t>
            </w:r>
          </w:p>
          <w:p w:rsidR="00563BFD" w:rsidRPr="005628E1" w:rsidRDefault="00563BFD" w:rsidP="00563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830F78" w:rsidRPr="005628E1" w:rsidRDefault="00563BFD" w:rsidP="00402130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628E1">
              <w:rPr>
                <w:rFonts w:ascii="Arial" w:hAnsi="Arial" w:cs="Arial"/>
                <w:i/>
                <w:iCs/>
                <w:sz w:val="24"/>
                <w:szCs w:val="24"/>
              </w:rPr>
              <w:t>VACO STAR Quality Review Analytic Reports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in BFFS now c</w:t>
            </w:r>
            <w:r w:rsidR="00402130" w:rsidRPr="005628E1">
              <w:rPr>
                <w:rFonts w:ascii="Arial" w:hAnsi="Arial" w:cs="Arial"/>
                <w:sz w:val="24"/>
                <w:szCs w:val="24"/>
              </w:rPr>
              <w:t xml:space="preserve">ontain data through July 2016. </w:t>
            </w:r>
          </w:p>
        </w:tc>
      </w:tr>
      <w:tr w:rsidR="00563BFD" w:rsidRPr="005D2B4F" w:rsidTr="00434958">
        <w:trPr>
          <w:trHeight w:val="848"/>
        </w:trPr>
        <w:tc>
          <w:tcPr>
            <w:tcW w:w="1908" w:type="dxa"/>
          </w:tcPr>
          <w:p w:rsidR="00563BFD" w:rsidRDefault="00563BFD" w:rsidP="00BF1063">
            <w:pPr>
              <w:pStyle w:val="Heading2"/>
              <w:outlineLvl w:val="1"/>
            </w:pPr>
            <w:bookmarkStart w:id="7" w:name="_Toc462817927"/>
            <w:r>
              <w:t>TPR IPR Trends</w:t>
            </w:r>
            <w:bookmarkEnd w:id="7"/>
          </w:p>
        </w:tc>
        <w:tc>
          <w:tcPr>
            <w:tcW w:w="7650" w:type="dxa"/>
          </w:tcPr>
          <w:p w:rsidR="00563BFD" w:rsidRPr="005628E1" w:rsidRDefault="00563BFD" w:rsidP="00BF1063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P&amp;F Service has completed 125 in process reviews (IPRs) of the targeted program review (TPR) cases </w:t>
            </w:r>
            <w:r w:rsidR="00402130" w:rsidRPr="005628E1">
              <w:rPr>
                <w:rFonts w:ascii="Arial" w:hAnsi="Arial" w:cs="Arial"/>
                <w:sz w:val="24"/>
                <w:szCs w:val="24"/>
              </w:rPr>
              <w:t xml:space="preserve">per </w:t>
            </w:r>
            <w:r w:rsidR="00CD5A4F">
              <w:rPr>
                <w:rFonts w:ascii="Arial" w:hAnsi="Arial" w:cs="Arial"/>
                <w:sz w:val="24"/>
                <w:szCs w:val="24"/>
              </w:rPr>
              <w:t>PL 21-16-01.</w:t>
            </w:r>
          </w:p>
          <w:p w:rsidR="00563BFD" w:rsidRPr="005628E1" w:rsidRDefault="00563BFD" w:rsidP="00BF10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10466" w:rsidRDefault="00563BFD" w:rsidP="00BF1063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Of the cases reviewed, </w:t>
            </w:r>
            <w:r w:rsidR="00882407" w:rsidRPr="005628E1">
              <w:rPr>
                <w:rFonts w:ascii="Arial" w:hAnsi="Arial" w:cs="Arial"/>
                <w:sz w:val="24"/>
                <w:szCs w:val="24"/>
              </w:rPr>
              <w:t>68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cases (</w:t>
            </w:r>
            <w:r w:rsidR="00A10466">
              <w:rPr>
                <w:rFonts w:ascii="Arial" w:hAnsi="Arial" w:cs="Arial"/>
                <w:sz w:val="24"/>
                <w:szCs w:val="24"/>
              </w:rPr>
              <w:t>54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%) contained errors.  These errors are non-punitive and do not count against a hub’s local or national accuracy rate.  </w:t>
            </w:r>
            <w:r w:rsidR="00464E5D">
              <w:rPr>
                <w:rFonts w:ascii="Arial" w:hAnsi="Arial" w:cs="Arial"/>
                <w:sz w:val="24"/>
                <w:szCs w:val="24"/>
              </w:rPr>
              <w:t>The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majority of errors were in the EP 609 </w:t>
            </w:r>
            <w:r w:rsidR="00A10466">
              <w:rPr>
                <w:rFonts w:ascii="Arial" w:hAnsi="Arial" w:cs="Arial"/>
                <w:sz w:val="24"/>
                <w:szCs w:val="24"/>
              </w:rPr>
              <w:t>R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eview and </w:t>
            </w:r>
            <w:r w:rsidR="00A10466">
              <w:rPr>
                <w:rFonts w:ascii="Arial" w:hAnsi="Arial" w:cs="Arial"/>
                <w:sz w:val="24"/>
                <w:szCs w:val="24"/>
              </w:rPr>
              <w:t>A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dministrative </w:t>
            </w:r>
            <w:r w:rsidR="00A10466">
              <w:rPr>
                <w:rFonts w:ascii="Arial" w:hAnsi="Arial" w:cs="Arial"/>
                <w:sz w:val="24"/>
                <w:szCs w:val="24"/>
              </w:rPr>
              <w:t>A</w:t>
            </w:r>
            <w:r w:rsidRPr="005628E1">
              <w:rPr>
                <w:rFonts w:ascii="Arial" w:hAnsi="Arial" w:cs="Arial"/>
                <w:sz w:val="24"/>
                <w:szCs w:val="24"/>
              </w:rPr>
              <w:t>ction categories</w:t>
            </w:r>
            <w:r w:rsidR="00A104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0466" w:rsidRDefault="00A10466" w:rsidP="00BF1063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BFD" w:rsidRPr="005628E1" w:rsidRDefault="00A10466" w:rsidP="00BF1063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Specifically, the errors relate to:  </w:t>
            </w:r>
          </w:p>
          <w:p w:rsidR="00563BFD" w:rsidRPr="005628E1" w:rsidRDefault="00563BFD" w:rsidP="00563BFD">
            <w:pPr>
              <w:pStyle w:val="ListParagraph"/>
              <w:numPr>
                <w:ilvl w:val="0"/>
                <w:numId w:val="39"/>
              </w:num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Use of proper end product (EP) controls and labels</w:t>
            </w:r>
            <w:r w:rsidR="00CD5A4F">
              <w:rPr>
                <w:rFonts w:ascii="Arial" w:hAnsi="Arial" w:cs="Arial"/>
                <w:sz w:val="24"/>
                <w:szCs w:val="24"/>
              </w:rPr>
              <w:t>,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63BFD" w:rsidRPr="005628E1" w:rsidRDefault="00563BFD" w:rsidP="00563BFD">
            <w:pPr>
              <w:pStyle w:val="ListParagraph"/>
              <w:numPr>
                <w:ilvl w:val="0"/>
                <w:numId w:val="39"/>
              </w:num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Appropriate notifications (letters, calls) to benef</w:t>
            </w:r>
            <w:r w:rsidR="00CD5A4F">
              <w:rPr>
                <w:rFonts w:ascii="Arial" w:hAnsi="Arial" w:cs="Arial"/>
                <w:sz w:val="24"/>
                <w:szCs w:val="24"/>
              </w:rPr>
              <w:t>iciaries and power of attorneys,</w:t>
            </w:r>
          </w:p>
          <w:p w:rsidR="00563BFD" w:rsidRPr="005628E1" w:rsidRDefault="00563BFD" w:rsidP="00563BFD">
            <w:pPr>
              <w:pStyle w:val="ListParagraph"/>
              <w:numPr>
                <w:ilvl w:val="0"/>
                <w:numId w:val="39"/>
              </w:num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>Completion of required reporting fields in BFFS (“Initial Request for A</w:t>
            </w:r>
            <w:r w:rsidR="00CD5A4F">
              <w:rPr>
                <w:rFonts w:ascii="Arial" w:hAnsi="Arial" w:cs="Arial"/>
                <w:sz w:val="24"/>
                <w:szCs w:val="24"/>
              </w:rPr>
              <w:t>ppointment Information” fields), and</w:t>
            </w:r>
          </w:p>
          <w:p w:rsidR="00563BFD" w:rsidRDefault="00563BFD" w:rsidP="00BF1063">
            <w:pPr>
              <w:pStyle w:val="ListParagraph"/>
              <w:numPr>
                <w:ilvl w:val="0"/>
                <w:numId w:val="39"/>
              </w:num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28E1">
              <w:rPr>
                <w:rFonts w:ascii="Arial" w:hAnsi="Arial" w:cs="Arial"/>
                <w:sz w:val="24"/>
                <w:szCs w:val="24"/>
              </w:rPr>
              <w:t>Proper execution of Change of Fiduciary Command (CFID)</w:t>
            </w:r>
            <w:r w:rsidR="00CD5A4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FA665A" w:rsidRDefault="00FA665A" w:rsidP="00853C61">
            <w:p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A665A" w:rsidRPr="00853C61" w:rsidRDefault="00FA665A" w:rsidP="00853C61">
            <w:pPr>
              <w:tabs>
                <w:tab w:val="left" w:pos="169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P&amp;F Service is creating additional reports to track IPR error trends in BFFS.  </w:t>
            </w:r>
            <w:r w:rsidR="00FD7950">
              <w:rPr>
                <w:rFonts w:ascii="Arial" w:hAnsi="Arial" w:cs="Arial"/>
                <w:sz w:val="24"/>
                <w:szCs w:val="24"/>
              </w:rPr>
              <w:t xml:space="preserve">P&amp;F Service will notify the hubs when these additional reports are available in BFFS.  </w:t>
            </w:r>
          </w:p>
        </w:tc>
      </w:tr>
      <w:tr w:rsidR="00402130" w:rsidRPr="005D2B4F" w:rsidTr="00434958">
        <w:trPr>
          <w:trHeight w:val="848"/>
        </w:trPr>
        <w:tc>
          <w:tcPr>
            <w:tcW w:w="1908" w:type="dxa"/>
          </w:tcPr>
          <w:p w:rsidR="00402130" w:rsidRDefault="00377E63" w:rsidP="00BF1063">
            <w:pPr>
              <w:pStyle w:val="Heading2"/>
              <w:outlineLvl w:val="1"/>
            </w:pPr>
            <w:bookmarkStart w:id="8" w:name="_Toc462817928"/>
            <w:r>
              <w:lastRenderedPageBreak/>
              <w:t>Knowledge Management Update</w:t>
            </w:r>
            <w:bookmarkEnd w:id="8"/>
          </w:p>
        </w:tc>
        <w:tc>
          <w:tcPr>
            <w:tcW w:w="7650" w:type="dxa"/>
          </w:tcPr>
          <w:p w:rsidR="00402130" w:rsidRPr="005628E1" w:rsidRDefault="00377E63" w:rsidP="00464E5D">
            <w:pPr>
              <w:rPr>
                <w:rFonts w:ascii="Arial" w:hAnsi="Arial" w:cs="Arial"/>
                <w:sz w:val="24"/>
                <w:szCs w:val="24"/>
              </w:rPr>
            </w:pPr>
            <w:r w:rsidRPr="005628E1">
              <w:rPr>
                <w:rFonts w:ascii="Arial" w:hAnsi="Arial" w:cs="Arial"/>
                <w:sz w:val="24"/>
                <w:szCs w:val="24"/>
              </w:rPr>
              <w:t xml:space="preserve">On October 3, 2016, P&amp;F Service will streamline the file structure of the </w:t>
            </w:r>
            <w:r w:rsidR="00464E5D">
              <w:rPr>
                <w:rFonts w:ascii="Arial" w:hAnsi="Arial" w:cs="Arial"/>
                <w:sz w:val="24"/>
                <w:szCs w:val="24"/>
              </w:rPr>
              <w:t>F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iduciary </w:t>
            </w:r>
            <w:r w:rsidR="00504D82">
              <w:rPr>
                <w:rFonts w:ascii="Arial" w:hAnsi="Arial" w:cs="Arial"/>
                <w:sz w:val="24"/>
                <w:szCs w:val="24"/>
              </w:rPr>
              <w:t>Knowledge Management (</w:t>
            </w:r>
            <w:r w:rsidRPr="005628E1">
              <w:rPr>
                <w:rFonts w:ascii="Arial" w:hAnsi="Arial" w:cs="Arial"/>
                <w:sz w:val="24"/>
                <w:szCs w:val="24"/>
              </w:rPr>
              <w:t>KM</w:t>
            </w:r>
            <w:r w:rsidR="00504D82">
              <w:rPr>
                <w:rFonts w:ascii="Arial" w:hAnsi="Arial" w:cs="Arial"/>
                <w:sz w:val="24"/>
                <w:szCs w:val="24"/>
              </w:rPr>
              <w:t>)</w:t>
            </w:r>
            <w:r w:rsidRPr="005628E1">
              <w:rPr>
                <w:rFonts w:ascii="Arial" w:hAnsi="Arial" w:cs="Arial"/>
                <w:sz w:val="24"/>
                <w:szCs w:val="24"/>
              </w:rPr>
              <w:t xml:space="preserve"> portal to make articles easier to find and the layout more intuitive.  Temporary articles will hyperlink users to the new location of content fol</w:t>
            </w:r>
            <w:r w:rsidR="00504D82">
              <w:rPr>
                <w:rFonts w:ascii="Arial" w:hAnsi="Arial" w:cs="Arial"/>
                <w:sz w:val="24"/>
                <w:szCs w:val="24"/>
              </w:rPr>
              <w:t xml:space="preserve">lowed by the taxonomy change.  </w:t>
            </w:r>
          </w:p>
        </w:tc>
      </w:tr>
    </w:tbl>
    <w:p w:rsidR="00402130" w:rsidRDefault="00402130" w:rsidP="00402130"/>
    <w:p w:rsidR="00402130" w:rsidRDefault="00402130" w:rsidP="00402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377E63" w:rsidTr="00377E63">
        <w:tc>
          <w:tcPr>
            <w:tcW w:w="1908" w:type="dxa"/>
            <w:shd w:val="clear" w:color="auto" w:fill="B8CCE4" w:themeFill="accent1" w:themeFillTint="66"/>
          </w:tcPr>
          <w:p w:rsidR="00377E63" w:rsidRPr="00377E63" w:rsidRDefault="00377E63" w:rsidP="00402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E63"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7668" w:type="dxa"/>
            <w:shd w:val="clear" w:color="auto" w:fill="B8CCE4" w:themeFill="accent1" w:themeFillTint="66"/>
          </w:tcPr>
          <w:p w:rsidR="00377E63" w:rsidRPr="00377E63" w:rsidRDefault="00377E63" w:rsidP="00402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7E6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377E63" w:rsidTr="00377E63">
        <w:tc>
          <w:tcPr>
            <w:tcW w:w="1908" w:type="dxa"/>
          </w:tcPr>
          <w:p w:rsidR="00377E63" w:rsidRDefault="00377E63" w:rsidP="00964768">
            <w:pPr>
              <w:pStyle w:val="Heading2"/>
              <w:outlineLvl w:val="1"/>
            </w:pPr>
            <w:bookmarkStart w:id="9" w:name="_Toc462817929"/>
            <w:r>
              <w:t>FPM Chapter 5 Misuse Training</w:t>
            </w:r>
            <w:bookmarkEnd w:id="9"/>
          </w:p>
        </w:tc>
        <w:tc>
          <w:tcPr>
            <w:tcW w:w="7668" w:type="dxa"/>
          </w:tcPr>
          <w:p w:rsidR="00B8541B" w:rsidRDefault="00B8541B" w:rsidP="00B85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P&amp;F Service will release FPM Chapter 5, Misuse, on October 3, 2016.  Several changes were implemented in the rewrite of Chapter 5 to include:</w:t>
            </w:r>
          </w:p>
          <w:p w:rsidR="00B8541B" w:rsidRDefault="00B8541B" w:rsidP="00853C6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53C61">
              <w:rPr>
                <w:rFonts w:ascii="Arial" w:hAnsi="Arial" w:cs="Arial"/>
                <w:sz w:val="24"/>
                <w:szCs w:val="24"/>
              </w:rPr>
              <w:t>pdated program language</w:t>
            </w:r>
          </w:p>
          <w:p w:rsidR="00B8541B" w:rsidRDefault="00B8541B" w:rsidP="00853C6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changes to layout of the chapter, </w:t>
            </w:r>
          </w:p>
          <w:p w:rsidR="00B8541B" w:rsidRDefault="00B8541B" w:rsidP="00853C6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stages </w:t>
            </w:r>
            <w:r w:rsidR="00705923">
              <w:rPr>
                <w:rFonts w:ascii="Arial" w:hAnsi="Arial" w:cs="Arial"/>
                <w:sz w:val="24"/>
                <w:szCs w:val="24"/>
              </w:rPr>
              <w:t>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misuse process, and</w:t>
            </w:r>
          </w:p>
          <w:p w:rsidR="00B8541B" w:rsidRPr="00853C61" w:rsidRDefault="00B8541B" w:rsidP="00853C6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revised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documentation procedures. </w:t>
            </w:r>
          </w:p>
          <w:p w:rsidR="00B8541B" w:rsidRDefault="00B8541B" w:rsidP="00B854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E63" w:rsidRPr="00E930FB" w:rsidRDefault="00705923" w:rsidP="007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October 3, 2016, P&amp;F Service will assign mandatory change training for all hub personnel in TMS.  P&amp;F Service provided a Train-the-Trainer presentation to QRT during the call</w:t>
            </w:r>
            <w:r w:rsidR="00FD7950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</w:tbl>
    <w:p w:rsidR="001A1397" w:rsidRPr="00E930FB" w:rsidRDefault="008E2BA1" w:rsidP="00E930FB">
      <w:pPr>
        <w:pStyle w:val="Heading1"/>
        <w:rPr>
          <w:rFonts w:asciiTheme="minorHAnsi" w:hAnsiTheme="minorHAnsi" w:cstheme="minorBidi"/>
        </w:rPr>
      </w:pPr>
      <w:bookmarkStart w:id="10" w:name="_Toc462817930"/>
      <w:r>
        <w:t>Q</w:t>
      </w:r>
      <w:r w:rsidR="003A7208">
        <w:t xml:space="preserve">uestions </w:t>
      </w:r>
      <w:r w:rsidR="005D4381">
        <w:t>f</w:t>
      </w:r>
      <w:r w:rsidR="003A7208">
        <w:t xml:space="preserve">rom </w:t>
      </w:r>
      <w:r w:rsidR="005D4381">
        <w:t>t</w:t>
      </w:r>
      <w:r w:rsidR="003A7208">
        <w:t>he Field</w:t>
      </w:r>
      <w:bookmarkEnd w:id="10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98"/>
        <w:gridCol w:w="3420"/>
        <w:gridCol w:w="4140"/>
      </w:tblGrid>
      <w:tr w:rsidR="005769D4" w:rsidRPr="00556D45" w:rsidTr="00853C61">
        <w:trPr>
          <w:trHeight w:val="107"/>
        </w:trPr>
        <w:tc>
          <w:tcPr>
            <w:tcW w:w="1998" w:type="dxa"/>
            <w:shd w:val="clear" w:color="auto" w:fill="B8CCE4" w:themeFill="accent1" w:themeFillTint="66"/>
          </w:tcPr>
          <w:p w:rsidR="005769D4" w:rsidRPr="00556D45" w:rsidRDefault="005769D4" w:rsidP="00B24AD1">
            <w:pPr>
              <w:rPr>
                <w:rFonts w:ascii="Arial" w:hAnsi="Arial" w:cs="Arial"/>
                <w:b/>
              </w:rPr>
            </w:pPr>
            <w:r w:rsidRPr="00556D45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3420" w:type="dxa"/>
            <w:shd w:val="clear" w:color="auto" w:fill="B8CCE4" w:themeFill="accent1" w:themeFillTint="66"/>
          </w:tcPr>
          <w:p w:rsidR="005769D4" w:rsidRPr="00556D45" w:rsidRDefault="005769D4" w:rsidP="00B24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D45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:rsidR="005769D4" w:rsidRPr="00556D45" w:rsidRDefault="005769D4" w:rsidP="00B24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D45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5628E1" w:rsidRPr="00556D45" w:rsidTr="005628E1">
        <w:trPr>
          <w:trHeight w:val="848"/>
        </w:trPr>
        <w:tc>
          <w:tcPr>
            <w:tcW w:w="1998" w:type="dxa"/>
            <w:vMerge w:val="restart"/>
            <w:vAlign w:val="center"/>
          </w:tcPr>
          <w:p w:rsidR="005628E1" w:rsidRPr="00556D45" w:rsidRDefault="005628E1" w:rsidP="005628E1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Home Loan Concurrence Memos</w:t>
            </w:r>
          </w:p>
        </w:tc>
        <w:tc>
          <w:tcPr>
            <w:tcW w:w="3420" w:type="dxa"/>
          </w:tcPr>
          <w:p w:rsidR="005628E1" w:rsidRPr="00556D45" w:rsidRDefault="005628E1" w:rsidP="005628E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Will errors be called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the field if notification is not provided to the Pension Management Center on changes to income and/or net worth?</w:t>
            </w:r>
          </w:p>
        </w:tc>
        <w:tc>
          <w:tcPr>
            <w:tcW w:w="4140" w:type="dxa"/>
          </w:tcPr>
          <w:p w:rsidR="005628E1" w:rsidRPr="00556D45" w:rsidRDefault="005628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</w:t>
            </w:r>
            <w:r w:rsidR="00882407">
              <w:rPr>
                <w:rFonts w:ascii="Arial" w:hAnsi="Arial" w:cs="Arial"/>
                <w:sz w:val="24"/>
                <w:szCs w:val="24"/>
              </w:rPr>
              <w:t xml:space="preserve">P&amp;F Service does not review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home loan</w:t>
            </w:r>
            <w:r w:rsidR="00882407">
              <w:rPr>
                <w:rFonts w:ascii="Arial" w:hAnsi="Arial" w:cs="Arial"/>
                <w:sz w:val="24"/>
                <w:szCs w:val="24"/>
              </w:rPr>
              <w:t xml:space="preserve"> concurrence memos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part of </w:t>
            </w:r>
            <w:r w:rsidR="00FD7950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>
              <w:rPr>
                <w:rFonts w:ascii="Arial" w:hAnsi="Arial" w:cs="Arial"/>
                <w:sz w:val="24"/>
                <w:szCs w:val="24"/>
              </w:rPr>
              <w:t>STAR quality</w:t>
            </w:r>
            <w:r w:rsidR="00FD7950">
              <w:rPr>
                <w:rFonts w:ascii="Arial" w:hAnsi="Arial" w:cs="Arial"/>
                <w:sz w:val="24"/>
                <w:szCs w:val="24"/>
              </w:rPr>
              <w:t xml:space="preserve"> reviews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FD79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628E1" w:rsidRPr="00556D45" w:rsidTr="005628E1">
        <w:trPr>
          <w:trHeight w:val="1142"/>
        </w:trPr>
        <w:tc>
          <w:tcPr>
            <w:tcW w:w="1998" w:type="dxa"/>
            <w:vMerge/>
          </w:tcPr>
          <w:p w:rsidR="005628E1" w:rsidRPr="00556D45" w:rsidRDefault="005628E1" w:rsidP="00AB6644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5628E1" w:rsidRPr="00556D45" w:rsidRDefault="005628E1" w:rsidP="007312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do we do if Home Loan Guaranty does not provide us with copies of the VA Form 26-6393,</w:t>
            </w:r>
            <w:r w:rsidRPr="005628E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Loan Analysis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or other loan application forms?</w:t>
            </w:r>
          </w:p>
        </w:tc>
        <w:tc>
          <w:tcPr>
            <w:tcW w:w="4140" w:type="dxa"/>
          </w:tcPr>
          <w:p w:rsidR="005628E1" w:rsidRPr="00556D45" w:rsidRDefault="005628E1" w:rsidP="00464E5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request that your points-of-contact in the Regional Loan Centers provide the loan application forms to you.  </w:t>
            </w:r>
            <w:r w:rsidR="00882407">
              <w:rPr>
                <w:rFonts w:ascii="Arial" w:hAnsi="Arial" w:cs="Arial"/>
                <w:bCs/>
                <w:sz w:val="24"/>
                <w:szCs w:val="24"/>
              </w:rPr>
              <w:t>Review this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2407">
              <w:rPr>
                <w:rFonts w:ascii="Arial" w:hAnsi="Arial" w:cs="Arial"/>
                <w:bCs/>
                <w:sz w:val="24"/>
                <w:szCs w:val="24"/>
              </w:rPr>
              <w:t xml:space="preserve">and evidence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when </w:t>
            </w:r>
            <w:r w:rsidR="00464E5D">
              <w:rPr>
                <w:rFonts w:ascii="Arial" w:hAnsi="Arial" w:cs="Arial"/>
                <w:bCs/>
                <w:sz w:val="24"/>
                <w:szCs w:val="24"/>
              </w:rPr>
              <w:t xml:space="preserve">determining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whether the beneficiary’s situation supports use of a VA-guaranteed home loan.</w:t>
            </w:r>
          </w:p>
        </w:tc>
      </w:tr>
      <w:tr w:rsidR="007A02C3" w:rsidRPr="00556D45" w:rsidTr="007A02C3">
        <w:trPr>
          <w:trHeight w:val="890"/>
        </w:trPr>
        <w:tc>
          <w:tcPr>
            <w:tcW w:w="1998" w:type="dxa"/>
            <w:vMerge w:val="restart"/>
            <w:vAlign w:val="center"/>
          </w:tcPr>
          <w:p w:rsidR="007A02C3" w:rsidRPr="00556D45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TPR IPRs</w:t>
            </w:r>
          </w:p>
        </w:tc>
        <w:tc>
          <w:tcPr>
            <w:tcW w:w="3420" w:type="dxa"/>
          </w:tcPr>
          <w:p w:rsidR="007A02C3" w:rsidRPr="00556D45" w:rsidRDefault="007A02C3" w:rsidP="007A02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We are finding that errors called on TPR cases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were actually made by a different office but then brokered to our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hub for completion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.  Are we required to make corrections on those errors?</w:t>
            </w:r>
          </w:p>
        </w:tc>
        <w:tc>
          <w:tcPr>
            <w:tcW w:w="4140" w:type="dxa"/>
          </w:tcPr>
          <w:p w:rsidR="007A02C3" w:rsidRPr="00E23F42" w:rsidRDefault="00E23F42" w:rsidP="005628E1">
            <w:pPr>
              <w:rPr>
                <w:sz w:val="24"/>
                <w:szCs w:val="24"/>
              </w:rPr>
            </w:pPr>
            <w:r w:rsidRPr="00E23F42">
              <w:rPr>
                <w:sz w:val="24"/>
                <w:szCs w:val="24"/>
              </w:rPr>
              <w:lastRenderedPageBreak/>
              <w:t xml:space="preserve">IPRs are non-punitive.  However, the last fiduciary hub to work the TPR case is responsible for ensuring that all information on the case is </w:t>
            </w:r>
            <w:r w:rsidRPr="00E23F42">
              <w:rPr>
                <w:sz w:val="24"/>
                <w:szCs w:val="24"/>
              </w:rPr>
              <w:lastRenderedPageBreak/>
              <w:t xml:space="preserve">accurate </w:t>
            </w:r>
            <w:r w:rsidR="00464E5D">
              <w:rPr>
                <w:sz w:val="24"/>
                <w:szCs w:val="24"/>
              </w:rPr>
              <w:t>and must</w:t>
            </w:r>
            <w:r w:rsidR="00882407">
              <w:rPr>
                <w:sz w:val="24"/>
                <w:szCs w:val="24"/>
              </w:rPr>
              <w:t xml:space="preserve"> tak</w:t>
            </w:r>
            <w:r w:rsidR="00464E5D">
              <w:rPr>
                <w:sz w:val="24"/>
                <w:szCs w:val="24"/>
              </w:rPr>
              <w:t>e</w:t>
            </w:r>
            <w:r w:rsidR="00882407">
              <w:rPr>
                <w:sz w:val="24"/>
                <w:szCs w:val="24"/>
              </w:rPr>
              <w:t xml:space="preserve"> any necessary corrective action.</w:t>
            </w:r>
            <w:r w:rsidRPr="00E23F42">
              <w:rPr>
                <w:sz w:val="24"/>
                <w:szCs w:val="24"/>
              </w:rPr>
              <w:t xml:space="preserve">  </w:t>
            </w:r>
          </w:p>
          <w:p w:rsidR="007A02C3" w:rsidRPr="005628E1" w:rsidRDefault="007A02C3" w:rsidP="005628E1">
            <w:pPr>
              <w:tabs>
                <w:tab w:val="left" w:pos="2461"/>
              </w:tabs>
            </w:pPr>
            <w:r>
              <w:tab/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  <w:vMerge/>
          </w:tcPr>
          <w:p w:rsidR="007A02C3" w:rsidRDefault="007A02C3" w:rsidP="00416E89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7A02C3" w:rsidRPr="00731289" w:rsidRDefault="007A02C3" w:rsidP="007A02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do we handle errors called for missing information in the Initial Request for Appointment fields when the information does not exist such as Service Number and PFOP?</w:t>
            </w:r>
          </w:p>
        </w:tc>
        <w:tc>
          <w:tcPr>
            <w:tcW w:w="4140" w:type="dxa"/>
          </w:tcPr>
          <w:p w:rsidR="007A02C3" w:rsidRDefault="00882407" w:rsidP="0088240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D5A4F">
              <w:rPr>
                <w:rFonts w:ascii="Arial" w:hAnsi="Arial" w:cs="Arial"/>
                <w:bCs/>
                <w:sz w:val="24"/>
                <w:szCs w:val="24"/>
              </w:rPr>
              <w:t>Hubs must fully complete t</w:t>
            </w:r>
            <w:r w:rsidR="00E23F42" w:rsidRPr="00CD5A4F">
              <w:rPr>
                <w:rFonts w:ascii="Arial" w:hAnsi="Arial" w:cs="Arial"/>
                <w:bCs/>
                <w:sz w:val="24"/>
                <w:szCs w:val="24"/>
              </w:rPr>
              <w:t>he Initial Request for Appointment (VA Form 21-592) field</w:t>
            </w:r>
            <w:r w:rsidRPr="00CD5A4F">
              <w:rPr>
                <w:rFonts w:ascii="Arial" w:hAnsi="Arial" w:cs="Arial"/>
                <w:bCs/>
                <w:sz w:val="24"/>
                <w:szCs w:val="24"/>
              </w:rPr>
              <w:t>s in the BFFS beneficiary record</w:t>
            </w:r>
            <w:r w:rsidR="00CD5A4F" w:rsidRPr="00CD5A4F">
              <w:rPr>
                <w:rFonts w:ascii="Arial" w:hAnsi="Arial" w:cs="Arial"/>
                <w:bCs/>
                <w:sz w:val="24"/>
                <w:szCs w:val="24"/>
              </w:rPr>
              <w:t>.  If there is no information to provide in a field (such as PFOP), then the hub m</w:t>
            </w:r>
            <w:r w:rsidR="00CD5A4F">
              <w:rPr>
                <w:rFonts w:ascii="Arial" w:hAnsi="Arial" w:cs="Arial"/>
                <w:bCs/>
                <w:sz w:val="24"/>
                <w:szCs w:val="24"/>
              </w:rPr>
              <w:t xml:space="preserve">ust document it as such (i.e. “none”, “n/a”, “zero”).  It is not acceptable to input “See </w:t>
            </w:r>
            <w:proofErr w:type="spellStart"/>
            <w:r w:rsidR="00CD5A4F">
              <w:rPr>
                <w:rFonts w:ascii="Arial" w:hAnsi="Arial" w:cs="Arial"/>
                <w:bCs/>
                <w:sz w:val="24"/>
                <w:szCs w:val="24"/>
              </w:rPr>
              <w:t>eFolder</w:t>
            </w:r>
            <w:proofErr w:type="spellEnd"/>
            <w:r w:rsidR="00CD5A4F">
              <w:rPr>
                <w:rFonts w:ascii="Arial" w:hAnsi="Arial" w:cs="Arial"/>
                <w:bCs/>
                <w:sz w:val="24"/>
                <w:szCs w:val="24"/>
              </w:rPr>
              <w:t>.”  Please note that P&amp;F Service is working on streamlining this section of BFFS and will provide further information to all hubs in the future.</w:t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</w:tcPr>
          <w:p w:rsidR="007A02C3" w:rsidRDefault="007A02C3" w:rsidP="00416E89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Knowledge Management</w:t>
            </w:r>
          </w:p>
        </w:tc>
        <w:tc>
          <w:tcPr>
            <w:tcW w:w="3420" w:type="dxa"/>
          </w:tcPr>
          <w:p w:rsidR="007A02C3" w:rsidRDefault="005F26F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Will you still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t>provide links on the front page of KM for any recent changes or additions?</w:t>
            </w:r>
          </w:p>
        </w:tc>
        <w:tc>
          <w:tcPr>
            <w:tcW w:w="4140" w:type="dxa"/>
          </w:tcPr>
          <w:p w:rsidR="007A02C3" w:rsidRPr="007A02C3" w:rsidRDefault="00FD7950" w:rsidP="00464E5D">
            <w:pPr>
              <w:pStyle w:val="NoSpacing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7A02C3">
              <w:rPr>
                <w:rFonts w:ascii="Arial" w:hAnsi="Arial" w:cs="Arial"/>
                <w:bCs/>
                <w:sz w:val="24"/>
                <w:szCs w:val="24"/>
              </w:rPr>
              <w:t xml:space="preserve">Yes,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P&amp;F Service will feature </w:t>
            </w:r>
            <w:r w:rsidRPr="007A02C3">
              <w:rPr>
                <w:rFonts w:ascii="Arial" w:hAnsi="Arial" w:cs="Arial"/>
                <w:bCs/>
                <w:sz w:val="24"/>
                <w:szCs w:val="24"/>
              </w:rPr>
              <w:t>new changes under the Breaking News section on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KM</w:t>
            </w:r>
            <w:r w:rsidRPr="007A02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home</w:t>
            </w:r>
            <w:r w:rsidRPr="007A02C3">
              <w:rPr>
                <w:rFonts w:ascii="Arial" w:hAnsi="Arial" w:cs="Arial"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A02C3" w:rsidRPr="00556D45" w:rsidTr="007A02C3">
        <w:trPr>
          <w:trHeight w:val="890"/>
        </w:trPr>
        <w:tc>
          <w:tcPr>
            <w:tcW w:w="1998" w:type="dxa"/>
            <w:vMerge w:val="restart"/>
            <w:vAlign w:val="center"/>
          </w:tcPr>
          <w:p w:rsidR="007A02C3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  <w:t>Misuse</w:t>
            </w:r>
          </w:p>
        </w:tc>
        <w:tc>
          <w:tcPr>
            <w:tcW w:w="3420" w:type="dxa"/>
          </w:tcPr>
          <w:p w:rsidR="007A02C3" w:rsidRDefault="007A02C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a face-to-face examination with the misusing fiduciary required if you reach them by telephone and they refuse to meet with you in person?</w:t>
            </w:r>
          </w:p>
        </w:tc>
        <w:tc>
          <w:tcPr>
            <w:tcW w:w="4140" w:type="dxa"/>
          </w:tcPr>
          <w:p w:rsidR="00705923" w:rsidRDefault="00705923" w:rsidP="0070592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No, a face-to-face is not required when </w:t>
            </w:r>
          </w:p>
          <w:p w:rsidR="00705923" w:rsidRDefault="007A02C3" w:rsidP="00853C61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sufficient attempts are made to meet with the fiduciary in person</w:t>
            </w:r>
            <w:r w:rsidR="00FD795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D7950" w:rsidRDefault="007A02C3" w:rsidP="00853C61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due diligence is exercised, and </w:t>
            </w:r>
          </w:p>
          <w:p w:rsidR="007A02C3" w:rsidRPr="007A02C3" w:rsidRDefault="00705923" w:rsidP="00853C61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all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t>attempts are documented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  <w:vMerge/>
          </w:tcPr>
          <w:p w:rsidR="007A02C3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7A02C3" w:rsidRDefault="007A02C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we have to replace a fiduciary within 60 days even if no misuse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is found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4140" w:type="dxa"/>
          </w:tcPr>
          <w:p w:rsidR="00705923" w:rsidRDefault="00464E5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Hubs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t xml:space="preserve">have 60 days to make </w:t>
            </w:r>
            <w:r w:rsidR="00705923">
              <w:rPr>
                <w:rFonts w:ascii="Arial" w:hAnsi="Arial" w:cs="Arial"/>
                <w:bCs/>
                <w:sz w:val="24"/>
                <w:szCs w:val="24"/>
              </w:rPr>
              <w:t xml:space="preserve">a misuse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t>determination.</w:t>
            </w:r>
            <w:r w:rsidR="00705923">
              <w:rPr>
                <w:rFonts w:ascii="Arial" w:hAnsi="Arial" w:cs="Arial"/>
                <w:bCs/>
                <w:sz w:val="24"/>
                <w:szCs w:val="24"/>
              </w:rPr>
              <w:t xml:space="preserve">  When no misuse is found, the Fiduciary Hub Manager may decide to appoint a successor if deemed necessary. </w:t>
            </w:r>
          </w:p>
          <w:p w:rsidR="00705923" w:rsidRDefault="0070592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5923" w:rsidRDefault="00BD77F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Follow procedures in FPM, Chapter 2 for appointment of a successor fiduciary</w:t>
            </w:r>
            <w:r w:rsidR="00FD7950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  <w:vMerge/>
          </w:tcPr>
          <w:p w:rsidR="007A02C3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7A02C3" w:rsidRDefault="007A02C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Will this new guidance regarding collecting surety bonds be for all cases we previously have not been able to collect on a bond, or from point forward?</w:t>
            </w:r>
          </w:p>
        </w:tc>
        <w:tc>
          <w:tcPr>
            <w:tcW w:w="4140" w:type="dxa"/>
          </w:tcPr>
          <w:p w:rsidR="007A02C3" w:rsidRDefault="001970CC" w:rsidP="001970CC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FPM Chapter 5 now clearly indicates the requirement for fiduciary personnel to attempt collection on surety bonds. It also provides information on who to notify when there are issues collecting.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t xml:space="preserve">This </w:t>
            </w:r>
            <w:r w:rsidR="007A02C3">
              <w:rPr>
                <w:rFonts w:ascii="Arial" w:hAnsi="Arial" w:cs="Arial"/>
                <w:bCs/>
                <w:sz w:val="24"/>
                <w:szCs w:val="24"/>
              </w:rPr>
              <w:lastRenderedPageBreak/>
              <w:t>guidance is effective on cases from point forward.</w:t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  <w:vMerge/>
          </w:tcPr>
          <w:p w:rsidR="007A02C3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7A02C3" w:rsidRDefault="007A02C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should we do about past cases that we have not been able to collect on the bond and we have requested Regional Counsel assistance?</w:t>
            </w:r>
          </w:p>
        </w:tc>
        <w:tc>
          <w:tcPr>
            <w:tcW w:w="4140" w:type="dxa"/>
          </w:tcPr>
          <w:p w:rsidR="007A02C3" w:rsidRDefault="007A02C3" w:rsidP="00416E89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Please send a list of the cases and the emails sent to Regional Counsel to the F&amp;FE inbox.  P&amp;F Service will provide assistance.</w:t>
            </w:r>
          </w:p>
        </w:tc>
      </w:tr>
      <w:tr w:rsidR="007A02C3" w:rsidRPr="00556D45" w:rsidTr="005628E1">
        <w:trPr>
          <w:trHeight w:val="890"/>
        </w:trPr>
        <w:tc>
          <w:tcPr>
            <w:tcW w:w="1998" w:type="dxa"/>
            <w:vMerge/>
          </w:tcPr>
          <w:p w:rsidR="007A02C3" w:rsidRDefault="007A02C3" w:rsidP="007A02C3">
            <w:pPr>
              <w:rPr>
                <w:rFonts w:ascii="Arial" w:hAnsi="Arial" w:cs="Arial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3420" w:type="dxa"/>
          </w:tcPr>
          <w:p w:rsidR="007A02C3" w:rsidRDefault="007A02C3" w:rsidP="006145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new chapter provides that misuse allegations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may be established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on SDP beneficiaries.  Have you ever seen misuse in these instances?</w:t>
            </w:r>
          </w:p>
        </w:tc>
        <w:tc>
          <w:tcPr>
            <w:tcW w:w="4140" w:type="dxa"/>
          </w:tcPr>
          <w:p w:rsidR="007A02C3" w:rsidRDefault="007A02C3" w:rsidP="0088240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P&amp;F Service assumes </w:t>
            </w:r>
            <w:r w:rsidR="00882407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misuse for SDP beneficiaries </w:t>
            </w:r>
            <w:r w:rsidR="00882407">
              <w:rPr>
                <w:rFonts w:ascii="Arial" w:hAnsi="Arial" w:cs="Arial"/>
                <w:bCs/>
                <w:sz w:val="24"/>
                <w:szCs w:val="24"/>
              </w:rPr>
              <w:t>only occurs 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rare situations.  However, it is possible, so </w:t>
            </w:r>
            <w:r w:rsidR="00882407">
              <w:rPr>
                <w:rFonts w:ascii="Arial" w:hAnsi="Arial" w:cs="Arial"/>
                <w:bCs/>
                <w:sz w:val="24"/>
                <w:szCs w:val="24"/>
              </w:rPr>
              <w:t>the Fiduciary Program Manual now contains guidance.</w:t>
            </w:r>
          </w:p>
        </w:tc>
      </w:tr>
    </w:tbl>
    <w:p w:rsidR="007A02C3" w:rsidRDefault="007A02C3" w:rsidP="00A25993">
      <w:pPr>
        <w:pStyle w:val="Heading1"/>
        <w:rPr>
          <w:rFonts w:ascii="Arial" w:hAnsi="Arial" w:cs="Arial"/>
        </w:rPr>
      </w:pPr>
    </w:p>
    <w:p w:rsidR="007A02C3" w:rsidRDefault="007A02C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A25993" w:rsidRPr="008E2777" w:rsidRDefault="005D2B4F" w:rsidP="00A25993">
      <w:pPr>
        <w:pStyle w:val="Heading1"/>
        <w:rPr>
          <w:rFonts w:ascii="Arial" w:hAnsi="Arial" w:cs="Arial"/>
        </w:rPr>
      </w:pPr>
      <w:bookmarkStart w:id="11" w:name="_Toc462817931"/>
      <w:r>
        <w:rPr>
          <w:rFonts w:ascii="Arial" w:hAnsi="Arial" w:cs="Arial"/>
        </w:rPr>
        <w:lastRenderedPageBreak/>
        <w:t>Ongoing</w:t>
      </w:r>
      <w:r w:rsidR="00A25993" w:rsidRPr="008E2777">
        <w:rPr>
          <w:rFonts w:ascii="Arial" w:hAnsi="Arial" w:cs="Arial"/>
        </w:rPr>
        <w:t xml:space="preserve"> Events</w:t>
      </w:r>
      <w:bookmarkEnd w:id="11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525"/>
        <w:gridCol w:w="7033"/>
      </w:tblGrid>
      <w:tr w:rsidR="00496EE8" w:rsidRPr="008E2777" w:rsidTr="00755D7E">
        <w:trPr>
          <w:trHeight w:val="512"/>
        </w:trPr>
        <w:tc>
          <w:tcPr>
            <w:tcW w:w="2525" w:type="dxa"/>
            <w:shd w:val="clear" w:color="auto" w:fill="B8CCE4" w:themeFill="accent1" w:themeFillTint="66"/>
            <w:vAlign w:val="bottom"/>
          </w:tcPr>
          <w:p w:rsidR="00496EE8" w:rsidRPr="008E2777" w:rsidRDefault="00496EE8" w:rsidP="00867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277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033" w:type="dxa"/>
            <w:shd w:val="clear" w:color="auto" w:fill="B8CCE4" w:themeFill="accent1" w:themeFillTint="66"/>
            <w:vAlign w:val="bottom"/>
          </w:tcPr>
          <w:p w:rsidR="00496EE8" w:rsidRPr="008E2777" w:rsidRDefault="00496EE8" w:rsidP="00867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2777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</w:tr>
      <w:tr w:rsidR="005D79AA" w:rsidRPr="008E2777" w:rsidTr="00755D7E">
        <w:tc>
          <w:tcPr>
            <w:tcW w:w="2525" w:type="dxa"/>
          </w:tcPr>
          <w:p w:rsidR="005D79AA" w:rsidRPr="008E2777" w:rsidRDefault="0085592F" w:rsidP="00496E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September 29, 2016</w:t>
            </w:r>
          </w:p>
        </w:tc>
        <w:tc>
          <w:tcPr>
            <w:tcW w:w="7033" w:type="dxa"/>
          </w:tcPr>
          <w:p w:rsidR="005D79AA" w:rsidRPr="00C450EC" w:rsidRDefault="0085592F" w:rsidP="0085592F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 w:rsidRPr="0085592F">
              <w:rPr>
                <w:rFonts w:ascii="Arial" w:hAnsi="Arial" w:cs="Arial"/>
                <w:sz w:val="24"/>
                <w:szCs w:val="24"/>
              </w:rPr>
              <w:t>Completion Deadline for the Expedited Spouse Fiduciary Appointment Training</w:t>
            </w:r>
          </w:p>
        </w:tc>
      </w:tr>
      <w:tr w:rsidR="00496EE8" w:rsidRPr="008E2777" w:rsidTr="00755D7E">
        <w:tc>
          <w:tcPr>
            <w:tcW w:w="2525" w:type="dxa"/>
          </w:tcPr>
          <w:p w:rsidR="00496EE8" w:rsidRPr="008E2777" w:rsidRDefault="008C0C99" w:rsidP="00556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85592F">
              <w:rPr>
                <w:rFonts w:ascii="Arial" w:hAnsi="Arial" w:cs="Arial"/>
                <w:sz w:val="24"/>
                <w:szCs w:val="24"/>
              </w:rPr>
              <w:t>30, 2016</w:t>
            </w:r>
          </w:p>
        </w:tc>
        <w:tc>
          <w:tcPr>
            <w:tcW w:w="7033" w:type="dxa"/>
          </w:tcPr>
          <w:p w:rsidR="00496EE8" w:rsidRPr="00C450EC" w:rsidRDefault="008C0C99" w:rsidP="0085592F">
            <w:pPr>
              <w:ind w:left="-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85592F" w:rsidRPr="0085592F">
              <w:rPr>
                <w:rFonts w:ascii="Arial" w:hAnsi="Arial" w:cs="Arial"/>
                <w:sz w:val="24"/>
                <w:szCs w:val="24"/>
              </w:rPr>
              <w:t>Completion Deadline for the FE Misuse Web-based Training</w:t>
            </w:r>
          </w:p>
        </w:tc>
      </w:tr>
      <w:tr w:rsidR="00A420E9" w:rsidRPr="008E2777" w:rsidTr="00755D7E">
        <w:tc>
          <w:tcPr>
            <w:tcW w:w="2525" w:type="dxa"/>
          </w:tcPr>
          <w:p w:rsidR="00A420E9" w:rsidRPr="008E2777" w:rsidRDefault="0085592F" w:rsidP="00556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3, 2016</w:t>
            </w:r>
          </w:p>
        </w:tc>
        <w:tc>
          <w:tcPr>
            <w:tcW w:w="7033" w:type="dxa"/>
          </w:tcPr>
          <w:p w:rsidR="00A420E9" w:rsidRPr="00C450EC" w:rsidRDefault="0085592F" w:rsidP="00A420E9">
            <w:pPr>
              <w:rPr>
                <w:rFonts w:ascii="Arial" w:hAnsi="Arial" w:cs="Arial"/>
                <w:sz w:val="24"/>
                <w:szCs w:val="24"/>
              </w:rPr>
            </w:pPr>
            <w:r w:rsidRPr="0085592F">
              <w:rPr>
                <w:rFonts w:ascii="Arial" w:hAnsi="Arial" w:cs="Arial"/>
                <w:sz w:val="24"/>
                <w:szCs w:val="24"/>
              </w:rPr>
              <w:t xml:space="preserve">Tentative release date of FPM Chapter 5, </w:t>
            </w:r>
            <w:r w:rsidRPr="0085592F">
              <w:rPr>
                <w:rFonts w:ascii="Arial" w:hAnsi="Arial" w:cs="Arial"/>
                <w:i/>
                <w:iCs/>
                <w:sz w:val="24"/>
                <w:szCs w:val="24"/>
              </w:rPr>
              <w:t>Misuse</w:t>
            </w:r>
          </w:p>
        </w:tc>
      </w:tr>
      <w:tr w:rsidR="0085592F" w:rsidRPr="008E2777" w:rsidTr="00755D7E">
        <w:tc>
          <w:tcPr>
            <w:tcW w:w="2525" w:type="dxa"/>
          </w:tcPr>
          <w:p w:rsidR="0085592F" w:rsidRDefault="0085592F" w:rsidP="00556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4, 2016</w:t>
            </w:r>
          </w:p>
        </w:tc>
        <w:tc>
          <w:tcPr>
            <w:tcW w:w="7033" w:type="dxa"/>
          </w:tcPr>
          <w:p w:rsidR="0085592F" w:rsidRPr="00C450EC" w:rsidRDefault="0085592F" w:rsidP="0085592F">
            <w:pPr>
              <w:rPr>
                <w:rFonts w:ascii="Arial" w:hAnsi="Arial" w:cs="Arial"/>
                <w:sz w:val="24"/>
                <w:szCs w:val="24"/>
              </w:rPr>
            </w:pPr>
            <w:r w:rsidRPr="0085592F">
              <w:rPr>
                <w:rFonts w:ascii="Arial" w:hAnsi="Arial" w:cs="Arial"/>
                <w:sz w:val="24"/>
                <w:szCs w:val="24"/>
              </w:rPr>
              <w:t>BFFS U</w:t>
            </w:r>
            <w:r>
              <w:rPr>
                <w:rFonts w:ascii="Arial" w:hAnsi="Arial" w:cs="Arial"/>
                <w:sz w:val="24"/>
                <w:szCs w:val="24"/>
              </w:rPr>
              <w:t xml:space="preserve">ser Acceptance Testing - </w:t>
            </w:r>
            <w:r w:rsidRPr="0085592F">
              <w:rPr>
                <w:rFonts w:ascii="Arial" w:hAnsi="Arial" w:cs="Arial"/>
                <w:sz w:val="24"/>
                <w:szCs w:val="24"/>
              </w:rPr>
              <w:t>Testers Requested</w:t>
            </w:r>
          </w:p>
        </w:tc>
      </w:tr>
      <w:tr w:rsidR="0085592F" w:rsidRPr="008E2777" w:rsidTr="00755D7E">
        <w:tc>
          <w:tcPr>
            <w:tcW w:w="2525" w:type="dxa"/>
          </w:tcPr>
          <w:p w:rsidR="0085592F" w:rsidRDefault="0085592F" w:rsidP="00556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3, 2016</w:t>
            </w:r>
          </w:p>
        </w:tc>
        <w:tc>
          <w:tcPr>
            <w:tcW w:w="7033" w:type="dxa"/>
          </w:tcPr>
          <w:p w:rsidR="0085592F" w:rsidRPr="00C450EC" w:rsidRDefault="0085592F" w:rsidP="00A420E9">
            <w:pPr>
              <w:rPr>
                <w:rFonts w:ascii="Arial" w:hAnsi="Arial" w:cs="Arial"/>
                <w:sz w:val="24"/>
                <w:szCs w:val="24"/>
              </w:rPr>
            </w:pPr>
            <w:r w:rsidRPr="0085592F">
              <w:rPr>
                <w:rFonts w:ascii="Arial" w:hAnsi="Arial" w:cs="Arial"/>
                <w:sz w:val="24"/>
                <w:szCs w:val="24"/>
              </w:rPr>
              <w:t xml:space="preserve">Tentative Completion Deadline for FPM Chapter 5 Misuse </w:t>
            </w:r>
            <w:r w:rsidR="00705923">
              <w:rPr>
                <w:rFonts w:ascii="Arial" w:hAnsi="Arial" w:cs="Arial"/>
                <w:sz w:val="24"/>
                <w:szCs w:val="24"/>
              </w:rPr>
              <w:t xml:space="preserve">Change </w:t>
            </w:r>
            <w:r w:rsidRPr="0085592F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</w:tr>
    </w:tbl>
    <w:p w:rsidR="00E737B4" w:rsidRPr="008E2777" w:rsidRDefault="00D55E93" w:rsidP="00755D7E">
      <w:pPr>
        <w:pStyle w:val="Heading1"/>
        <w:tabs>
          <w:tab w:val="left" w:pos="6497"/>
        </w:tabs>
        <w:rPr>
          <w:rFonts w:ascii="Arial" w:hAnsi="Arial" w:cs="Arial"/>
        </w:rPr>
      </w:pPr>
      <w:bookmarkStart w:id="12" w:name="_Toc462817932"/>
      <w:r w:rsidRPr="008E2777">
        <w:rPr>
          <w:rFonts w:ascii="Arial" w:hAnsi="Arial" w:cs="Arial"/>
        </w:rPr>
        <w:t>Next Monthly Quality &amp; Training Call</w:t>
      </w:r>
      <w:bookmarkEnd w:id="12"/>
      <w:r w:rsidR="00755D7E">
        <w:rPr>
          <w:rFonts w:ascii="Arial" w:hAnsi="Arial" w:cs="Arial"/>
        </w:rPr>
        <w:tab/>
      </w:r>
    </w:p>
    <w:p w:rsidR="00672975" w:rsidRPr="008E2777" w:rsidRDefault="00672975" w:rsidP="00A230CC">
      <w:pPr>
        <w:pStyle w:val="NoSpacing"/>
        <w:rPr>
          <w:rFonts w:ascii="Arial" w:hAnsi="Arial" w:cs="Arial"/>
          <w:sz w:val="24"/>
          <w:szCs w:val="24"/>
        </w:rPr>
      </w:pPr>
    </w:p>
    <w:p w:rsidR="00A230CC" w:rsidRDefault="00B54B1D" w:rsidP="00A230CC">
      <w:pPr>
        <w:pStyle w:val="NoSpacing"/>
        <w:rPr>
          <w:rFonts w:ascii="Arial" w:hAnsi="Arial" w:cs="Arial"/>
          <w:b/>
          <w:sz w:val="24"/>
          <w:szCs w:val="24"/>
        </w:rPr>
      </w:pPr>
      <w:r w:rsidRPr="008E2777">
        <w:rPr>
          <w:rFonts w:ascii="Arial" w:hAnsi="Arial" w:cs="Arial"/>
          <w:sz w:val="24"/>
          <w:szCs w:val="24"/>
        </w:rPr>
        <w:t>The next National Fiduciary Quality &amp; Training Call is on</w:t>
      </w:r>
      <w:r w:rsidR="003A3923" w:rsidRPr="008E2777">
        <w:rPr>
          <w:rFonts w:ascii="Arial" w:hAnsi="Arial" w:cs="Arial"/>
          <w:sz w:val="24"/>
          <w:szCs w:val="24"/>
        </w:rPr>
        <w:t xml:space="preserve"> </w:t>
      </w:r>
      <w:r w:rsidR="002D67A0">
        <w:rPr>
          <w:rFonts w:ascii="Arial" w:hAnsi="Arial" w:cs="Arial"/>
          <w:b/>
          <w:sz w:val="24"/>
          <w:szCs w:val="24"/>
        </w:rPr>
        <w:t>Tuesday, October 18, 2016.</w:t>
      </w:r>
    </w:p>
    <w:p w:rsidR="002D67A0" w:rsidRPr="008E2777" w:rsidRDefault="002D67A0" w:rsidP="00A230CC">
      <w:pPr>
        <w:pStyle w:val="NoSpacing"/>
        <w:rPr>
          <w:rFonts w:ascii="Arial" w:hAnsi="Arial" w:cs="Arial"/>
        </w:rPr>
      </w:pPr>
    </w:p>
    <w:p w:rsidR="003A7208" w:rsidRPr="003A7208" w:rsidRDefault="00B54B1D" w:rsidP="003A7208">
      <w:pPr>
        <w:rPr>
          <w:rFonts w:ascii="Arial" w:hAnsi="Arial" w:cs="Arial"/>
          <w:sz w:val="24"/>
          <w:szCs w:val="24"/>
        </w:rPr>
      </w:pPr>
      <w:r w:rsidRPr="008E2777">
        <w:rPr>
          <w:rFonts w:ascii="Arial" w:hAnsi="Arial" w:cs="Arial"/>
          <w:sz w:val="24"/>
          <w:szCs w:val="24"/>
        </w:rPr>
        <w:t xml:space="preserve">This call is the third Tuesday of each month.  </w:t>
      </w:r>
      <w:r w:rsidR="003C224C" w:rsidRPr="008E2777">
        <w:rPr>
          <w:rFonts w:ascii="Arial" w:hAnsi="Arial" w:cs="Arial"/>
          <w:sz w:val="24"/>
          <w:szCs w:val="24"/>
        </w:rPr>
        <w:t>P&amp;F Service will send c</w:t>
      </w:r>
      <w:r w:rsidRPr="008E2777">
        <w:rPr>
          <w:rFonts w:ascii="Arial" w:hAnsi="Arial" w:cs="Arial"/>
          <w:sz w:val="24"/>
          <w:szCs w:val="24"/>
        </w:rPr>
        <w:t>all information and Lync</w:t>
      </w:r>
      <w:r w:rsidR="003A3923" w:rsidRPr="008E2777">
        <w:rPr>
          <w:rFonts w:ascii="Arial" w:hAnsi="Arial" w:cs="Arial"/>
          <w:sz w:val="24"/>
          <w:szCs w:val="24"/>
        </w:rPr>
        <w:t xml:space="preserve"> </w:t>
      </w:r>
      <w:r w:rsidRPr="008E2777">
        <w:rPr>
          <w:rFonts w:ascii="Arial" w:hAnsi="Arial" w:cs="Arial"/>
          <w:sz w:val="24"/>
          <w:szCs w:val="24"/>
        </w:rPr>
        <w:t xml:space="preserve">Meeting invite directly to </w:t>
      </w:r>
      <w:r w:rsidR="003C224C" w:rsidRPr="008E2777">
        <w:rPr>
          <w:rFonts w:ascii="Arial" w:hAnsi="Arial" w:cs="Arial"/>
          <w:sz w:val="24"/>
          <w:szCs w:val="24"/>
        </w:rPr>
        <w:t xml:space="preserve">field </w:t>
      </w:r>
      <w:r w:rsidRPr="008E2777">
        <w:rPr>
          <w:rFonts w:ascii="Arial" w:hAnsi="Arial" w:cs="Arial"/>
          <w:sz w:val="24"/>
          <w:szCs w:val="24"/>
        </w:rPr>
        <w:t xml:space="preserve">QRT </w:t>
      </w:r>
      <w:r w:rsidR="003C224C" w:rsidRPr="008E2777">
        <w:rPr>
          <w:rFonts w:ascii="Arial" w:hAnsi="Arial" w:cs="Arial"/>
          <w:sz w:val="24"/>
          <w:szCs w:val="24"/>
        </w:rPr>
        <w:t>personnel</w:t>
      </w:r>
      <w:r w:rsidRPr="008E2777">
        <w:rPr>
          <w:rFonts w:ascii="Arial" w:hAnsi="Arial" w:cs="Arial"/>
          <w:sz w:val="24"/>
          <w:szCs w:val="24"/>
        </w:rPr>
        <w:t xml:space="preserve">.  </w:t>
      </w:r>
    </w:p>
    <w:p w:rsidR="003A7208" w:rsidRPr="008E2777" w:rsidRDefault="003A7208" w:rsidP="003A7208">
      <w:pPr>
        <w:rPr>
          <w:rFonts w:ascii="Arial" w:hAnsi="Arial" w:cs="Arial"/>
          <w:sz w:val="24"/>
          <w:szCs w:val="24"/>
        </w:rPr>
      </w:pPr>
      <w:r w:rsidRPr="003A7208">
        <w:rPr>
          <w:rFonts w:ascii="Arial" w:hAnsi="Arial" w:cs="Arial"/>
          <w:sz w:val="24"/>
          <w:szCs w:val="24"/>
        </w:rPr>
        <w:t xml:space="preserve">Please send an email to </w:t>
      </w:r>
      <w:hyperlink r:id="rId11" w:history="1">
        <w:r w:rsidR="00917E04" w:rsidRPr="00917E04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="00917E04">
        <w:rPr>
          <w:rFonts w:ascii="Arial" w:hAnsi="Arial" w:cs="Arial"/>
          <w:sz w:val="24"/>
          <w:szCs w:val="24"/>
        </w:rPr>
        <w:t xml:space="preserve"> </w:t>
      </w:r>
      <w:r w:rsidRPr="003A7208">
        <w:rPr>
          <w:rFonts w:ascii="Arial" w:hAnsi="Arial" w:cs="Arial"/>
          <w:sz w:val="24"/>
          <w:szCs w:val="24"/>
        </w:rPr>
        <w:t>notifying P&amp;F Service of any changes to local QRT personnel.  P&amp;F Service maintains a distribution list of all field QRT personnel for notification of upcoming Quality and Training calls.</w:t>
      </w:r>
    </w:p>
    <w:p w:rsidR="00A25993" w:rsidRPr="008E2777" w:rsidRDefault="00E737B4" w:rsidP="00A25993">
      <w:pPr>
        <w:pStyle w:val="Heading1"/>
        <w:rPr>
          <w:rFonts w:ascii="Arial" w:hAnsi="Arial" w:cs="Arial"/>
        </w:rPr>
      </w:pPr>
      <w:bookmarkStart w:id="13" w:name="_Toc462817933"/>
      <w:r w:rsidRPr="008E2777">
        <w:rPr>
          <w:rFonts w:ascii="Arial" w:hAnsi="Arial" w:cs="Arial"/>
        </w:rPr>
        <w:t>Comments and Questions</w:t>
      </w:r>
      <w:bookmarkEnd w:id="13"/>
    </w:p>
    <w:p w:rsidR="00EA6556" w:rsidRPr="008E2777" w:rsidRDefault="00E737B4" w:rsidP="00A230CC">
      <w:pPr>
        <w:rPr>
          <w:rFonts w:ascii="Arial" w:hAnsi="Arial" w:cs="Arial"/>
          <w:sz w:val="24"/>
          <w:szCs w:val="24"/>
        </w:rPr>
      </w:pPr>
      <w:r w:rsidRPr="008E2777">
        <w:rPr>
          <w:rFonts w:ascii="Arial" w:hAnsi="Arial" w:cs="Arial"/>
          <w:sz w:val="24"/>
          <w:szCs w:val="24"/>
        </w:rPr>
        <w:t xml:space="preserve">Submit all comments and questions regarding these call notes and future calls to </w:t>
      </w:r>
      <w:hyperlink r:id="rId12" w:history="1">
        <w:r w:rsidRPr="008E2777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Pr="008E2777">
        <w:rPr>
          <w:rFonts w:ascii="Arial" w:hAnsi="Arial" w:cs="Arial"/>
          <w:sz w:val="24"/>
          <w:szCs w:val="24"/>
        </w:rPr>
        <w:t xml:space="preserve">.  </w:t>
      </w:r>
      <w:r w:rsidR="00386CA0" w:rsidRPr="008E2777">
        <w:rPr>
          <w:rFonts w:ascii="Arial" w:hAnsi="Arial" w:cs="Arial"/>
          <w:sz w:val="24"/>
          <w:szCs w:val="24"/>
        </w:rPr>
        <w:tab/>
      </w:r>
    </w:p>
    <w:sectPr w:rsidR="00EA6556" w:rsidRPr="008E2777" w:rsidSect="00496EE8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51" w:rsidRDefault="00A22B51" w:rsidP="00D02FF2">
      <w:pPr>
        <w:spacing w:after="0" w:line="240" w:lineRule="auto"/>
      </w:pPr>
      <w:r>
        <w:separator/>
      </w:r>
    </w:p>
  </w:endnote>
  <w:endnote w:type="continuationSeparator" w:id="0">
    <w:p w:rsidR="00A22B51" w:rsidRDefault="00A22B51" w:rsidP="00D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0CC" w:rsidRPr="004F5810" w:rsidRDefault="00A230CC" w:rsidP="00A230CC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14D1F0FD" wp14:editId="5516E74F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4B3E3" wp14:editId="316604C6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:rsidR="00A230CC" w:rsidRPr="00A230CC" w:rsidRDefault="00A230CC" w:rsidP="00A230CC">
    <w:pPr>
      <w:pStyle w:val="NoSpacing"/>
      <w:rPr>
        <w:rFonts w:ascii="Arial" w:hAnsi="Arial" w:cs="Arial"/>
        <w:b/>
        <w:sz w:val="24"/>
        <w:szCs w:val="24"/>
      </w:rPr>
    </w:pPr>
    <w:r w:rsidRPr="00A230CC">
      <w:rPr>
        <w:rFonts w:ascii="Arial" w:hAnsi="Arial" w:cs="Arial"/>
        <w:b/>
        <w:sz w:val="24"/>
        <w:szCs w:val="24"/>
      </w:rPr>
      <w:t>National Fiduciary Quality &amp; Training Call</w:t>
    </w:r>
    <w:r w:rsidR="005D5CB1">
      <w:rPr>
        <w:rFonts w:ascii="Arial" w:hAnsi="Arial" w:cs="Arial"/>
        <w:b/>
        <w:sz w:val="24"/>
        <w:szCs w:val="24"/>
      </w:rPr>
      <w:t xml:space="preserve"> Notes</w:t>
    </w:r>
  </w:p>
  <w:p w:rsidR="00A230CC" w:rsidRPr="00A230CC" w:rsidRDefault="00A230CC" w:rsidP="00A230CC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:rsidR="00A230CC" w:rsidRPr="00387076" w:rsidRDefault="00A230CC" w:rsidP="00A230CC">
    <w:pPr>
      <w:pStyle w:val="NoSpacing"/>
      <w:rPr>
        <w:rFonts w:ascii="Calibri" w:eastAsiaTheme="minorEastAsia" w:hAnsi="Calibri" w:cs="Calibri"/>
        <w:color w:val="000000"/>
        <w:lang w:eastAsia="ko-KR"/>
      </w:rPr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Call Date:  </w:t>
    </w:r>
    <w:r w:rsidR="002D67A0">
      <w:rPr>
        <w:rFonts w:ascii="Arial" w:eastAsiaTheme="minorEastAsia" w:hAnsi="Arial" w:cs="Arial"/>
        <w:color w:val="000000"/>
        <w:sz w:val="24"/>
        <w:szCs w:val="24"/>
        <w:lang w:eastAsia="ko-KR"/>
      </w:rPr>
      <w:t>September 20, 2016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  <w:r>
      <w:rPr>
        <w:rFonts w:ascii="Calibri" w:eastAsiaTheme="minorEastAsia" w:hAnsi="Calibri" w:cs="Calibri"/>
        <w:color w:val="000000"/>
        <w:lang w:eastAsia="ko-KR"/>
      </w:rPr>
      <w:tab/>
    </w:r>
    <w:r w:rsidRPr="00F274F1">
      <w:rPr>
        <w:rFonts w:ascii="Calibri" w:eastAsiaTheme="minorEastAsia" w:hAnsi="Calibri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1FCB1" wp14:editId="5FD7E731">
              <wp:simplePos x="0" y="0"/>
              <wp:positionH relativeFrom="margin">
                <wp:align>center</wp:align>
              </wp:positionH>
              <wp:positionV relativeFrom="bottomMargin">
                <wp:posOffset>8719185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1000;mso-wrap-distance-left:9pt;mso-wrap-distance-top:0;mso-wrap-distance-right:9pt;mso-wrap-distance-bottom:0;mso-position-horizontal:center;mso-position-horizontal-relative:margin;mso-position-vertical:absolute;mso-position-vertical-relative:bottom-margin-area;mso-width-percent:1000;mso-width-relative:margin" from="0,686.55pt" to="7in,6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" strokecolor="#4a7ebb">
              <w10:wrap anchorx="margin" anchory="margin"/>
            </v:line>
          </w:pict>
        </mc:Fallback>
      </mc:AlternateContent>
    </w:r>
  </w:p>
  <w:p w:rsidR="00D02FF2" w:rsidRDefault="00D02FF2" w:rsidP="00470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51" w:rsidRDefault="00A22B51" w:rsidP="00D02FF2">
      <w:pPr>
        <w:spacing w:after="0" w:line="240" w:lineRule="auto"/>
      </w:pPr>
      <w:r>
        <w:separator/>
      </w:r>
    </w:p>
  </w:footnote>
  <w:footnote w:type="continuationSeparator" w:id="0">
    <w:p w:rsidR="00A22B51" w:rsidRDefault="00A22B51" w:rsidP="00D0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76F"/>
    <w:multiLevelType w:val="hybridMultilevel"/>
    <w:tmpl w:val="75D8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16E2"/>
    <w:multiLevelType w:val="hybridMultilevel"/>
    <w:tmpl w:val="3F4E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22B92"/>
    <w:multiLevelType w:val="hybridMultilevel"/>
    <w:tmpl w:val="7D825418"/>
    <w:lvl w:ilvl="0" w:tplc="80EE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2F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8B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C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8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A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E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61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C70835"/>
    <w:multiLevelType w:val="hybridMultilevel"/>
    <w:tmpl w:val="15A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B74"/>
    <w:multiLevelType w:val="hybridMultilevel"/>
    <w:tmpl w:val="0068E810"/>
    <w:lvl w:ilvl="0" w:tplc="3D821B1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02B00"/>
    <w:multiLevelType w:val="hybridMultilevel"/>
    <w:tmpl w:val="D94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7BE7"/>
    <w:multiLevelType w:val="hybridMultilevel"/>
    <w:tmpl w:val="358C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12154"/>
    <w:multiLevelType w:val="hybridMultilevel"/>
    <w:tmpl w:val="AC92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C7DCA"/>
    <w:multiLevelType w:val="hybridMultilevel"/>
    <w:tmpl w:val="D67A8C7E"/>
    <w:lvl w:ilvl="0" w:tplc="3D821B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B4BF0"/>
    <w:multiLevelType w:val="hybridMultilevel"/>
    <w:tmpl w:val="D586F83C"/>
    <w:lvl w:ilvl="0" w:tplc="7DF46D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431EB"/>
    <w:multiLevelType w:val="hybridMultilevel"/>
    <w:tmpl w:val="6256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8012C"/>
    <w:multiLevelType w:val="hybridMultilevel"/>
    <w:tmpl w:val="2E9C74A0"/>
    <w:lvl w:ilvl="0" w:tplc="9D380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EE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E7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0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8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01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5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A3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D15814"/>
    <w:multiLevelType w:val="hybridMultilevel"/>
    <w:tmpl w:val="A38A52E4"/>
    <w:lvl w:ilvl="0" w:tplc="3D821B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B5244"/>
    <w:multiLevelType w:val="hybridMultilevel"/>
    <w:tmpl w:val="8A601BE4"/>
    <w:lvl w:ilvl="0" w:tplc="46AE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29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7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83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61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88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4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4150B2"/>
    <w:multiLevelType w:val="hybridMultilevel"/>
    <w:tmpl w:val="11C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03883"/>
    <w:multiLevelType w:val="hybridMultilevel"/>
    <w:tmpl w:val="7F14B0C4"/>
    <w:lvl w:ilvl="0" w:tplc="3D821B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87490"/>
    <w:multiLevelType w:val="hybridMultilevel"/>
    <w:tmpl w:val="FB5487F4"/>
    <w:lvl w:ilvl="0" w:tplc="2A30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8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C3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ED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2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4D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E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4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4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1614DC"/>
    <w:multiLevelType w:val="hybridMultilevel"/>
    <w:tmpl w:val="019E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705E1"/>
    <w:multiLevelType w:val="hybridMultilevel"/>
    <w:tmpl w:val="4FF0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E17B6"/>
    <w:multiLevelType w:val="hybridMultilevel"/>
    <w:tmpl w:val="B7140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1A40E5"/>
    <w:multiLevelType w:val="hybridMultilevel"/>
    <w:tmpl w:val="A41C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56BAD"/>
    <w:multiLevelType w:val="hybridMultilevel"/>
    <w:tmpl w:val="1DCC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50F42"/>
    <w:multiLevelType w:val="hybridMultilevel"/>
    <w:tmpl w:val="60BC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06BB4"/>
    <w:multiLevelType w:val="hybridMultilevel"/>
    <w:tmpl w:val="2C62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773E1"/>
    <w:multiLevelType w:val="hybridMultilevel"/>
    <w:tmpl w:val="AF305062"/>
    <w:lvl w:ilvl="0" w:tplc="4AC4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6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4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6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8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0D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EB2494"/>
    <w:multiLevelType w:val="hybridMultilevel"/>
    <w:tmpl w:val="072A57E4"/>
    <w:lvl w:ilvl="0" w:tplc="3D821B1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5873CF"/>
    <w:multiLevelType w:val="hybridMultilevel"/>
    <w:tmpl w:val="48E4D020"/>
    <w:lvl w:ilvl="0" w:tplc="DA1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89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6E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62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4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28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F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8D442A"/>
    <w:multiLevelType w:val="hybridMultilevel"/>
    <w:tmpl w:val="6614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6002E"/>
    <w:multiLevelType w:val="hybridMultilevel"/>
    <w:tmpl w:val="4312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D1DC1"/>
    <w:multiLevelType w:val="hybridMultilevel"/>
    <w:tmpl w:val="3462E10A"/>
    <w:lvl w:ilvl="0" w:tplc="3D821B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C2558"/>
    <w:multiLevelType w:val="hybridMultilevel"/>
    <w:tmpl w:val="D556C342"/>
    <w:lvl w:ilvl="0" w:tplc="3D821B1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D75772"/>
    <w:multiLevelType w:val="hybridMultilevel"/>
    <w:tmpl w:val="0FB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B6B95"/>
    <w:multiLevelType w:val="hybridMultilevel"/>
    <w:tmpl w:val="27B001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E4C2006"/>
    <w:multiLevelType w:val="hybridMultilevel"/>
    <w:tmpl w:val="7DCA318A"/>
    <w:lvl w:ilvl="0" w:tplc="3D821B1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3C1C28"/>
    <w:multiLevelType w:val="hybridMultilevel"/>
    <w:tmpl w:val="A84A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F0A52"/>
    <w:multiLevelType w:val="hybridMultilevel"/>
    <w:tmpl w:val="605E8E2A"/>
    <w:lvl w:ilvl="0" w:tplc="3D821B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23FB6"/>
    <w:multiLevelType w:val="hybridMultilevel"/>
    <w:tmpl w:val="BA06195C"/>
    <w:lvl w:ilvl="0" w:tplc="578E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26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6B2D8">
      <w:start w:val="12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2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6E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03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FD17D51"/>
    <w:multiLevelType w:val="hybridMultilevel"/>
    <w:tmpl w:val="E4FC4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625A46"/>
    <w:multiLevelType w:val="hybridMultilevel"/>
    <w:tmpl w:val="CBF0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542C2"/>
    <w:multiLevelType w:val="hybridMultilevel"/>
    <w:tmpl w:val="A6A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F1D74"/>
    <w:multiLevelType w:val="hybridMultilevel"/>
    <w:tmpl w:val="680AD7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ABA7BEF"/>
    <w:multiLevelType w:val="hybridMultilevel"/>
    <w:tmpl w:val="9FB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F5698"/>
    <w:multiLevelType w:val="hybridMultilevel"/>
    <w:tmpl w:val="BB1A5A2E"/>
    <w:lvl w:ilvl="0" w:tplc="3D821B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678AC"/>
    <w:multiLevelType w:val="hybridMultilevel"/>
    <w:tmpl w:val="7DC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C2961"/>
    <w:multiLevelType w:val="hybridMultilevel"/>
    <w:tmpl w:val="CEFA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21"/>
  </w:num>
  <w:num w:numId="4">
    <w:abstractNumId w:val="34"/>
  </w:num>
  <w:num w:numId="5">
    <w:abstractNumId w:val="41"/>
  </w:num>
  <w:num w:numId="6">
    <w:abstractNumId w:val="22"/>
  </w:num>
  <w:num w:numId="7">
    <w:abstractNumId w:val="5"/>
  </w:num>
  <w:num w:numId="8">
    <w:abstractNumId w:val="7"/>
  </w:num>
  <w:num w:numId="9">
    <w:abstractNumId w:val="14"/>
  </w:num>
  <w:num w:numId="10">
    <w:abstractNumId w:val="27"/>
  </w:num>
  <w:num w:numId="11">
    <w:abstractNumId w:val="36"/>
  </w:num>
  <w:num w:numId="12">
    <w:abstractNumId w:val="32"/>
  </w:num>
  <w:num w:numId="13">
    <w:abstractNumId w:val="23"/>
  </w:num>
  <w:num w:numId="14">
    <w:abstractNumId w:val="3"/>
  </w:num>
  <w:num w:numId="15">
    <w:abstractNumId w:val="10"/>
  </w:num>
  <w:num w:numId="16">
    <w:abstractNumId w:val="11"/>
  </w:num>
  <w:num w:numId="17">
    <w:abstractNumId w:val="31"/>
  </w:num>
  <w:num w:numId="18">
    <w:abstractNumId w:val="2"/>
  </w:num>
  <w:num w:numId="19">
    <w:abstractNumId w:val="24"/>
  </w:num>
  <w:num w:numId="20">
    <w:abstractNumId w:val="37"/>
  </w:num>
  <w:num w:numId="21">
    <w:abstractNumId w:val="1"/>
  </w:num>
  <w:num w:numId="22">
    <w:abstractNumId w:val="9"/>
  </w:num>
  <w:num w:numId="23">
    <w:abstractNumId w:val="17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12"/>
  </w:num>
  <w:num w:numId="29">
    <w:abstractNumId w:val="15"/>
  </w:num>
  <w:num w:numId="30">
    <w:abstractNumId w:val="42"/>
  </w:num>
  <w:num w:numId="31">
    <w:abstractNumId w:val="4"/>
  </w:num>
  <w:num w:numId="32">
    <w:abstractNumId w:val="25"/>
  </w:num>
  <w:num w:numId="33">
    <w:abstractNumId w:val="33"/>
  </w:num>
  <w:num w:numId="34">
    <w:abstractNumId w:val="20"/>
  </w:num>
  <w:num w:numId="35">
    <w:abstractNumId w:val="26"/>
  </w:num>
  <w:num w:numId="36">
    <w:abstractNumId w:val="16"/>
  </w:num>
  <w:num w:numId="37">
    <w:abstractNumId w:val="13"/>
  </w:num>
  <w:num w:numId="38">
    <w:abstractNumId w:val="0"/>
  </w:num>
  <w:num w:numId="39">
    <w:abstractNumId w:val="6"/>
  </w:num>
  <w:num w:numId="40">
    <w:abstractNumId w:val="40"/>
  </w:num>
  <w:num w:numId="41">
    <w:abstractNumId w:val="19"/>
  </w:num>
  <w:num w:numId="42">
    <w:abstractNumId w:val="39"/>
  </w:num>
  <w:num w:numId="43">
    <w:abstractNumId w:val="43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F2"/>
    <w:rsid w:val="0000220E"/>
    <w:rsid w:val="000139CB"/>
    <w:rsid w:val="00015E40"/>
    <w:rsid w:val="00016BDC"/>
    <w:rsid w:val="000232AB"/>
    <w:rsid w:val="000351CF"/>
    <w:rsid w:val="00070E3E"/>
    <w:rsid w:val="00092DFF"/>
    <w:rsid w:val="000A76A3"/>
    <w:rsid w:val="000C0235"/>
    <w:rsid w:val="000C528C"/>
    <w:rsid w:val="000D4E61"/>
    <w:rsid w:val="000E1712"/>
    <w:rsid w:val="000E4D38"/>
    <w:rsid w:val="000F07B5"/>
    <w:rsid w:val="0011325B"/>
    <w:rsid w:val="001177A3"/>
    <w:rsid w:val="00132B0F"/>
    <w:rsid w:val="001660BF"/>
    <w:rsid w:val="001738A8"/>
    <w:rsid w:val="00197059"/>
    <w:rsid w:val="001970CC"/>
    <w:rsid w:val="001978AE"/>
    <w:rsid w:val="001A1397"/>
    <w:rsid w:val="001A3351"/>
    <w:rsid w:val="001A6733"/>
    <w:rsid w:val="001B14F6"/>
    <w:rsid w:val="001B19F4"/>
    <w:rsid w:val="001D2B85"/>
    <w:rsid w:val="001E2042"/>
    <w:rsid w:val="001E4E88"/>
    <w:rsid w:val="001F76F8"/>
    <w:rsid w:val="001F7FE8"/>
    <w:rsid w:val="002142B7"/>
    <w:rsid w:val="00216675"/>
    <w:rsid w:val="00220CFC"/>
    <w:rsid w:val="00221344"/>
    <w:rsid w:val="0023666C"/>
    <w:rsid w:val="00236BA2"/>
    <w:rsid w:val="00243A71"/>
    <w:rsid w:val="00244DDB"/>
    <w:rsid w:val="00247A69"/>
    <w:rsid w:val="00247B19"/>
    <w:rsid w:val="00253D55"/>
    <w:rsid w:val="00291C03"/>
    <w:rsid w:val="0029629D"/>
    <w:rsid w:val="002A4E4C"/>
    <w:rsid w:val="002A69B8"/>
    <w:rsid w:val="002C450A"/>
    <w:rsid w:val="002C761A"/>
    <w:rsid w:val="002D3E8D"/>
    <w:rsid w:val="002D67A0"/>
    <w:rsid w:val="002E3537"/>
    <w:rsid w:val="002E68EB"/>
    <w:rsid w:val="002E7785"/>
    <w:rsid w:val="002F4169"/>
    <w:rsid w:val="00304FF8"/>
    <w:rsid w:val="003322E1"/>
    <w:rsid w:val="00333328"/>
    <w:rsid w:val="00341844"/>
    <w:rsid w:val="00355D7D"/>
    <w:rsid w:val="00377E63"/>
    <w:rsid w:val="0038459E"/>
    <w:rsid w:val="00386CA0"/>
    <w:rsid w:val="00395F6C"/>
    <w:rsid w:val="003A10F2"/>
    <w:rsid w:val="003A3923"/>
    <w:rsid w:val="003A5350"/>
    <w:rsid w:val="003A7208"/>
    <w:rsid w:val="003B25AA"/>
    <w:rsid w:val="003C224C"/>
    <w:rsid w:val="00402130"/>
    <w:rsid w:val="00416E89"/>
    <w:rsid w:val="00434958"/>
    <w:rsid w:val="0043598A"/>
    <w:rsid w:val="00435E4E"/>
    <w:rsid w:val="0044101F"/>
    <w:rsid w:val="00442D61"/>
    <w:rsid w:val="00464E5D"/>
    <w:rsid w:val="00470944"/>
    <w:rsid w:val="00496EE8"/>
    <w:rsid w:val="004B73D4"/>
    <w:rsid w:val="004C15F1"/>
    <w:rsid w:val="004D10FD"/>
    <w:rsid w:val="004D360A"/>
    <w:rsid w:val="004D54F9"/>
    <w:rsid w:val="004F3A32"/>
    <w:rsid w:val="004F6B2E"/>
    <w:rsid w:val="00504D82"/>
    <w:rsid w:val="005126DF"/>
    <w:rsid w:val="00520B2B"/>
    <w:rsid w:val="00524A89"/>
    <w:rsid w:val="00526EA6"/>
    <w:rsid w:val="005300C9"/>
    <w:rsid w:val="00542574"/>
    <w:rsid w:val="00556D45"/>
    <w:rsid w:val="005628E1"/>
    <w:rsid w:val="00562C97"/>
    <w:rsid w:val="00563BFD"/>
    <w:rsid w:val="005769D4"/>
    <w:rsid w:val="005A0E11"/>
    <w:rsid w:val="005A32C0"/>
    <w:rsid w:val="005B148E"/>
    <w:rsid w:val="005B2A21"/>
    <w:rsid w:val="005B3C04"/>
    <w:rsid w:val="005D2B4F"/>
    <w:rsid w:val="005D4381"/>
    <w:rsid w:val="005D5CB1"/>
    <w:rsid w:val="005D79AA"/>
    <w:rsid w:val="005F26F3"/>
    <w:rsid w:val="006145C9"/>
    <w:rsid w:val="00644B18"/>
    <w:rsid w:val="006468A0"/>
    <w:rsid w:val="00652380"/>
    <w:rsid w:val="006724E0"/>
    <w:rsid w:val="00672975"/>
    <w:rsid w:val="006C3FCA"/>
    <w:rsid w:val="007028B8"/>
    <w:rsid w:val="00705923"/>
    <w:rsid w:val="007064E0"/>
    <w:rsid w:val="00711C9A"/>
    <w:rsid w:val="00723C1F"/>
    <w:rsid w:val="00731289"/>
    <w:rsid w:val="00731774"/>
    <w:rsid w:val="00737CC0"/>
    <w:rsid w:val="00755D7E"/>
    <w:rsid w:val="0076599C"/>
    <w:rsid w:val="007A02C3"/>
    <w:rsid w:val="007A2F84"/>
    <w:rsid w:val="007A59D8"/>
    <w:rsid w:val="007A72AE"/>
    <w:rsid w:val="007E46A2"/>
    <w:rsid w:val="007F313B"/>
    <w:rsid w:val="00830F78"/>
    <w:rsid w:val="00847E7C"/>
    <w:rsid w:val="00853C61"/>
    <w:rsid w:val="0085592F"/>
    <w:rsid w:val="00867A4B"/>
    <w:rsid w:val="00872376"/>
    <w:rsid w:val="00877DA7"/>
    <w:rsid w:val="00882407"/>
    <w:rsid w:val="00890979"/>
    <w:rsid w:val="00896A12"/>
    <w:rsid w:val="008C0C99"/>
    <w:rsid w:val="008C6C55"/>
    <w:rsid w:val="008D20A2"/>
    <w:rsid w:val="008D6A64"/>
    <w:rsid w:val="008E2777"/>
    <w:rsid w:val="008E2BA1"/>
    <w:rsid w:val="008E3DE4"/>
    <w:rsid w:val="008E51D2"/>
    <w:rsid w:val="008E6C56"/>
    <w:rsid w:val="00917E04"/>
    <w:rsid w:val="009344A4"/>
    <w:rsid w:val="00954194"/>
    <w:rsid w:val="009578B8"/>
    <w:rsid w:val="00965D80"/>
    <w:rsid w:val="0097007A"/>
    <w:rsid w:val="009B723E"/>
    <w:rsid w:val="009C2457"/>
    <w:rsid w:val="009D1F17"/>
    <w:rsid w:val="009D3123"/>
    <w:rsid w:val="009D3AD7"/>
    <w:rsid w:val="009D45E8"/>
    <w:rsid w:val="009E4BA7"/>
    <w:rsid w:val="00A041C2"/>
    <w:rsid w:val="00A10466"/>
    <w:rsid w:val="00A1075A"/>
    <w:rsid w:val="00A22494"/>
    <w:rsid w:val="00A22B51"/>
    <w:rsid w:val="00A230CC"/>
    <w:rsid w:val="00A25993"/>
    <w:rsid w:val="00A34B41"/>
    <w:rsid w:val="00A420E9"/>
    <w:rsid w:val="00A44931"/>
    <w:rsid w:val="00A87894"/>
    <w:rsid w:val="00A91B53"/>
    <w:rsid w:val="00A9415C"/>
    <w:rsid w:val="00AB46C5"/>
    <w:rsid w:val="00AB50FB"/>
    <w:rsid w:val="00AB6644"/>
    <w:rsid w:val="00AD40FB"/>
    <w:rsid w:val="00AF49C9"/>
    <w:rsid w:val="00AF6881"/>
    <w:rsid w:val="00B07B99"/>
    <w:rsid w:val="00B10C8C"/>
    <w:rsid w:val="00B111F9"/>
    <w:rsid w:val="00B21C8B"/>
    <w:rsid w:val="00B24AD1"/>
    <w:rsid w:val="00B34336"/>
    <w:rsid w:val="00B37756"/>
    <w:rsid w:val="00B54B1D"/>
    <w:rsid w:val="00B61F3B"/>
    <w:rsid w:val="00B8541B"/>
    <w:rsid w:val="00B915C6"/>
    <w:rsid w:val="00B92073"/>
    <w:rsid w:val="00B9556A"/>
    <w:rsid w:val="00BA0653"/>
    <w:rsid w:val="00BA7E17"/>
    <w:rsid w:val="00BB4F96"/>
    <w:rsid w:val="00BB66A3"/>
    <w:rsid w:val="00BD2092"/>
    <w:rsid w:val="00BD389C"/>
    <w:rsid w:val="00BD77DC"/>
    <w:rsid w:val="00BD77F7"/>
    <w:rsid w:val="00C21017"/>
    <w:rsid w:val="00C23B90"/>
    <w:rsid w:val="00C26E88"/>
    <w:rsid w:val="00C41E0A"/>
    <w:rsid w:val="00C43432"/>
    <w:rsid w:val="00C450EC"/>
    <w:rsid w:val="00C879F2"/>
    <w:rsid w:val="00C90077"/>
    <w:rsid w:val="00C93448"/>
    <w:rsid w:val="00CA1A98"/>
    <w:rsid w:val="00CD5A4F"/>
    <w:rsid w:val="00CF0037"/>
    <w:rsid w:val="00CF1A21"/>
    <w:rsid w:val="00CF1A3D"/>
    <w:rsid w:val="00D02FF2"/>
    <w:rsid w:val="00D107CB"/>
    <w:rsid w:val="00D559B5"/>
    <w:rsid w:val="00D55E93"/>
    <w:rsid w:val="00D61192"/>
    <w:rsid w:val="00D63462"/>
    <w:rsid w:val="00D7249F"/>
    <w:rsid w:val="00D77BFC"/>
    <w:rsid w:val="00D806BC"/>
    <w:rsid w:val="00D90E98"/>
    <w:rsid w:val="00DA0AC6"/>
    <w:rsid w:val="00DB285D"/>
    <w:rsid w:val="00DC407C"/>
    <w:rsid w:val="00DC66D2"/>
    <w:rsid w:val="00E20E99"/>
    <w:rsid w:val="00E23F42"/>
    <w:rsid w:val="00E25715"/>
    <w:rsid w:val="00E34EDD"/>
    <w:rsid w:val="00E7050E"/>
    <w:rsid w:val="00E7057D"/>
    <w:rsid w:val="00E737B4"/>
    <w:rsid w:val="00E82FCD"/>
    <w:rsid w:val="00E87F2B"/>
    <w:rsid w:val="00E9219A"/>
    <w:rsid w:val="00E9282B"/>
    <w:rsid w:val="00E930FB"/>
    <w:rsid w:val="00EA6556"/>
    <w:rsid w:val="00EC36DE"/>
    <w:rsid w:val="00EC60AD"/>
    <w:rsid w:val="00ED289D"/>
    <w:rsid w:val="00EF5FF2"/>
    <w:rsid w:val="00F03492"/>
    <w:rsid w:val="00F1117E"/>
    <w:rsid w:val="00F15A5B"/>
    <w:rsid w:val="00F60B47"/>
    <w:rsid w:val="00F85151"/>
    <w:rsid w:val="00F914C2"/>
    <w:rsid w:val="00F9353C"/>
    <w:rsid w:val="00F93563"/>
    <w:rsid w:val="00FA27C1"/>
    <w:rsid w:val="00FA6609"/>
    <w:rsid w:val="00FA665A"/>
    <w:rsid w:val="00FD4DFC"/>
    <w:rsid w:val="00FD5ADF"/>
    <w:rsid w:val="00FD7950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BF"/>
  </w:style>
  <w:style w:type="paragraph" w:styleId="Heading1">
    <w:name w:val="heading 1"/>
    <w:basedOn w:val="Normal"/>
    <w:next w:val="Normal"/>
    <w:link w:val="Heading1Char"/>
    <w:uiPriority w:val="9"/>
    <w:qFormat/>
    <w:rsid w:val="00A91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B2B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2"/>
  </w:style>
  <w:style w:type="paragraph" w:styleId="Footer">
    <w:name w:val="footer"/>
    <w:basedOn w:val="Normal"/>
    <w:link w:val="FooterChar"/>
    <w:uiPriority w:val="99"/>
    <w:unhideWhenUsed/>
    <w:rsid w:val="00D0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2"/>
  </w:style>
  <w:style w:type="paragraph" w:styleId="BalloonText">
    <w:name w:val="Balloon Text"/>
    <w:basedOn w:val="Normal"/>
    <w:link w:val="BalloonTextChar"/>
    <w:uiPriority w:val="99"/>
    <w:semiHidden/>
    <w:unhideWhenUsed/>
    <w:rsid w:val="00D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B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1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D6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10FD"/>
    <w:pPr>
      <w:tabs>
        <w:tab w:val="right" w:leader="dot" w:pos="9350"/>
      </w:tabs>
      <w:spacing w:after="100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442D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21344"/>
    <w:pPr>
      <w:spacing w:after="100"/>
      <w:ind w:left="220"/>
    </w:pPr>
  </w:style>
  <w:style w:type="paragraph" w:styleId="NoSpacing">
    <w:name w:val="No Spacing"/>
    <w:uiPriority w:val="1"/>
    <w:qFormat/>
    <w:rsid w:val="00EA65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6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20B2B"/>
    <w:rPr>
      <w:rFonts w:ascii="Arial" w:hAnsi="Arial" w:cs="Arial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6D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42B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C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BF"/>
  </w:style>
  <w:style w:type="paragraph" w:styleId="Heading1">
    <w:name w:val="heading 1"/>
    <w:basedOn w:val="Normal"/>
    <w:next w:val="Normal"/>
    <w:link w:val="Heading1Char"/>
    <w:uiPriority w:val="9"/>
    <w:qFormat/>
    <w:rsid w:val="00A91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B2B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2"/>
  </w:style>
  <w:style w:type="paragraph" w:styleId="Footer">
    <w:name w:val="footer"/>
    <w:basedOn w:val="Normal"/>
    <w:link w:val="FooterChar"/>
    <w:uiPriority w:val="99"/>
    <w:unhideWhenUsed/>
    <w:rsid w:val="00D0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2"/>
  </w:style>
  <w:style w:type="paragraph" w:styleId="BalloonText">
    <w:name w:val="Balloon Text"/>
    <w:basedOn w:val="Normal"/>
    <w:link w:val="BalloonTextChar"/>
    <w:uiPriority w:val="99"/>
    <w:semiHidden/>
    <w:unhideWhenUsed/>
    <w:rsid w:val="00D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B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1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D6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10FD"/>
    <w:pPr>
      <w:tabs>
        <w:tab w:val="right" w:leader="dot" w:pos="9350"/>
      </w:tabs>
      <w:spacing w:after="100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442D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21344"/>
    <w:pPr>
      <w:spacing w:after="100"/>
      <w:ind w:left="220"/>
    </w:pPr>
  </w:style>
  <w:style w:type="paragraph" w:styleId="NoSpacing">
    <w:name w:val="No Spacing"/>
    <w:uiPriority w:val="1"/>
    <w:qFormat/>
    <w:rsid w:val="00EA65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6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20B2B"/>
    <w:rPr>
      <w:rFonts w:ascii="Arial" w:hAnsi="Arial" w:cs="Arial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6D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42B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C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0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3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7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08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12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4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6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77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7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0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2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08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9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1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FFE.VBACO@v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E.VBACO@va.gov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vaww.infoshare.va.gov/sites/21PFSService/Fiduciary_Staff/BFFS/TrainingVACO/SitePages/Home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144AB5-5AE8-47AD-8E89-AC68F31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Fiduciary Quality &amp; Training Call Notes</vt:lpstr>
    </vt:vector>
  </TitlesOfParts>
  <Company>Veterans Benefits Administration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Fiduciary Quality &amp; Training Call Notes</dc:title>
  <dc:subject>Fiduciary Hub QRT</dc:subject>
  <dc:creator>Department of Veterans Affairs, Veterans Benefits Administration, Fiduciary Service, STAFF</dc:creator>
  <cp:keywords>quality call,fiduciary,september</cp:keywords>
  <dc:description>This is the agenda for the September 20, 2016 Quality Call.</dc:description>
  <cp:lastModifiedBy>Kathleen Poole</cp:lastModifiedBy>
  <cp:revision>12</cp:revision>
  <cp:lastPrinted>2016-07-18T15:11:00Z</cp:lastPrinted>
  <dcterms:created xsi:type="dcterms:W3CDTF">2016-09-26T16:54:00Z</dcterms:created>
  <dcterms:modified xsi:type="dcterms:W3CDTF">2016-09-28T13:24:00Z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