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CA9E" w14:textId="77777777" w:rsidR="004C756C" w:rsidRDefault="004C756C" w:rsidP="004C756C">
      <w:pPr>
        <w:spacing w:after="0"/>
        <w:jc w:val="center"/>
        <w:rPr>
          <w:rFonts w:ascii="Arial" w:eastAsia="Helvetica" w:hAnsi="Arial" w:cs="Arial"/>
          <w:b/>
          <w:sz w:val="28"/>
          <w:szCs w:val="20"/>
        </w:rPr>
      </w:pPr>
      <w:r>
        <w:rPr>
          <w:noProof/>
        </w:rPr>
        <w:drawing>
          <wp:anchor distT="0" distB="0" distL="114300" distR="114300" simplePos="0" relativeHeight="251659264" behindDoc="0" locked="0" layoutInCell="1" allowOverlap="1" wp14:anchorId="75EC02F3" wp14:editId="7A3A2A8C">
            <wp:simplePos x="0" y="0"/>
            <wp:positionH relativeFrom="margin">
              <wp:align>left</wp:align>
            </wp:positionH>
            <wp:positionV relativeFrom="paragraph">
              <wp:posOffset>-13970</wp:posOffset>
            </wp:positionV>
            <wp:extent cx="1950720" cy="584259"/>
            <wp:effectExtent l="0" t="0" r="0" b="6350"/>
            <wp:wrapNone/>
            <wp:docPr id="1" name="Picture 1">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8536" t="79948" r="15227"/>
                    <a:stretch>
                      <a:fillRect/>
                    </a:stretch>
                  </pic:blipFill>
                  <pic:spPr bwMode="auto">
                    <a:xfrm>
                      <a:off x="0" y="0"/>
                      <a:ext cx="1950720" cy="58425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tab/>
      </w:r>
    </w:p>
    <w:p w14:paraId="457918F7" w14:textId="77777777" w:rsidR="004C756C" w:rsidRDefault="004C756C" w:rsidP="004C756C">
      <w:pPr>
        <w:spacing w:after="0"/>
        <w:rPr>
          <w:rFonts w:ascii="Arial" w:eastAsia="Helvetica" w:hAnsi="Arial" w:cs="Arial"/>
          <w:b/>
          <w:sz w:val="28"/>
          <w:szCs w:val="20"/>
        </w:rPr>
      </w:pPr>
    </w:p>
    <w:p w14:paraId="51BFA873" w14:textId="77777777" w:rsidR="004C756C" w:rsidRPr="00F10231" w:rsidRDefault="004C756C" w:rsidP="004C756C">
      <w:pPr>
        <w:spacing w:after="0"/>
        <w:rPr>
          <w:rFonts w:ascii="Arial" w:eastAsia="Helvetica" w:hAnsi="Arial" w:cs="Arial"/>
          <w:b/>
          <w:sz w:val="20"/>
          <w:szCs w:val="20"/>
        </w:rPr>
      </w:pPr>
    </w:p>
    <w:p w14:paraId="40AE331F" w14:textId="77777777" w:rsidR="004C756C" w:rsidRPr="00A43E46" w:rsidRDefault="004C756C" w:rsidP="004C756C">
      <w:pPr>
        <w:spacing w:after="0"/>
        <w:rPr>
          <w:rFonts w:ascii="Arial" w:eastAsia="Helvetica" w:hAnsi="Arial" w:cs="Arial"/>
          <w:b/>
          <w:sz w:val="52"/>
          <w:szCs w:val="52"/>
        </w:rPr>
      </w:pPr>
      <w:r w:rsidRPr="00A43E46">
        <w:rPr>
          <w:rFonts w:ascii="Arial" w:eastAsia="Helvetica" w:hAnsi="Arial" w:cs="Arial"/>
          <w:b/>
          <w:sz w:val="52"/>
          <w:szCs w:val="52"/>
        </w:rPr>
        <w:t>Pension and Fiduciary (P&amp;F) Service</w:t>
      </w:r>
    </w:p>
    <w:p w14:paraId="43B35C89" w14:textId="77777777" w:rsidR="007D5F00" w:rsidRDefault="007D5F00"/>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4C756C" w:rsidRPr="00D60069" w14:paraId="44BA1CAA" w14:textId="77777777" w:rsidTr="001E0877">
        <w:tc>
          <w:tcPr>
            <w:tcW w:w="7650" w:type="dxa"/>
          </w:tcPr>
          <w:p w14:paraId="52F1DEFE" w14:textId="24588272" w:rsidR="004C756C" w:rsidRPr="004C756C" w:rsidRDefault="00233836" w:rsidP="004C756C">
            <w:pPr>
              <w:pStyle w:val="Title"/>
              <w:rPr>
                <w:sz w:val="44"/>
                <w:szCs w:val="44"/>
              </w:rPr>
            </w:pPr>
            <w:r>
              <w:rPr>
                <w:sz w:val="44"/>
                <w:szCs w:val="44"/>
              </w:rPr>
              <w:t>Fiduciary</w:t>
            </w:r>
            <w:r w:rsidRPr="004C756C">
              <w:rPr>
                <w:sz w:val="44"/>
                <w:szCs w:val="44"/>
              </w:rPr>
              <w:t xml:space="preserve"> </w:t>
            </w:r>
            <w:r w:rsidR="004C756C" w:rsidRPr="004C756C">
              <w:rPr>
                <w:sz w:val="44"/>
                <w:szCs w:val="44"/>
              </w:rPr>
              <w:t>Quality Call</w:t>
            </w:r>
          </w:p>
        </w:tc>
        <w:tc>
          <w:tcPr>
            <w:tcW w:w="2574" w:type="dxa"/>
            <w:vAlign w:val="bottom"/>
          </w:tcPr>
          <w:p w14:paraId="4003BD90" w14:textId="5EC8F98F" w:rsidR="004C756C" w:rsidRPr="00D60069" w:rsidRDefault="00C120C3" w:rsidP="004C756C">
            <w:pPr>
              <w:pStyle w:val="Heading3"/>
            </w:pPr>
            <w:r>
              <w:t>June 22, 2023</w:t>
            </w:r>
          </w:p>
          <w:p w14:paraId="6A8C0AB6" w14:textId="6566FDEE" w:rsidR="004C756C" w:rsidRPr="00D60069" w:rsidRDefault="004C756C" w:rsidP="004C756C">
            <w:pPr>
              <w:pStyle w:val="Heading3"/>
            </w:pPr>
            <w:r w:rsidRPr="00916D29">
              <w:t xml:space="preserve">TMS: # VA </w:t>
            </w:r>
            <w:bookmarkStart w:id="0" w:name="_Hlk138337589"/>
            <w:r w:rsidR="00916D29" w:rsidRPr="00916D29">
              <w:t>4645451</w:t>
            </w:r>
            <w:bookmarkEnd w:id="0"/>
          </w:p>
          <w:p w14:paraId="2244CEB1" w14:textId="77777777" w:rsidR="004C756C" w:rsidRPr="00D60069" w:rsidRDefault="004C756C" w:rsidP="004C756C">
            <w:pPr>
              <w:pStyle w:val="Heading3"/>
            </w:pPr>
          </w:p>
        </w:tc>
      </w:tr>
    </w:tbl>
    <w:tbl>
      <w:tblPr>
        <w:tblW w:w="9050" w:type="pct"/>
        <w:tblCellMar>
          <w:top w:w="14" w:type="dxa"/>
          <w:left w:w="0" w:type="dxa"/>
          <w:bottom w:w="14" w:type="dxa"/>
          <w:right w:w="0" w:type="dxa"/>
        </w:tblCellMar>
        <w:tblLook w:val="0000" w:firstRow="0" w:lastRow="0" w:firstColumn="0" w:lastColumn="0" w:noHBand="0" w:noVBand="0"/>
        <w:tblDescription w:val="Layout table"/>
      </w:tblPr>
      <w:tblGrid>
        <w:gridCol w:w="10260"/>
        <w:gridCol w:w="8245"/>
      </w:tblGrid>
      <w:tr w:rsidR="00F96A26" w:rsidRPr="00D60069" w14:paraId="11430F0D" w14:textId="77777777" w:rsidTr="00EE1706">
        <w:tc>
          <w:tcPr>
            <w:tcW w:w="10260" w:type="dxa"/>
          </w:tcPr>
          <w:p w14:paraId="3F7A1F59" w14:textId="5E6CD1CB" w:rsidR="00EE1706" w:rsidRPr="00075FC0" w:rsidRDefault="00EE1706" w:rsidP="00EE1706">
            <w:pPr>
              <w:pStyle w:val="Heading1"/>
              <w:rPr>
                <w:color w:val="8064A2" w:themeColor="accent4"/>
              </w:rPr>
            </w:pPr>
            <w:r w:rsidRPr="00075FC0">
              <w:rPr>
                <w:color w:val="8064A2" w:themeColor="accent4"/>
              </w:rPr>
              <w:t>AGENDA</w:t>
            </w:r>
            <w:r>
              <w:rPr>
                <w:color w:val="8064A2" w:themeColor="accent4"/>
              </w:rPr>
              <w:t xml:space="preserve"> TOPICS</w:t>
            </w:r>
          </w:p>
          <w:p w14:paraId="2E226181" w14:textId="77777777" w:rsidR="00EE1706" w:rsidRDefault="00EE1706" w:rsidP="00D34264"/>
          <w:p w14:paraId="40BBE097" w14:textId="159DF3CA" w:rsidR="00222A05" w:rsidRDefault="00000000" w:rsidP="00D34264">
            <w:pPr>
              <w:rPr>
                <w:sz w:val="22"/>
                <w:szCs w:val="22"/>
              </w:rPr>
            </w:pPr>
            <w:hyperlink w:anchor="ONE_" w:history="1">
              <w:r w:rsidR="006F09DE" w:rsidRPr="006F09DE">
                <w:rPr>
                  <w:rStyle w:val="Hyperlink"/>
                  <w:sz w:val="22"/>
                  <w:szCs w:val="22"/>
                </w:rPr>
                <w:t xml:space="preserve">ITEM 1:  </w:t>
              </w:r>
              <w:r w:rsidR="00C120C3">
                <w:rPr>
                  <w:rStyle w:val="Hyperlink"/>
                  <w:sz w:val="22"/>
                  <w:szCs w:val="22"/>
                </w:rPr>
                <w:t>FIDUCIARY STAR QUARTERLY ANALYSIS</w:t>
              </w:r>
            </w:hyperlink>
          </w:p>
          <w:p w14:paraId="2192383B" w14:textId="6BAC5ED3" w:rsidR="006F09DE" w:rsidRDefault="00000000" w:rsidP="00D34264">
            <w:pPr>
              <w:rPr>
                <w:sz w:val="22"/>
                <w:szCs w:val="22"/>
              </w:rPr>
            </w:pPr>
            <w:hyperlink w:anchor="TWO" w:history="1">
              <w:r w:rsidR="006F09DE" w:rsidRPr="006F09DE">
                <w:rPr>
                  <w:rStyle w:val="Hyperlink"/>
                  <w:sz w:val="22"/>
                  <w:szCs w:val="22"/>
                </w:rPr>
                <w:t xml:space="preserve">ITEM 2:  </w:t>
              </w:r>
              <w:r w:rsidR="00C120C3">
                <w:rPr>
                  <w:rStyle w:val="Hyperlink"/>
                  <w:sz w:val="22"/>
                  <w:szCs w:val="22"/>
                </w:rPr>
                <w:t>QMS REMINDERS</w:t>
              </w:r>
            </w:hyperlink>
          </w:p>
          <w:p w14:paraId="34007F89" w14:textId="3A0D4F5D" w:rsidR="006F09DE" w:rsidRDefault="00000000" w:rsidP="00D34264">
            <w:pPr>
              <w:rPr>
                <w:sz w:val="22"/>
                <w:szCs w:val="22"/>
              </w:rPr>
            </w:pPr>
            <w:hyperlink w:anchor="THREE_" w:history="1">
              <w:r w:rsidR="00930B49" w:rsidRPr="006F09DE">
                <w:rPr>
                  <w:rStyle w:val="Hyperlink"/>
                  <w:sz w:val="22"/>
                  <w:szCs w:val="22"/>
                </w:rPr>
                <w:t xml:space="preserve">ITEM 3:  </w:t>
              </w:r>
              <w:r w:rsidR="00930B49">
                <w:rPr>
                  <w:rStyle w:val="Hyperlink"/>
                  <w:sz w:val="22"/>
                  <w:szCs w:val="22"/>
                </w:rPr>
                <w:t>SFR FINDINGS</w:t>
              </w:r>
            </w:hyperlink>
          </w:p>
          <w:p w14:paraId="21FF82DD" w14:textId="56AE6AC8" w:rsidR="006F09DE" w:rsidRDefault="00000000" w:rsidP="00D34264">
            <w:pPr>
              <w:rPr>
                <w:sz w:val="22"/>
                <w:szCs w:val="22"/>
              </w:rPr>
            </w:pPr>
            <w:hyperlink w:anchor="FOUR_" w:history="1">
              <w:r w:rsidR="00233836">
                <w:rPr>
                  <w:rStyle w:val="Hyperlink"/>
                  <w:sz w:val="22"/>
                  <w:szCs w:val="22"/>
                </w:rPr>
                <w:t>ITEM 4:  ACCESSING TRAINING REQUIREMENTS IN THE M21-3</w:t>
              </w:r>
            </w:hyperlink>
          </w:p>
          <w:p w14:paraId="46B3A244" w14:textId="1BF753D9" w:rsidR="006F09DE" w:rsidRDefault="00000000" w:rsidP="00D34264">
            <w:pPr>
              <w:rPr>
                <w:rStyle w:val="Hyperlink"/>
                <w:sz w:val="22"/>
                <w:szCs w:val="22"/>
              </w:rPr>
            </w:pPr>
            <w:hyperlink w:anchor="FIVE_" w:history="1">
              <w:r w:rsidR="006F09DE" w:rsidRPr="006F09DE">
                <w:rPr>
                  <w:rStyle w:val="Hyperlink"/>
                  <w:sz w:val="22"/>
                  <w:szCs w:val="22"/>
                </w:rPr>
                <w:t xml:space="preserve">ITEM 5:  </w:t>
              </w:r>
              <w:r w:rsidR="00C120C3">
                <w:rPr>
                  <w:rStyle w:val="Hyperlink"/>
                  <w:sz w:val="22"/>
                  <w:szCs w:val="22"/>
                </w:rPr>
                <w:t>INTERACTIVE DISCUSSION</w:t>
              </w:r>
            </w:hyperlink>
          </w:p>
          <w:p w14:paraId="7A587914" w14:textId="16D3C339" w:rsidR="00233836" w:rsidRDefault="00233836" w:rsidP="00D34264">
            <w:pPr>
              <w:rPr>
                <w:sz w:val="22"/>
                <w:szCs w:val="22"/>
              </w:rPr>
            </w:pPr>
            <w:r>
              <w:rPr>
                <w:rStyle w:val="Hyperlink"/>
                <w:sz w:val="22"/>
                <w:szCs w:val="22"/>
              </w:rPr>
              <w:t>QUESTIONS AND ANSWERS (Q&amp;A)</w:t>
            </w:r>
          </w:p>
          <w:p w14:paraId="42DD5B55" w14:textId="6FA805E7" w:rsidR="006F09DE" w:rsidRPr="00EE1706" w:rsidRDefault="00000000" w:rsidP="00D34264">
            <w:pPr>
              <w:rPr>
                <w:sz w:val="22"/>
                <w:szCs w:val="22"/>
              </w:rPr>
            </w:pPr>
            <w:hyperlink w:anchor="CLOSING_" w:history="1">
              <w:r w:rsidR="006F09DE" w:rsidRPr="006F09DE">
                <w:rPr>
                  <w:rStyle w:val="Hyperlink"/>
                  <w:sz w:val="22"/>
                  <w:szCs w:val="22"/>
                </w:rPr>
                <w:t>CLOSING, QUESTIONS, NEXT QUALITY CALL</w:t>
              </w:r>
            </w:hyperlink>
          </w:p>
        </w:tc>
        <w:tc>
          <w:tcPr>
            <w:tcW w:w="8245" w:type="dxa"/>
          </w:tcPr>
          <w:p w14:paraId="4105A977" w14:textId="77777777" w:rsidR="00F96A26" w:rsidRPr="00D60069" w:rsidRDefault="00F96A26" w:rsidP="00D62E01"/>
        </w:tc>
      </w:tr>
    </w:tbl>
    <w:p w14:paraId="54A530E0" w14:textId="77777777" w:rsidR="002B2D13" w:rsidRPr="00075FC0" w:rsidRDefault="007D5F00">
      <w:pPr>
        <w:pStyle w:val="Heading1"/>
        <w:rPr>
          <w:color w:val="8064A2" w:themeColor="accent4"/>
        </w:rPr>
      </w:pPr>
      <w:r w:rsidRPr="00075FC0">
        <w:rPr>
          <w:color w:val="8064A2" w:themeColor="accent4"/>
        </w:rPr>
        <w:t>AGENDA</w:t>
      </w:r>
      <w:r w:rsidR="005537F7">
        <w:rPr>
          <w:color w:val="8064A2" w:themeColor="accent4"/>
        </w:rPr>
        <w:t xml:space="preserve"> ITEMS</w:t>
      </w:r>
    </w:p>
    <w:tbl>
      <w:tblPr>
        <w:tblW w:w="5000" w:type="pct"/>
        <w:tblCellMar>
          <w:left w:w="0" w:type="dxa"/>
          <w:right w:w="0" w:type="dxa"/>
        </w:tblCellMar>
        <w:tblLook w:val="0000" w:firstRow="0" w:lastRow="0" w:firstColumn="0" w:lastColumn="0" w:noHBand="0" w:noVBand="0"/>
        <w:tblDescription w:val="Layout table"/>
      </w:tblPr>
      <w:tblGrid>
        <w:gridCol w:w="1620"/>
        <w:gridCol w:w="4970"/>
        <w:gridCol w:w="1324"/>
        <w:gridCol w:w="2310"/>
      </w:tblGrid>
      <w:tr w:rsidR="002B2D13" w:rsidRPr="00D60069" w14:paraId="6A9A53A7" w14:textId="77777777" w:rsidTr="00D62E01">
        <w:tc>
          <w:tcPr>
            <w:tcW w:w="1620" w:type="dxa"/>
          </w:tcPr>
          <w:p w14:paraId="6050E255" w14:textId="77777777" w:rsidR="002B2D13" w:rsidRPr="00075FC0" w:rsidRDefault="00000000">
            <w:pPr>
              <w:pStyle w:val="Heading2"/>
              <w:rPr>
                <w:color w:val="8064A2" w:themeColor="accent4"/>
              </w:rPr>
            </w:pPr>
            <w:sdt>
              <w:sdtPr>
                <w:rPr>
                  <w:color w:val="8064A2" w:themeColor="accent4"/>
                </w:rPr>
                <w:id w:val="90904773"/>
                <w:placeholder>
                  <w:docPart w:val="20DE57C5D5E449D1A227C0884E237AD8"/>
                </w:placeholder>
                <w:temporary/>
                <w:showingPlcHdr/>
                <w15:appearance w15:val="hidden"/>
              </w:sdtPr>
              <w:sdtContent>
                <w:r w:rsidR="006344A8" w:rsidRPr="007E4418">
                  <w:rPr>
                    <w:color w:val="8064A2" w:themeColor="accent4"/>
                    <w:sz w:val="24"/>
                    <w:szCs w:val="24"/>
                  </w:rPr>
                  <w:t>Agenda item:</w:t>
                </w:r>
              </w:sdtContent>
            </w:sdt>
          </w:p>
        </w:tc>
        <w:tc>
          <w:tcPr>
            <w:tcW w:w="4970" w:type="dxa"/>
          </w:tcPr>
          <w:p w14:paraId="1A07B25E" w14:textId="6606CBD8" w:rsidR="002B2D13" w:rsidRPr="00075FC0" w:rsidRDefault="00C120C3">
            <w:pPr>
              <w:rPr>
                <w:color w:val="8064A2" w:themeColor="accent4"/>
                <w:sz w:val="24"/>
                <w:szCs w:val="24"/>
              </w:rPr>
            </w:pPr>
            <w:r w:rsidRPr="00C120C3">
              <w:rPr>
                <w:color w:val="8064A2" w:themeColor="accent4"/>
                <w:sz w:val="24"/>
                <w:szCs w:val="24"/>
              </w:rPr>
              <w:t>FIDUCIARY STAR QUARTERLY ANALYSIS</w:t>
            </w:r>
            <w:bookmarkStart w:id="1" w:name="ONE_"/>
            <w:bookmarkEnd w:id="1"/>
          </w:p>
        </w:tc>
        <w:tc>
          <w:tcPr>
            <w:tcW w:w="1324" w:type="dxa"/>
          </w:tcPr>
          <w:p w14:paraId="345291AC" w14:textId="77777777" w:rsidR="002B2D13" w:rsidRPr="00075FC0" w:rsidRDefault="00000000">
            <w:pPr>
              <w:pStyle w:val="Heading2"/>
              <w:rPr>
                <w:color w:val="8064A2" w:themeColor="accent4"/>
              </w:rPr>
            </w:pPr>
            <w:sdt>
              <w:sdtPr>
                <w:rPr>
                  <w:color w:val="8064A2" w:themeColor="accent4"/>
                </w:rPr>
                <w:id w:val="1737199064"/>
                <w:placeholder>
                  <w:docPart w:val="351F97E736274FF0994F1CE60D68DE77"/>
                </w:placeholder>
                <w:temporary/>
                <w:showingPlcHdr/>
                <w15:appearance w15:val="hidden"/>
              </w:sdtPr>
              <w:sdtContent>
                <w:r w:rsidR="006344A8" w:rsidRPr="00075FC0">
                  <w:rPr>
                    <w:color w:val="8064A2" w:themeColor="accent4"/>
                    <w:sz w:val="24"/>
                    <w:szCs w:val="24"/>
                  </w:rPr>
                  <w:t>Presenter:</w:t>
                </w:r>
              </w:sdtContent>
            </w:sdt>
          </w:p>
        </w:tc>
        <w:tc>
          <w:tcPr>
            <w:tcW w:w="2310" w:type="dxa"/>
          </w:tcPr>
          <w:p w14:paraId="5EAB3EF0" w14:textId="3E9CAD84" w:rsidR="002B2D13" w:rsidRPr="00075FC0" w:rsidRDefault="00C120C3">
            <w:pPr>
              <w:rPr>
                <w:color w:val="8064A2" w:themeColor="accent4"/>
                <w:sz w:val="24"/>
                <w:szCs w:val="24"/>
              </w:rPr>
            </w:pPr>
            <w:r>
              <w:rPr>
                <w:color w:val="8064A2" w:themeColor="accent4"/>
                <w:sz w:val="24"/>
                <w:szCs w:val="24"/>
              </w:rPr>
              <w:t>ALVIN HILL, ANALY</w:t>
            </w:r>
            <w:r w:rsidR="008B18B0">
              <w:rPr>
                <w:color w:val="8064A2" w:themeColor="accent4"/>
                <w:sz w:val="24"/>
                <w:szCs w:val="24"/>
              </w:rPr>
              <w:t>ST</w:t>
            </w:r>
          </w:p>
        </w:tc>
      </w:tr>
    </w:tbl>
    <w:p w14:paraId="3D881F09" w14:textId="77777777" w:rsidR="002B2D13" w:rsidRPr="00075FC0" w:rsidRDefault="00075FC0" w:rsidP="00011A4B">
      <w:pPr>
        <w:pStyle w:val="Heading4"/>
        <w:spacing w:before="0" w:after="0"/>
        <w:rPr>
          <w:color w:val="548DD4" w:themeColor="text2" w:themeTint="99"/>
          <w:sz w:val="24"/>
          <w:szCs w:val="24"/>
        </w:rPr>
      </w:pPr>
      <w:r w:rsidRPr="00075FC0">
        <w:rPr>
          <w:color w:val="548DD4" w:themeColor="text2" w:themeTint="99"/>
          <w:sz w:val="24"/>
          <w:szCs w:val="24"/>
        </w:rPr>
        <w:t>Target Audience:</w:t>
      </w:r>
    </w:p>
    <w:p w14:paraId="139D67BF" w14:textId="77777777" w:rsidR="00011A4B" w:rsidRDefault="00011A4B" w:rsidP="00011A4B">
      <w:pPr>
        <w:pStyle w:val="Heading4"/>
        <w:spacing w:before="0" w:after="0"/>
        <w:rPr>
          <w:b w:val="0"/>
          <w:color w:val="4F81BD" w:themeColor="accent1"/>
          <w:sz w:val="24"/>
          <w:szCs w:val="24"/>
        </w:rPr>
      </w:pPr>
      <w:bookmarkStart w:id="2" w:name="_Hlk126846705"/>
    </w:p>
    <w:p w14:paraId="283A0960" w14:textId="18A1B912" w:rsidR="00C120C3" w:rsidRDefault="00C120C3" w:rsidP="00011A4B">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0F45A13D" w14:textId="77777777" w:rsidR="00011A4B" w:rsidRDefault="00011A4B" w:rsidP="00011A4B">
      <w:pPr>
        <w:pStyle w:val="Heading4"/>
        <w:spacing w:before="0" w:after="0"/>
        <w:rPr>
          <w:b w:val="0"/>
          <w:color w:val="4F81BD" w:themeColor="accent1"/>
          <w:sz w:val="24"/>
          <w:szCs w:val="24"/>
        </w:rPr>
      </w:pPr>
    </w:p>
    <w:bookmarkEnd w:id="2"/>
    <w:p w14:paraId="1E2C2971" w14:textId="1F3E8C8D" w:rsidR="004A4900" w:rsidRPr="00075FC0" w:rsidRDefault="005537F7" w:rsidP="00011A4B">
      <w:pPr>
        <w:pStyle w:val="Heading4"/>
        <w:spacing w:before="0" w:after="0"/>
        <w:rPr>
          <w:sz w:val="24"/>
          <w:szCs w:val="24"/>
        </w:rPr>
      </w:pPr>
      <w:r>
        <w:rPr>
          <w:sz w:val="24"/>
          <w:szCs w:val="24"/>
        </w:rPr>
        <w:t>Discussion</w:t>
      </w:r>
      <w:r w:rsidR="00075FC0" w:rsidRPr="00075FC0">
        <w:rPr>
          <w:sz w:val="24"/>
          <w:szCs w:val="24"/>
        </w:rPr>
        <w:t>:</w:t>
      </w:r>
    </w:p>
    <w:p w14:paraId="2522578C" w14:textId="77777777" w:rsidR="004A4900" w:rsidRDefault="004A4900" w:rsidP="00011A4B">
      <w:pPr>
        <w:autoSpaceDE w:val="0"/>
        <w:autoSpaceDN w:val="0"/>
        <w:adjustRightInd w:val="0"/>
        <w:spacing w:before="0" w:after="0"/>
        <w:rPr>
          <w:rFonts w:ascii="Arial" w:hAnsi="Arial" w:cs="Arial"/>
          <w:sz w:val="24"/>
          <w:szCs w:val="24"/>
        </w:rPr>
      </w:pPr>
    </w:p>
    <w:p w14:paraId="749759A3" w14:textId="37DFA398" w:rsidR="00D4212C" w:rsidRDefault="00D4212C" w:rsidP="004A4900">
      <w:pPr>
        <w:autoSpaceDE w:val="0"/>
        <w:autoSpaceDN w:val="0"/>
        <w:adjustRightInd w:val="0"/>
        <w:spacing w:before="0" w:after="0"/>
        <w:rPr>
          <w:rFonts w:ascii="Arial" w:hAnsi="Arial" w:cs="Arial"/>
          <w:sz w:val="24"/>
          <w:szCs w:val="24"/>
        </w:rPr>
      </w:pPr>
      <w:r>
        <w:rPr>
          <w:rFonts w:ascii="Arial" w:hAnsi="Arial" w:cs="Arial"/>
          <w:sz w:val="24"/>
          <w:szCs w:val="24"/>
        </w:rPr>
        <w:t xml:space="preserve">There was a slight decrease from 95.14 percent to 94.58 percent </w:t>
      </w:r>
      <w:r w:rsidR="004A4900">
        <w:rPr>
          <w:rFonts w:ascii="Arial" w:hAnsi="Arial" w:cs="Arial"/>
          <w:sz w:val="24"/>
          <w:szCs w:val="24"/>
        </w:rPr>
        <w:t xml:space="preserve">in national fiduciary accuracy but it </w:t>
      </w:r>
      <w:r>
        <w:rPr>
          <w:rFonts w:ascii="Arial" w:hAnsi="Arial" w:cs="Arial"/>
          <w:sz w:val="24"/>
          <w:szCs w:val="24"/>
        </w:rPr>
        <w:t xml:space="preserve">remains at the Outstanding level. </w:t>
      </w:r>
    </w:p>
    <w:p w14:paraId="6D56C689" w14:textId="77777777" w:rsidR="00D4212C" w:rsidRPr="00606E2E" w:rsidRDefault="00D4212C" w:rsidP="004A4900">
      <w:pPr>
        <w:autoSpaceDE w:val="0"/>
        <w:autoSpaceDN w:val="0"/>
        <w:adjustRightInd w:val="0"/>
        <w:spacing w:before="0" w:after="0"/>
        <w:rPr>
          <w:rFonts w:ascii="Arial" w:hAnsi="Arial" w:cs="Arial"/>
          <w:sz w:val="24"/>
          <w:szCs w:val="24"/>
        </w:rPr>
      </w:pPr>
    </w:p>
    <w:tbl>
      <w:tblPr>
        <w:tblW w:w="3438" w:type="pct"/>
        <w:jc w:val="center"/>
        <w:tblLayout w:type="fixed"/>
        <w:tblLook w:val="04A0" w:firstRow="1" w:lastRow="0" w:firstColumn="1" w:lastColumn="0" w:noHBand="0" w:noVBand="1"/>
      </w:tblPr>
      <w:tblGrid>
        <w:gridCol w:w="2457"/>
        <w:gridCol w:w="2283"/>
        <w:gridCol w:w="2283"/>
      </w:tblGrid>
      <w:tr w:rsidR="00D4212C" w:rsidRPr="002E7E39" w14:paraId="25BC9A60" w14:textId="77777777" w:rsidTr="006B10FA">
        <w:trPr>
          <w:trHeight w:val="755"/>
          <w:jc w:val="center"/>
        </w:trPr>
        <w:tc>
          <w:tcPr>
            <w:tcW w:w="224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50B6D95" w14:textId="77777777" w:rsidR="00D4212C" w:rsidRPr="000F1053" w:rsidRDefault="00D4212C" w:rsidP="004A4900">
            <w:pPr>
              <w:spacing w:before="0" w:after="0"/>
              <w:jc w:val="center"/>
              <w:rPr>
                <w:rFonts w:ascii="Calibri" w:eastAsia="Times New Roman" w:hAnsi="Calibri" w:cs="Calibri"/>
                <w:b/>
                <w:bCs/>
                <w:color w:val="FFFFFF" w:themeColor="background1"/>
                <w:sz w:val="24"/>
                <w:szCs w:val="24"/>
              </w:rPr>
            </w:pPr>
          </w:p>
        </w:tc>
        <w:tc>
          <w:tcPr>
            <w:tcW w:w="2090" w:type="dxa"/>
            <w:tcBorders>
              <w:top w:val="single" w:sz="4" w:space="0" w:color="auto"/>
              <w:left w:val="nil"/>
              <w:bottom w:val="single" w:sz="4" w:space="0" w:color="auto"/>
              <w:right w:val="single" w:sz="4" w:space="0" w:color="auto"/>
            </w:tcBorders>
            <w:shd w:val="clear" w:color="auto" w:fill="4F81BD" w:themeFill="accent1"/>
            <w:hideMark/>
          </w:tcPr>
          <w:p w14:paraId="1277B1B1" w14:textId="77777777" w:rsidR="00D4212C" w:rsidRDefault="00D4212C" w:rsidP="004A4900">
            <w:pPr>
              <w:spacing w:before="0" w:after="0"/>
              <w:jc w:val="center"/>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 xml:space="preserve">April 2023 </w:t>
            </w:r>
          </w:p>
          <w:p w14:paraId="14E88E7F" w14:textId="77777777" w:rsidR="00D4212C" w:rsidRPr="000F1053" w:rsidRDefault="00D4212C" w:rsidP="004A4900">
            <w:pPr>
              <w:spacing w:before="0" w:after="0"/>
              <w:jc w:val="center"/>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Rolling Accuracy</w:t>
            </w:r>
            <w:r w:rsidRPr="000F1053">
              <w:rPr>
                <w:rFonts w:ascii="Calibri" w:eastAsia="Times New Roman" w:hAnsi="Calibri" w:cs="Calibri"/>
                <w:b/>
                <w:bCs/>
                <w:color w:val="FFFFFF" w:themeColor="background1"/>
                <w:sz w:val="24"/>
                <w:szCs w:val="24"/>
              </w:rPr>
              <w:t xml:space="preserve"> </w:t>
            </w:r>
          </w:p>
        </w:tc>
        <w:tc>
          <w:tcPr>
            <w:tcW w:w="2090" w:type="dxa"/>
            <w:tcBorders>
              <w:top w:val="single" w:sz="4" w:space="0" w:color="auto"/>
              <w:left w:val="nil"/>
              <w:bottom w:val="single" w:sz="4" w:space="0" w:color="auto"/>
              <w:right w:val="single" w:sz="4" w:space="0" w:color="auto"/>
            </w:tcBorders>
            <w:shd w:val="clear" w:color="auto" w:fill="4F81BD" w:themeFill="accent1"/>
          </w:tcPr>
          <w:p w14:paraId="38AF64A5" w14:textId="77777777" w:rsidR="00D4212C" w:rsidRDefault="00D4212C" w:rsidP="004A4900">
            <w:pPr>
              <w:spacing w:before="0" w:after="0"/>
              <w:jc w:val="center"/>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 xml:space="preserve">May 2023 </w:t>
            </w:r>
          </w:p>
          <w:p w14:paraId="3BB4E4DC" w14:textId="77777777" w:rsidR="00D4212C" w:rsidRDefault="00D4212C" w:rsidP="004A4900">
            <w:pPr>
              <w:spacing w:before="0" w:after="0"/>
              <w:jc w:val="center"/>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Rolling Accuracy</w:t>
            </w:r>
          </w:p>
        </w:tc>
      </w:tr>
      <w:tr w:rsidR="00D4212C" w:rsidRPr="002E7E39" w14:paraId="486937CF" w14:textId="77777777" w:rsidTr="006B10FA">
        <w:trPr>
          <w:trHeight w:val="408"/>
          <w:jc w:val="center"/>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0F2B" w14:textId="77777777" w:rsidR="00D4212C" w:rsidRPr="000F1053" w:rsidRDefault="00D4212C" w:rsidP="004A4900">
            <w:pPr>
              <w:spacing w:before="0" w:after="0"/>
              <w:jc w:val="center"/>
              <w:rPr>
                <w:rFonts w:ascii="Calibri" w:eastAsia="Times New Roman" w:hAnsi="Calibri" w:cs="Calibri"/>
                <w:color w:val="000000"/>
                <w:sz w:val="24"/>
                <w:szCs w:val="24"/>
              </w:rPr>
            </w:pPr>
            <w:r>
              <w:rPr>
                <w:rFonts w:ascii="Calibri" w:eastAsia="Times New Roman" w:hAnsi="Calibri" w:cs="Calibri"/>
                <w:color w:val="000000"/>
                <w:sz w:val="24"/>
                <w:szCs w:val="24"/>
              </w:rPr>
              <w:t>National Fiduciary Accuracy</w:t>
            </w:r>
          </w:p>
        </w:tc>
        <w:tc>
          <w:tcPr>
            <w:tcW w:w="2090" w:type="dxa"/>
            <w:tcBorders>
              <w:top w:val="nil"/>
              <w:left w:val="nil"/>
              <w:bottom w:val="single" w:sz="4" w:space="0" w:color="auto"/>
              <w:right w:val="single" w:sz="4" w:space="0" w:color="auto"/>
            </w:tcBorders>
            <w:shd w:val="clear" w:color="auto" w:fill="auto"/>
            <w:noWrap/>
            <w:vAlign w:val="center"/>
          </w:tcPr>
          <w:p w14:paraId="3F01CA99" w14:textId="77777777" w:rsidR="00D4212C" w:rsidRPr="000F1053" w:rsidRDefault="00D4212C" w:rsidP="004A4900">
            <w:pPr>
              <w:spacing w:before="0" w:after="0"/>
              <w:jc w:val="center"/>
              <w:rPr>
                <w:rFonts w:ascii="Calibri" w:eastAsia="Times New Roman" w:hAnsi="Calibri" w:cs="Calibri"/>
                <w:color w:val="000000"/>
                <w:sz w:val="24"/>
                <w:szCs w:val="24"/>
              </w:rPr>
            </w:pPr>
            <w:r>
              <w:rPr>
                <w:rFonts w:ascii="Calibri" w:eastAsia="Times New Roman" w:hAnsi="Calibri" w:cs="Calibri"/>
                <w:color w:val="000000"/>
                <w:sz w:val="24"/>
                <w:szCs w:val="24"/>
              </w:rPr>
              <w:t>95.14%</w:t>
            </w:r>
          </w:p>
        </w:tc>
        <w:tc>
          <w:tcPr>
            <w:tcW w:w="2090" w:type="dxa"/>
            <w:tcBorders>
              <w:top w:val="nil"/>
              <w:left w:val="nil"/>
              <w:bottom w:val="single" w:sz="4" w:space="0" w:color="auto"/>
              <w:right w:val="single" w:sz="4" w:space="0" w:color="auto"/>
            </w:tcBorders>
            <w:vAlign w:val="center"/>
          </w:tcPr>
          <w:p w14:paraId="42C63197" w14:textId="77777777" w:rsidR="00D4212C" w:rsidRDefault="00D4212C" w:rsidP="004A4900">
            <w:pPr>
              <w:spacing w:before="0" w:after="0"/>
              <w:jc w:val="center"/>
              <w:rPr>
                <w:rFonts w:ascii="Calibri" w:eastAsia="Times New Roman" w:hAnsi="Calibri" w:cs="Calibri"/>
                <w:color w:val="000000"/>
                <w:sz w:val="24"/>
                <w:szCs w:val="24"/>
              </w:rPr>
            </w:pPr>
            <w:r>
              <w:rPr>
                <w:rFonts w:ascii="Calibri" w:eastAsia="Times New Roman" w:hAnsi="Calibri" w:cs="Calibri"/>
                <w:color w:val="000000"/>
                <w:sz w:val="24"/>
                <w:szCs w:val="24"/>
              </w:rPr>
              <w:t>94.58%</w:t>
            </w:r>
          </w:p>
        </w:tc>
      </w:tr>
    </w:tbl>
    <w:p w14:paraId="078EE4C2" w14:textId="77777777" w:rsidR="00D4212C" w:rsidRDefault="00D4212C" w:rsidP="004A4900">
      <w:pPr>
        <w:spacing w:before="0" w:after="0"/>
        <w:rPr>
          <w:rFonts w:ascii="Arial" w:hAnsi="Arial" w:cs="Arial"/>
          <w:sz w:val="24"/>
          <w:szCs w:val="24"/>
        </w:rPr>
      </w:pPr>
    </w:p>
    <w:p w14:paraId="0FEA90D0" w14:textId="77777777" w:rsidR="00D4212C" w:rsidRPr="00A54CC0" w:rsidRDefault="00D4212C" w:rsidP="004A4900">
      <w:pPr>
        <w:spacing w:before="0" w:after="0"/>
        <w:rPr>
          <w:rFonts w:ascii="Arial" w:hAnsi="Arial" w:cs="Arial"/>
          <w:b/>
          <w:bCs/>
          <w:sz w:val="24"/>
          <w:szCs w:val="24"/>
        </w:rPr>
      </w:pPr>
      <w:r w:rsidRPr="00A54CC0">
        <w:rPr>
          <w:rFonts w:ascii="Arial" w:hAnsi="Arial" w:cs="Arial"/>
          <w:b/>
          <w:bCs/>
          <w:sz w:val="24"/>
          <w:szCs w:val="24"/>
        </w:rPr>
        <w:t>Field Examination</w:t>
      </w:r>
    </w:p>
    <w:p w14:paraId="6360A2A2" w14:textId="77777777" w:rsidR="004A4900" w:rsidRDefault="004A4900" w:rsidP="004A4900">
      <w:pPr>
        <w:spacing w:before="0" w:after="0"/>
        <w:rPr>
          <w:rFonts w:ascii="Arial" w:hAnsi="Arial" w:cs="Arial"/>
          <w:sz w:val="24"/>
          <w:szCs w:val="24"/>
        </w:rPr>
      </w:pPr>
    </w:p>
    <w:p w14:paraId="39156894" w14:textId="61A2C4A9" w:rsidR="004A4900" w:rsidRDefault="00D4212C" w:rsidP="004A4900">
      <w:pPr>
        <w:spacing w:before="0" w:after="0"/>
        <w:rPr>
          <w:rFonts w:ascii="Arial" w:hAnsi="Arial" w:cs="Arial"/>
          <w:sz w:val="24"/>
          <w:szCs w:val="24"/>
        </w:rPr>
      </w:pPr>
      <w:r>
        <w:rPr>
          <w:rFonts w:ascii="Arial" w:hAnsi="Arial" w:cs="Arial"/>
          <w:sz w:val="24"/>
          <w:szCs w:val="24"/>
        </w:rPr>
        <w:t xml:space="preserve">Field examination accuracy continues to demonstrate proficiency with completing field examinations. </w:t>
      </w:r>
      <w:r w:rsidRPr="007F689A">
        <w:rPr>
          <w:rFonts w:ascii="Arial" w:hAnsi="Arial" w:cs="Arial"/>
          <w:sz w:val="24"/>
          <w:szCs w:val="24"/>
        </w:rPr>
        <w:t xml:space="preserve">The field examination errors </w:t>
      </w:r>
      <w:r>
        <w:rPr>
          <w:rFonts w:ascii="Arial" w:hAnsi="Arial" w:cs="Arial"/>
          <w:sz w:val="24"/>
          <w:szCs w:val="24"/>
        </w:rPr>
        <w:t xml:space="preserve">cited during the review period </w:t>
      </w:r>
      <w:r w:rsidRPr="007F689A">
        <w:rPr>
          <w:rFonts w:ascii="Arial" w:hAnsi="Arial" w:cs="Arial"/>
          <w:sz w:val="24"/>
          <w:szCs w:val="24"/>
        </w:rPr>
        <w:t>are as follows:</w:t>
      </w:r>
    </w:p>
    <w:p w14:paraId="0531C6C2" w14:textId="77777777" w:rsidR="004A4900" w:rsidRPr="007F689A" w:rsidRDefault="004A4900" w:rsidP="004A4900">
      <w:pPr>
        <w:spacing w:before="0" w:after="0"/>
        <w:rPr>
          <w:rFonts w:ascii="Arial" w:hAnsi="Arial" w:cs="Arial"/>
          <w:sz w:val="24"/>
          <w:szCs w:val="24"/>
        </w:rPr>
      </w:pPr>
    </w:p>
    <w:p w14:paraId="521EDCC4" w14:textId="77777777" w:rsidR="00011A4B" w:rsidRDefault="00011A4B">
      <w:r>
        <w:br w:type="page"/>
      </w:r>
    </w:p>
    <w:tbl>
      <w:tblPr>
        <w:tblStyle w:val="TableGrid"/>
        <w:tblW w:w="9352" w:type="dxa"/>
        <w:jc w:val="center"/>
        <w:tblLook w:val="04A0" w:firstRow="1" w:lastRow="0" w:firstColumn="1" w:lastColumn="0" w:noHBand="0" w:noVBand="1"/>
      </w:tblPr>
      <w:tblGrid>
        <w:gridCol w:w="1703"/>
        <w:gridCol w:w="6325"/>
        <w:gridCol w:w="1324"/>
      </w:tblGrid>
      <w:tr w:rsidR="00D4212C" w:rsidRPr="00E626A3" w14:paraId="79B7C94E" w14:textId="77777777" w:rsidTr="00011A4B">
        <w:trPr>
          <w:trHeight w:val="255"/>
          <w:jc w:val="center"/>
        </w:trPr>
        <w:tc>
          <w:tcPr>
            <w:tcW w:w="1703" w:type="dxa"/>
            <w:noWrap/>
            <w:vAlign w:val="center"/>
            <w:hideMark/>
          </w:tcPr>
          <w:p w14:paraId="1C2E1ACB" w14:textId="22BD4578" w:rsidR="00D4212C" w:rsidRPr="00E626A3" w:rsidRDefault="00D4212C" w:rsidP="004A4900">
            <w:pPr>
              <w:spacing w:before="0" w:after="0"/>
              <w:rPr>
                <w:rFonts w:ascii="Arial" w:hAnsi="Arial" w:cs="Arial"/>
                <w:b/>
                <w:bCs/>
                <w:sz w:val="24"/>
                <w:szCs w:val="24"/>
              </w:rPr>
            </w:pPr>
            <w:r w:rsidRPr="00E626A3">
              <w:rPr>
                <w:rFonts w:ascii="Arial" w:hAnsi="Arial" w:cs="Arial"/>
                <w:b/>
                <w:bCs/>
                <w:sz w:val="24"/>
                <w:szCs w:val="24"/>
              </w:rPr>
              <w:lastRenderedPageBreak/>
              <w:t>Error Title</w:t>
            </w:r>
          </w:p>
        </w:tc>
        <w:tc>
          <w:tcPr>
            <w:tcW w:w="6325" w:type="dxa"/>
            <w:noWrap/>
            <w:vAlign w:val="center"/>
            <w:hideMark/>
          </w:tcPr>
          <w:p w14:paraId="2FC6A4A1" w14:textId="77777777" w:rsidR="00D4212C" w:rsidRPr="00E626A3" w:rsidRDefault="00D4212C" w:rsidP="004A4900">
            <w:pPr>
              <w:spacing w:before="0" w:after="0"/>
              <w:jc w:val="center"/>
              <w:rPr>
                <w:rFonts w:ascii="Arial" w:hAnsi="Arial" w:cs="Arial"/>
                <w:b/>
                <w:bCs/>
                <w:sz w:val="24"/>
                <w:szCs w:val="24"/>
              </w:rPr>
            </w:pPr>
            <w:r w:rsidRPr="00E626A3">
              <w:rPr>
                <w:rFonts w:ascii="Arial" w:hAnsi="Arial" w:cs="Arial"/>
                <w:b/>
                <w:bCs/>
                <w:sz w:val="24"/>
                <w:szCs w:val="24"/>
              </w:rPr>
              <w:t>Error Description</w:t>
            </w:r>
          </w:p>
        </w:tc>
        <w:tc>
          <w:tcPr>
            <w:tcW w:w="1324" w:type="dxa"/>
            <w:vAlign w:val="center"/>
          </w:tcPr>
          <w:p w14:paraId="72A687E1" w14:textId="77777777" w:rsidR="00D4212C" w:rsidRPr="00E626A3" w:rsidRDefault="00D4212C" w:rsidP="004A4900">
            <w:pPr>
              <w:spacing w:before="0" w:after="0"/>
              <w:rPr>
                <w:rFonts w:ascii="Arial" w:hAnsi="Arial" w:cs="Arial"/>
                <w:b/>
                <w:bCs/>
                <w:sz w:val="24"/>
                <w:szCs w:val="24"/>
              </w:rPr>
            </w:pPr>
            <w:r w:rsidRPr="00E626A3">
              <w:rPr>
                <w:rFonts w:ascii="Arial" w:hAnsi="Arial" w:cs="Arial"/>
                <w:b/>
                <w:bCs/>
                <w:sz w:val="24"/>
                <w:szCs w:val="24"/>
              </w:rPr>
              <w:t>Instances</w:t>
            </w:r>
          </w:p>
        </w:tc>
      </w:tr>
      <w:tr w:rsidR="00D4212C" w:rsidRPr="007F689A" w14:paraId="7F1758B4" w14:textId="77777777" w:rsidTr="00011A4B">
        <w:trPr>
          <w:trHeight w:val="219"/>
          <w:jc w:val="center"/>
        </w:trPr>
        <w:tc>
          <w:tcPr>
            <w:tcW w:w="1703" w:type="dxa"/>
            <w:noWrap/>
          </w:tcPr>
          <w:p w14:paraId="1AB2BE3C" w14:textId="77777777" w:rsidR="00D4212C" w:rsidRPr="007F689A" w:rsidRDefault="00D4212C" w:rsidP="004A4900">
            <w:pPr>
              <w:spacing w:before="0" w:after="0"/>
              <w:rPr>
                <w:rFonts w:ascii="Arial" w:hAnsi="Arial" w:cs="Arial"/>
                <w:sz w:val="24"/>
                <w:szCs w:val="24"/>
              </w:rPr>
            </w:pPr>
            <w:r w:rsidRPr="00D94B94">
              <w:rPr>
                <w:rFonts w:ascii="Arial" w:hAnsi="Arial" w:cs="Arial"/>
                <w:sz w:val="24"/>
                <w:szCs w:val="24"/>
              </w:rPr>
              <w:t>NFFEQR9b</w:t>
            </w:r>
            <w:r>
              <w:rPr>
                <w:rFonts w:ascii="Arial" w:hAnsi="Arial" w:cs="Arial"/>
                <w:sz w:val="24"/>
                <w:szCs w:val="24"/>
              </w:rPr>
              <w:t xml:space="preserve"> (Critical)</w:t>
            </w:r>
          </w:p>
        </w:tc>
        <w:tc>
          <w:tcPr>
            <w:tcW w:w="6325" w:type="dxa"/>
            <w:noWrap/>
          </w:tcPr>
          <w:p w14:paraId="5638B1E0" w14:textId="77777777" w:rsidR="00D4212C" w:rsidRPr="007F689A" w:rsidRDefault="00D4212C" w:rsidP="004A4900">
            <w:pPr>
              <w:spacing w:before="0" w:after="0"/>
              <w:rPr>
                <w:rFonts w:ascii="Arial" w:hAnsi="Arial" w:cs="Arial"/>
                <w:sz w:val="24"/>
                <w:szCs w:val="24"/>
              </w:rPr>
            </w:pPr>
            <w:r w:rsidRPr="00D94B94">
              <w:rPr>
                <w:rFonts w:ascii="Arial" w:hAnsi="Arial" w:cs="Arial"/>
                <w:sz w:val="24"/>
                <w:szCs w:val="24"/>
              </w:rPr>
              <w:t>The dependents needs were not addressed in the field examination.</w:t>
            </w:r>
          </w:p>
        </w:tc>
        <w:tc>
          <w:tcPr>
            <w:tcW w:w="1324" w:type="dxa"/>
            <w:vAlign w:val="center"/>
          </w:tcPr>
          <w:p w14:paraId="580CD369" w14:textId="77777777" w:rsidR="00D4212C" w:rsidRPr="003F5A7A"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7F689A" w14:paraId="0DCDC2F7" w14:textId="77777777" w:rsidTr="00011A4B">
        <w:trPr>
          <w:trHeight w:val="219"/>
          <w:jc w:val="center"/>
        </w:trPr>
        <w:tc>
          <w:tcPr>
            <w:tcW w:w="1703" w:type="dxa"/>
            <w:noWrap/>
          </w:tcPr>
          <w:p w14:paraId="3DB2F15E" w14:textId="77777777" w:rsidR="00D4212C" w:rsidRPr="007F689A" w:rsidRDefault="00D4212C" w:rsidP="004A4900">
            <w:pPr>
              <w:spacing w:before="0" w:after="0"/>
              <w:rPr>
                <w:rFonts w:ascii="Arial" w:hAnsi="Arial" w:cs="Arial"/>
                <w:sz w:val="24"/>
                <w:szCs w:val="24"/>
              </w:rPr>
            </w:pPr>
            <w:r w:rsidRPr="007F689A">
              <w:rPr>
                <w:rFonts w:ascii="Arial" w:hAnsi="Arial" w:cs="Arial"/>
                <w:sz w:val="24"/>
                <w:szCs w:val="24"/>
              </w:rPr>
              <w:t>NFFEQR</w:t>
            </w:r>
            <w:r>
              <w:rPr>
                <w:rFonts w:ascii="Arial" w:hAnsi="Arial" w:cs="Arial"/>
                <w:sz w:val="24"/>
                <w:szCs w:val="24"/>
              </w:rPr>
              <w:t>17c</w:t>
            </w:r>
          </w:p>
        </w:tc>
        <w:tc>
          <w:tcPr>
            <w:tcW w:w="6325" w:type="dxa"/>
            <w:noWrap/>
          </w:tcPr>
          <w:p w14:paraId="14E28648" w14:textId="77777777" w:rsidR="00D4212C" w:rsidRPr="007F689A" w:rsidRDefault="00D4212C" w:rsidP="004A4900">
            <w:pPr>
              <w:spacing w:before="0" w:after="0"/>
              <w:rPr>
                <w:rFonts w:ascii="Arial" w:hAnsi="Arial" w:cs="Arial"/>
                <w:sz w:val="24"/>
                <w:szCs w:val="24"/>
              </w:rPr>
            </w:pPr>
            <w:r w:rsidRPr="003F5A7A">
              <w:rPr>
                <w:rFonts w:ascii="Arial" w:hAnsi="Arial" w:cs="Arial"/>
                <w:sz w:val="24"/>
                <w:szCs w:val="24"/>
              </w:rPr>
              <w:t>The Hub did not establish all appropriate diary dates.</w:t>
            </w:r>
          </w:p>
        </w:tc>
        <w:tc>
          <w:tcPr>
            <w:tcW w:w="1324" w:type="dxa"/>
            <w:vAlign w:val="center"/>
          </w:tcPr>
          <w:p w14:paraId="5146378B" w14:textId="77777777" w:rsidR="00D4212C" w:rsidRPr="003F5A7A"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7F689A" w14:paraId="64FCE01A" w14:textId="77777777" w:rsidTr="00011A4B">
        <w:trPr>
          <w:trHeight w:val="219"/>
          <w:jc w:val="center"/>
        </w:trPr>
        <w:tc>
          <w:tcPr>
            <w:tcW w:w="1703" w:type="dxa"/>
            <w:noWrap/>
          </w:tcPr>
          <w:p w14:paraId="29BD2DB0" w14:textId="77777777" w:rsidR="00D4212C" w:rsidRPr="007F689A" w:rsidRDefault="00D4212C" w:rsidP="004A4900">
            <w:pPr>
              <w:spacing w:before="0" w:after="0"/>
              <w:rPr>
                <w:rFonts w:ascii="Arial" w:hAnsi="Arial" w:cs="Arial"/>
                <w:sz w:val="24"/>
                <w:szCs w:val="24"/>
              </w:rPr>
            </w:pPr>
            <w:r w:rsidRPr="007F689A">
              <w:rPr>
                <w:rFonts w:ascii="Arial" w:hAnsi="Arial" w:cs="Arial"/>
                <w:sz w:val="24"/>
                <w:szCs w:val="24"/>
              </w:rPr>
              <w:t>NFFEQR</w:t>
            </w:r>
            <w:r>
              <w:rPr>
                <w:rFonts w:ascii="Arial" w:hAnsi="Arial" w:cs="Arial"/>
                <w:sz w:val="24"/>
                <w:szCs w:val="24"/>
              </w:rPr>
              <w:t>17d</w:t>
            </w:r>
          </w:p>
        </w:tc>
        <w:tc>
          <w:tcPr>
            <w:tcW w:w="6325" w:type="dxa"/>
            <w:noWrap/>
          </w:tcPr>
          <w:p w14:paraId="598E7601" w14:textId="77777777" w:rsidR="00D4212C" w:rsidRPr="003F5A7A" w:rsidRDefault="00D4212C" w:rsidP="004A4900">
            <w:pPr>
              <w:spacing w:before="0" w:after="0"/>
              <w:rPr>
                <w:rFonts w:ascii="Arial" w:hAnsi="Arial" w:cs="Arial"/>
                <w:sz w:val="24"/>
                <w:szCs w:val="24"/>
              </w:rPr>
            </w:pPr>
            <w:r w:rsidRPr="00221E10">
              <w:rPr>
                <w:rFonts w:ascii="Arial" w:hAnsi="Arial" w:cs="Arial"/>
                <w:sz w:val="24"/>
                <w:szCs w:val="24"/>
              </w:rPr>
              <w:t>The Hub did not establish proper future oversight.</w:t>
            </w:r>
          </w:p>
        </w:tc>
        <w:tc>
          <w:tcPr>
            <w:tcW w:w="1324" w:type="dxa"/>
            <w:vAlign w:val="center"/>
          </w:tcPr>
          <w:p w14:paraId="4951DFA0" w14:textId="77777777" w:rsidR="00D4212C"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7F689A" w14:paraId="7843D25D" w14:textId="77777777" w:rsidTr="00011A4B">
        <w:trPr>
          <w:trHeight w:val="219"/>
          <w:jc w:val="center"/>
        </w:trPr>
        <w:tc>
          <w:tcPr>
            <w:tcW w:w="1703" w:type="dxa"/>
            <w:noWrap/>
          </w:tcPr>
          <w:p w14:paraId="542E43A0" w14:textId="77777777" w:rsidR="00D4212C" w:rsidRPr="007F689A" w:rsidRDefault="00D4212C" w:rsidP="004A4900">
            <w:pPr>
              <w:spacing w:before="0" w:after="0"/>
              <w:rPr>
                <w:rFonts w:ascii="Arial" w:hAnsi="Arial" w:cs="Arial"/>
                <w:sz w:val="24"/>
                <w:szCs w:val="24"/>
              </w:rPr>
            </w:pPr>
            <w:r w:rsidRPr="007F689A">
              <w:rPr>
                <w:rFonts w:ascii="Arial" w:hAnsi="Arial" w:cs="Arial"/>
                <w:sz w:val="24"/>
                <w:szCs w:val="24"/>
              </w:rPr>
              <w:t>NFFEQR</w:t>
            </w:r>
            <w:r>
              <w:rPr>
                <w:rFonts w:ascii="Arial" w:hAnsi="Arial" w:cs="Arial"/>
                <w:sz w:val="24"/>
                <w:szCs w:val="24"/>
              </w:rPr>
              <w:t>17e</w:t>
            </w:r>
          </w:p>
        </w:tc>
        <w:tc>
          <w:tcPr>
            <w:tcW w:w="6325" w:type="dxa"/>
            <w:noWrap/>
          </w:tcPr>
          <w:p w14:paraId="0DE52679" w14:textId="77777777" w:rsidR="00D4212C" w:rsidRPr="007F689A" w:rsidRDefault="00D4212C" w:rsidP="004A4900">
            <w:pPr>
              <w:spacing w:before="0" w:after="0"/>
              <w:rPr>
                <w:rFonts w:ascii="Arial" w:hAnsi="Arial" w:cs="Arial"/>
                <w:sz w:val="24"/>
                <w:szCs w:val="24"/>
              </w:rPr>
            </w:pPr>
            <w:r w:rsidRPr="003F5A7A">
              <w:rPr>
                <w:rFonts w:ascii="Arial" w:hAnsi="Arial" w:cs="Arial"/>
                <w:sz w:val="24"/>
                <w:szCs w:val="24"/>
              </w:rPr>
              <w:t>All documentation was not complete and uploaded to the eFolder.</w:t>
            </w:r>
          </w:p>
        </w:tc>
        <w:tc>
          <w:tcPr>
            <w:tcW w:w="1324" w:type="dxa"/>
            <w:vAlign w:val="center"/>
          </w:tcPr>
          <w:p w14:paraId="2B019F2A" w14:textId="77777777" w:rsidR="00D4212C" w:rsidRPr="003F5A7A" w:rsidRDefault="00D4212C" w:rsidP="004A4900">
            <w:pPr>
              <w:spacing w:before="0" w:after="0"/>
              <w:jc w:val="center"/>
              <w:rPr>
                <w:rFonts w:ascii="Arial" w:hAnsi="Arial" w:cs="Arial"/>
                <w:sz w:val="24"/>
                <w:szCs w:val="24"/>
              </w:rPr>
            </w:pPr>
            <w:r>
              <w:rPr>
                <w:rFonts w:ascii="Arial" w:hAnsi="Arial" w:cs="Arial"/>
                <w:sz w:val="24"/>
                <w:szCs w:val="24"/>
              </w:rPr>
              <w:t>2</w:t>
            </w:r>
          </w:p>
        </w:tc>
      </w:tr>
    </w:tbl>
    <w:p w14:paraId="5CEA3E42" w14:textId="77777777" w:rsidR="00D4212C" w:rsidRDefault="00D4212C" w:rsidP="004A4900">
      <w:pPr>
        <w:spacing w:before="0" w:after="0"/>
        <w:rPr>
          <w:rFonts w:ascii="Arial" w:hAnsi="Arial" w:cs="Arial"/>
          <w:sz w:val="24"/>
          <w:szCs w:val="24"/>
        </w:rPr>
      </w:pPr>
    </w:p>
    <w:p w14:paraId="21634936" w14:textId="77777777" w:rsidR="00D4212C" w:rsidRDefault="00D4212C" w:rsidP="004A4900">
      <w:pPr>
        <w:spacing w:before="0" w:after="0"/>
        <w:rPr>
          <w:rFonts w:ascii="Arial" w:hAnsi="Arial" w:cs="Arial"/>
          <w:b/>
          <w:bCs/>
          <w:sz w:val="24"/>
          <w:szCs w:val="24"/>
        </w:rPr>
      </w:pPr>
      <w:r w:rsidRPr="00A54CC0">
        <w:rPr>
          <w:rFonts w:ascii="Arial" w:hAnsi="Arial" w:cs="Arial"/>
          <w:b/>
          <w:bCs/>
          <w:sz w:val="24"/>
          <w:szCs w:val="24"/>
        </w:rPr>
        <w:t>Accounting</w:t>
      </w:r>
    </w:p>
    <w:p w14:paraId="78FC7148" w14:textId="77777777" w:rsidR="00D4212C" w:rsidRPr="00A54CC0" w:rsidRDefault="00D4212C" w:rsidP="004A4900">
      <w:pPr>
        <w:spacing w:before="0" w:after="0"/>
        <w:rPr>
          <w:rFonts w:ascii="Arial" w:hAnsi="Arial" w:cs="Arial"/>
          <w:b/>
          <w:bCs/>
          <w:sz w:val="24"/>
          <w:szCs w:val="24"/>
        </w:rPr>
      </w:pPr>
    </w:p>
    <w:p w14:paraId="0792E11A" w14:textId="75461FDB" w:rsidR="00D4212C" w:rsidRDefault="00D4212C" w:rsidP="004A4900">
      <w:pPr>
        <w:spacing w:before="0" w:after="0"/>
        <w:rPr>
          <w:rFonts w:ascii="Arial" w:hAnsi="Arial" w:cs="Arial"/>
          <w:sz w:val="24"/>
          <w:szCs w:val="24"/>
        </w:rPr>
      </w:pPr>
      <w:r w:rsidRPr="00502DE6">
        <w:rPr>
          <w:rFonts w:ascii="Arial" w:hAnsi="Arial" w:cs="Arial"/>
          <w:sz w:val="24"/>
          <w:szCs w:val="24"/>
        </w:rPr>
        <w:t>The most common critical error</w:t>
      </w:r>
      <w:r>
        <w:rPr>
          <w:rFonts w:ascii="Arial" w:hAnsi="Arial" w:cs="Arial"/>
          <w:sz w:val="24"/>
          <w:szCs w:val="24"/>
        </w:rPr>
        <w:t xml:space="preserve">s cited </w:t>
      </w:r>
      <w:r w:rsidRPr="00502DE6">
        <w:rPr>
          <w:rFonts w:ascii="Arial" w:hAnsi="Arial" w:cs="Arial"/>
          <w:sz w:val="24"/>
          <w:szCs w:val="24"/>
        </w:rPr>
        <w:t xml:space="preserve">during the review period </w:t>
      </w:r>
      <w:r>
        <w:rPr>
          <w:rFonts w:ascii="Arial" w:hAnsi="Arial" w:cs="Arial"/>
          <w:sz w:val="24"/>
          <w:szCs w:val="24"/>
        </w:rPr>
        <w:t xml:space="preserve">resulted from </w:t>
      </w:r>
      <w:r w:rsidRPr="00823BBD">
        <w:rPr>
          <w:rFonts w:ascii="Arial" w:hAnsi="Arial" w:cs="Arial"/>
          <w:sz w:val="24"/>
          <w:szCs w:val="24"/>
        </w:rPr>
        <w:t>excessive and/or unauthorized fees not reimbursed to the beneficiary prior to accounting approval</w:t>
      </w:r>
      <w:r>
        <w:rPr>
          <w:rFonts w:ascii="Arial" w:hAnsi="Arial" w:cs="Arial"/>
          <w:sz w:val="24"/>
          <w:szCs w:val="24"/>
        </w:rPr>
        <w:t>,</w:t>
      </w:r>
      <w:r w:rsidRPr="00823BBD">
        <w:rPr>
          <w:rFonts w:ascii="Arial" w:hAnsi="Arial" w:cs="Arial"/>
          <w:sz w:val="24"/>
          <w:szCs w:val="24"/>
        </w:rPr>
        <w:t xml:space="preserve"> </w:t>
      </w:r>
      <w:r>
        <w:rPr>
          <w:rFonts w:ascii="Arial" w:hAnsi="Arial" w:cs="Arial"/>
          <w:sz w:val="24"/>
          <w:szCs w:val="24"/>
        </w:rPr>
        <w:t>missing accounting forms</w:t>
      </w:r>
      <w:r w:rsidR="00011A4B">
        <w:rPr>
          <w:rFonts w:ascii="Arial" w:hAnsi="Arial" w:cs="Arial"/>
          <w:sz w:val="24"/>
          <w:szCs w:val="24"/>
        </w:rPr>
        <w:t xml:space="preserve"> and</w:t>
      </w:r>
      <w:r>
        <w:rPr>
          <w:rFonts w:ascii="Arial" w:hAnsi="Arial" w:cs="Arial"/>
          <w:sz w:val="24"/>
          <w:szCs w:val="24"/>
        </w:rPr>
        <w:t xml:space="preserve"> financial statements, and </w:t>
      </w:r>
      <w:r w:rsidRPr="00502DE6">
        <w:rPr>
          <w:rFonts w:ascii="Arial" w:hAnsi="Arial" w:cs="Arial"/>
          <w:sz w:val="24"/>
          <w:szCs w:val="24"/>
        </w:rPr>
        <w:t xml:space="preserve">the </w:t>
      </w:r>
      <w:r w:rsidRPr="00823BBD">
        <w:rPr>
          <w:rFonts w:ascii="Arial" w:hAnsi="Arial" w:cs="Arial"/>
          <w:sz w:val="24"/>
          <w:szCs w:val="24"/>
        </w:rPr>
        <w:t xml:space="preserve">accounting </w:t>
      </w:r>
      <w:r w:rsidR="00011A4B">
        <w:rPr>
          <w:rFonts w:ascii="Arial" w:hAnsi="Arial" w:cs="Arial"/>
          <w:sz w:val="24"/>
          <w:szCs w:val="24"/>
        </w:rPr>
        <w:t>being</w:t>
      </w:r>
      <w:r w:rsidR="00011A4B" w:rsidRPr="00823BBD">
        <w:rPr>
          <w:rFonts w:ascii="Arial" w:hAnsi="Arial" w:cs="Arial"/>
          <w:sz w:val="24"/>
          <w:szCs w:val="24"/>
        </w:rPr>
        <w:t xml:space="preserve"> </w:t>
      </w:r>
      <w:r w:rsidRPr="00823BBD">
        <w:rPr>
          <w:rFonts w:ascii="Arial" w:hAnsi="Arial" w:cs="Arial"/>
          <w:sz w:val="24"/>
          <w:szCs w:val="24"/>
        </w:rPr>
        <w:t>approved with outstanding corrections due by the fiduciary.</w:t>
      </w:r>
      <w:r>
        <w:rPr>
          <w:rFonts w:ascii="Arial" w:hAnsi="Arial" w:cs="Arial"/>
          <w:sz w:val="24"/>
          <w:szCs w:val="24"/>
        </w:rPr>
        <w:t xml:space="preserve"> The following chart outlines the number of instances for each accounting error:  </w:t>
      </w:r>
    </w:p>
    <w:p w14:paraId="28D2655C" w14:textId="77777777" w:rsidR="00D4212C" w:rsidRPr="007F689A" w:rsidRDefault="00D4212C" w:rsidP="004A4900">
      <w:pPr>
        <w:spacing w:before="0" w:after="0"/>
        <w:rPr>
          <w:rFonts w:ascii="Arial" w:hAnsi="Arial" w:cs="Arial"/>
          <w:sz w:val="24"/>
          <w:szCs w:val="24"/>
        </w:rPr>
      </w:pPr>
    </w:p>
    <w:tbl>
      <w:tblPr>
        <w:tblStyle w:val="TableGrid"/>
        <w:tblW w:w="0" w:type="auto"/>
        <w:tblLook w:val="04A0" w:firstRow="1" w:lastRow="0" w:firstColumn="1" w:lastColumn="0" w:noHBand="0" w:noVBand="1"/>
      </w:tblPr>
      <w:tblGrid>
        <w:gridCol w:w="1615"/>
        <w:gridCol w:w="7200"/>
        <w:gridCol w:w="1324"/>
      </w:tblGrid>
      <w:tr w:rsidR="00D4212C" w:rsidRPr="00A54CC0" w14:paraId="3D8BB662" w14:textId="77777777" w:rsidTr="006B10FA">
        <w:tc>
          <w:tcPr>
            <w:tcW w:w="1615" w:type="dxa"/>
          </w:tcPr>
          <w:p w14:paraId="2A8735C4" w14:textId="77777777" w:rsidR="00D4212C" w:rsidRPr="00A54CC0" w:rsidRDefault="00D4212C" w:rsidP="004A4900">
            <w:pPr>
              <w:spacing w:before="0" w:after="0"/>
              <w:jc w:val="center"/>
              <w:rPr>
                <w:rFonts w:ascii="Arial" w:hAnsi="Arial" w:cs="Arial"/>
                <w:b/>
                <w:bCs/>
                <w:sz w:val="24"/>
                <w:szCs w:val="24"/>
              </w:rPr>
            </w:pPr>
            <w:r w:rsidRPr="00A54CC0">
              <w:rPr>
                <w:rFonts w:ascii="Arial" w:hAnsi="Arial" w:cs="Arial"/>
                <w:b/>
                <w:bCs/>
                <w:sz w:val="24"/>
                <w:szCs w:val="24"/>
              </w:rPr>
              <w:t>Error Title</w:t>
            </w:r>
          </w:p>
        </w:tc>
        <w:tc>
          <w:tcPr>
            <w:tcW w:w="7200" w:type="dxa"/>
          </w:tcPr>
          <w:p w14:paraId="202674A6" w14:textId="77777777" w:rsidR="00D4212C" w:rsidRPr="00A54CC0" w:rsidRDefault="00D4212C" w:rsidP="004A4900">
            <w:pPr>
              <w:spacing w:before="0" w:after="0"/>
              <w:jc w:val="center"/>
              <w:rPr>
                <w:rFonts w:ascii="Arial" w:hAnsi="Arial" w:cs="Arial"/>
                <w:b/>
                <w:bCs/>
                <w:sz w:val="24"/>
                <w:szCs w:val="24"/>
              </w:rPr>
            </w:pPr>
            <w:r w:rsidRPr="00A54CC0">
              <w:rPr>
                <w:rFonts w:ascii="Arial" w:hAnsi="Arial" w:cs="Arial"/>
                <w:b/>
                <w:bCs/>
                <w:sz w:val="24"/>
                <w:szCs w:val="24"/>
              </w:rPr>
              <w:t>Error Description</w:t>
            </w:r>
          </w:p>
        </w:tc>
        <w:tc>
          <w:tcPr>
            <w:tcW w:w="1255" w:type="dxa"/>
          </w:tcPr>
          <w:p w14:paraId="7E55D2FA" w14:textId="77777777" w:rsidR="00D4212C" w:rsidRPr="00A54CC0" w:rsidRDefault="00D4212C" w:rsidP="004A4900">
            <w:pPr>
              <w:spacing w:before="0" w:after="0"/>
              <w:jc w:val="center"/>
              <w:rPr>
                <w:rFonts w:ascii="Arial" w:hAnsi="Arial" w:cs="Arial"/>
                <w:b/>
                <w:bCs/>
                <w:sz w:val="24"/>
                <w:szCs w:val="24"/>
              </w:rPr>
            </w:pPr>
            <w:r w:rsidRPr="00A54CC0">
              <w:rPr>
                <w:rFonts w:ascii="Arial" w:hAnsi="Arial" w:cs="Arial"/>
                <w:b/>
                <w:bCs/>
                <w:sz w:val="24"/>
                <w:szCs w:val="24"/>
              </w:rPr>
              <w:t>Instances</w:t>
            </w:r>
          </w:p>
        </w:tc>
      </w:tr>
      <w:tr w:rsidR="00D4212C" w:rsidRPr="00197ACA" w14:paraId="23EB2867" w14:textId="77777777" w:rsidTr="006B10FA">
        <w:tc>
          <w:tcPr>
            <w:tcW w:w="1615" w:type="dxa"/>
            <w:vAlign w:val="center"/>
          </w:tcPr>
          <w:p w14:paraId="33E0A74B"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w:t>
            </w:r>
            <w:r>
              <w:rPr>
                <w:rFonts w:ascii="Arial" w:hAnsi="Arial" w:cs="Arial"/>
                <w:sz w:val="24"/>
                <w:szCs w:val="24"/>
              </w:rPr>
              <w:t>2b (Critical)</w:t>
            </w:r>
          </w:p>
        </w:tc>
        <w:tc>
          <w:tcPr>
            <w:tcW w:w="7200" w:type="dxa"/>
          </w:tcPr>
          <w:p w14:paraId="4C7EABFB" w14:textId="77777777" w:rsidR="00D4212C" w:rsidRPr="00E37579" w:rsidRDefault="00D4212C" w:rsidP="004A4900">
            <w:pPr>
              <w:spacing w:before="0" w:after="0"/>
              <w:rPr>
                <w:rFonts w:ascii="Arial" w:hAnsi="Arial" w:cs="Arial"/>
                <w:sz w:val="24"/>
                <w:szCs w:val="24"/>
              </w:rPr>
            </w:pPr>
            <w:r w:rsidRPr="006B1BE9">
              <w:rPr>
                <w:rFonts w:ascii="Arial" w:hAnsi="Arial" w:cs="Arial"/>
                <w:sz w:val="24"/>
                <w:szCs w:val="24"/>
              </w:rPr>
              <w:t>All known financial accounts and funds under management were not verified.</w:t>
            </w:r>
          </w:p>
        </w:tc>
        <w:tc>
          <w:tcPr>
            <w:tcW w:w="1255" w:type="dxa"/>
            <w:vAlign w:val="center"/>
          </w:tcPr>
          <w:p w14:paraId="32989DD1"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197ACA" w14:paraId="2A6A6ED5" w14:textId="77777777" w:rsidTr="006B10FA">
        <w:tc>
          <w:tcPr>
            <w:tcW w:w="1615" w:type="dxa"/>
            <w:vAlign w:val="center"/>
          </w:tcPr>
          <w:p w14:paraId="0F79CA38"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NFAQR3c</w:t>
            </w:r>
          </w:p>
        </w:tc>
        <w:tc>
          <w:tcPr>
            <w:tcW w:w="7200" w:type="dxa"/>
          </w:tcPr>
          <w:p w14:paraId="4E4F6ECE"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Hub did not notify all the next of kin (NOK) with the fiduciary’s contact information.</w:t>
            </w:r>
          </w:p>
        </w:tc>
        <w:tc>
          <w:tcPr>
            <w:tcW w:w="1255" w:type="dxa"/>
            <w:vAlign w:val="center"/>
          </w:tcPr>
          <w:p w14:paraId="585AB1F8"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197ACA" w14:paraId="59C0370C" w14:textId="77777777" w:rsidTr="006B10FA">
        <w:tc>
          <w:tcPr>
            <w:tcW w:w="1615" w:type="dxa"/>
            <w:vAlign w:val="center"/>
          </w:tcPr>
          <w:p w14:paraId="502A9EE5"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NFAQR3d</w:t>
            </w:r>
          </w:p>
        </w:tc>
        <w:tc>
          <w:tcPr>
            <w:tcW w:w="7200" w:type="dxa"/>
          </w:tcPr>
          <w:p w14:paraId="0E1E95E7"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Hub did not remove the requirement to provide the beneficiary a copy of the accounting approval notification letter.</w:t>
            </w:r>
          </w:p>
        </w:tc>
        <w:tc>
          <w:tcPr>
            <w:tcW w:w="1255" w:type="dxa"/>
            <w:vAlign w:val="center"/>
          </w:tcPr>
          <w:p w14:paraId="4669892C"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197ACA" w14:paraId="5C127C11" w14:textId="77777777" w:rsidTr="006B10FA">
        <w:tc>
          <w:tcPr>
            <w:tcW w:w="1615" w:type="dxa"/>
            <w:vAlign w:val="center"/>
          </w:tcPr>
          <w:p w14:paraId="3E0CADF0"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NFAQR4</w:t>
            </w:r>
            <w:r>
              <w:rPr>
                <w:rFonts w:ascii="Arial" w:hAnsi="Arial" w:cs="Arial"/>
                <w:sz w:val="24"/>
                <w:szCs w:val="24"/>
              </w:rPr>
              <w:t>b</w:t>
            </w:r>
          </w:p>
        </w:tc>
        <w:tc>
          <w:tcPr>
            <w:tcW w:w="7200" w:type="dxa"/>
          </w:tcPr>
          <w:p w14:paraId="07799D38" w14:textId="77777777" w:rsidR="00D4212C" w:rsidRPr="00E37579" w:rsidRDefault="00D4212C" w:rsidP="004A4900">
            <w:pPr>
              <w:spacing w:before="0" w:after="0"/>
              <w:rPr>
                <w:rFonts w:ascii="Arial" w:hAnsi="Arial" w:cs="Arial"/>
                <w:sz w:val="24"/>
                <w:szCs w:val="24"/>
              </w:rPr>
            </w:pPr>
            <w:r w:rsidRPr="006B1BE9">
              <w:rPr>
                <w:rFonts w:ascii="Arial" w:hAnsi="Arial" w:cs="Arial"/>
                <w:sz w:val="24"/>
                <w:szCs w:val="24"/>
              </w:rPr>
              <w:t>The accounting starting balance is not correct.</w:t>
            </w:r>
          </w:p>
        </w:tc>
        <w:tc>
          <w:tcPr>
            <w:tcW w:w="1255" w:type="dxa"/>
            <w:vAlign w:val="center"/>
          </w:tcPr>
          <w:p w14:paraId="5F911654"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2</w:t>
            </w:r>
          </w:p>
        </w:tc>
      </w:tr>
      <w:tr w:rsidR="00D4212C" w:rsidRPr="00197ACA" w14:paraId="73A0F884" w14:textId="77777777" w:rsidTr="006B10FA">
        <w:tc>
          <w:tcPr>
            <w:tcW w:w="1615" w:type="dxa"/>
            <w:vAlign w:val="center"/>
          </w:tcPr>
          <w:p w14:paraId="4C2E7310"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NFAQR4c</w:t>
            </w:r>
          </w:p>
        </w:tc>
        <w:tc>
          <w:tcPr>
            <w:tcW w:w="7200" w:type="dxa"/>
          </w:tcPr>
          <w:p w14:paraId="2D011351"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Unusual or inappropriate expenses were not appropriately clarified and or documented in the notes section in the accounting audit tool.</w:t>
            </w:r>
          </w:p>
        </w:tc>
        <w:tc>
          <w:tcPr>
            <w:tcW w:w="1255" w:type="dxa"/>
            <w:vAlign w:val="center"/>
          </w:tcPr>
          <w:p w14:paraId="1D4ED07C"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5</w:t>
            </w:r>
          </w:p>
        </w:tc>
      </w:tr>
      <w:tr w:rsidR="00D4212C" w:rsidRPr="00E37579" w14:paraId="1E10AE17" w14:textId="77777777" w:rsidTr="006B10FA">
        <w:tc>
          <w:tcPr>
            <w:tcW w:w="1615" w:type="dxa"/>
            <w:vAlign w:val="center"/>
          </w:tcPr>
          <w:p w14:paraId="016AC722"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NFAQR8a (Critical)</w:t>
            </w:r>
          </w:p>
        </w:tc>
        <w:tc>
          <w:tcPr>
            <w:tcW w:w="7200" w:type="dxa"/>
          </w:tcPr>
          <w:p w14:paraId="78661B78"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excessive and/or unauthorized fees were not reimbursed to the beneficiary’s funds under management prior to accounting approval.</w:t>
            </w:r>
          </w:p>
        </w:tc>
        <w:tc>
          <w:tcPr>
            <w:tcW w:w="1255" w:type="dxa"/>
            <w:vAlign w:val="center"/>
          </w:tcPr>
          <w:p w14:paraId="0038CCAD"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2</w:t>
            </w:r>
          </w:p>
        </w:tc>
      </w:tr>
      <w:tr w:rsidR="00D4212C" w:rsidRPr="00E37579" w14:paraId="2D1311DC" w14:textId="77777777" w:rsidTr="006B10FA">
        <w:tc>
          <w:tcPr>
            <w:tcW w:w="1615" w:type="dxa"/>
            <w:vAlign w:val="center"/>
          </w:tcPr>
          <w:p w14:paraId="00F36667"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NFAQR9a (Critical)</w:t>
            </w:r>
          </w:p>
        </w:tc>
        <w:tc>
          <w:tcPr>
            <w:tcW w:w="7200" w:type="dxa"/>
          </w:tcPr>
          <w:p w14:paraId="14AC2834"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fiduciary did not meet all appropriate financial account requirements.</w:t>
            </w:r>
          </w:p>
        </w:tc>
        <w:tc>
          <w:tcPr>
            <w:tcW w:w="1255" w:type="dxa"/>
            <w:vAlign w:val="center"/>
          </w:tcPr>
          <w:p w14:paraId="2B8F21DE"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E37579" w14:paraId="2F625FEB" w14:textId="77777777" w:rsidTr="006B10FA">
        <w:tc>
          <w:tcPr>
            <w:tcW w:w="1615" w:type="dxa"/>
            <w:vAlign w:val="center"/>
          </w:tcPr>
          <w:p w14:paraId="4FA0FCB3"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w:t>
            </w:r>
            <w:r>
              <w:rPr>
                <w:rFonts w:ascii="Arial" w:hAnsi="Arial" w:cs="Arial"/>
                <w:sz w:val="24"/>
                <w:szCs w:val="24"/>
              </w:rPr>
              <w:t>1b (Critical)</w:t>
            </w:r>
          </w:p>
        </w:tc>
        <w:tc>
          <w:tcPr>
            <w:tcW w:w="7200" w:type="dxa"/>
          </w:tcPr>
          <w:p w14:paraId="6E0B4411" w14:textId="77777777" w:rsidR="00D4212C" w:rsidRPr="00E37579" w:rsidRDefault="00D4212C" w:rsidP="004A4900">
            <w:pPr>
              <w:spacing w:before="0" w:after="0"/>
              <w:rPr>
                <w:rFonts w:ascii="Arial" w:hAnsi="Arial" w:cs="Arial"/>
                <w:sz w:val="24"/>
                <w:szCs w:val="24"/>
              </w:rPr>
            </w:pPr>
            <w:r w:rsidRPr="006B1BE9">
              <w:rPr>
                <w:rFonts w:ascii="Arial" w:hAnsi="Arial" w:cs="Arial"/>
                <w:sz w:val="24"/>
                <w:szCs w:val="24"/>
              </w:rPr>
              <w:t>The Bond section in the Accounting Audit Tool was not completed to indicate verification of a new or an existing surety bond.</w:t>
            </w:r>
          </w:p>
        </w:tc>
        <w:tc>
          <w:tcPr>
            <w:tcW w:w="1255" w:type="dxa"/>
            <w:vAlign w:val="center"/>
          </w:tcPr>
          <w:p w14:paraId="413F2B06"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E37579" w14:paraId="0E8BDD15" w14:textId="77777777" w:rsidTr="006B10FA">
        <w:tc>
          <w:tcPr>
            <w:tcW w:w="1615" w:type="dxa"/>
            <w:vAlign w:val="center"/>
          </w:tcPr>
          <w:p w14:paraId="6C0692EF"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NFAQR13a (Critical)</w:t>
            </w:r>
          </w:p>
        </w:tc>
        <w:tc>
          <w:tcPr>
            <w:tcW w:w="7200" w:type="dxa"/>
          </w:tcPr>
          <w:p w14:paraId="533FCF7D"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accounting was approved without receipt of a complete VA Form 21P-4706b, 21P-4706c and/or financial statements for the entire accounting period.</w:t>
            </w:r>
          </w:p>
        </w:tc>
        <w:tc>
          <w:tcPr>
            <w:tcW w:w="1255" w:type="dxa"/>
            <w:vAlign w:val="center"/>
          </w:tcPr>
          <w:p w14:paraId="5207C135"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3</w:t>
            </w:r>
          </w:p>
        </w:tc>
      </w:tr>
      <w:tr w:rsidR="00D4212C" w:rsidRPr="00E37579" w14:paraId="4B92C70C" w14:textId="77777777" w:rsidTr="006B10FA">
        <w:tc>
          <w:tcPr>
            <w:tcW w:w="1615" w:type="dxa"/>
            <w:vAlign w:val="center"/>
          </w:tcPr>
          <w:p w14:paraId="26AD2567"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NFAQR13b (Critical)</w:t>
            </w:r>
          </w:p>
        </w:tc>
        <w:tc>
          <w:tcPr>
            <w:tcW w:w="7200" w:type="dxa"/>
          </w:tcPr>
          <w:p w14:paraId="5B80B1CA"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 xml:space="preserve"> A credit report has not been obtained and reviewed, if applicable.</w:t>
            </w:r>
          </w:p>
        </w:tc>
        <w:tc>
          <w:tcPr>
            <w:tcW w:w="1255" w:type="dxa"/>
            <w:vAlign w:val="center"/>
          </w:tcPr>
          <w:p w14:paraId="73317642"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E37579" w14:paraId="3ADC073D" w14:textId="77777777" w:rsidTr="006B10FA">
        <w:tc>
          <w:tcPr>
            <w:tcW w:w="1615" w:type="dxa"/>
            <w:vAlign w:val="center"/>
          </w:tcPr>
          <w:p w14:paraId="58EB07FA"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NFAQR13d (Critical)</w:t>
            </w:r>
          </w:p>
        </w:tc>
        <w:tc>
          <w:tcPr>
            <w:tcW w:w="7200" w:type="dxa"/>
          </w:tcPr>
          <w:p w14:paraId="4B9DDBE2"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financial accounts are not properly titled.</w:t>
            </w:r>
          </w:p>
        </w:tc>
        <w:tc>
          <w:tcPr>
            <w:tcW w:w="1255" w:type="dxa"/>
            <w:vAlign w:val="center"/>
          </w:tcPr>
          <w:p w14:paraId="020953AF"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E37579" w14:paraId="4B3308A5" w14:textId="77777777" w:rsidTr="006B10FA">
        <w:tc>
          <w:tcPr>
            <w:tcW w:w="1615" w:type="dxa"/>
            <w:vAlign w:val="center"/>
          </w:tcPr>
          <w:p w14:paraId="260E7E83"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NFAQR13</w:t>
            </w:r>
            <w:r>
              <w:rPr>
                <w:rFonts w:ascii="Arial" w:hAnsi="Arial" w:cs="Arial"/>
                <w:sz w:val="24"/>
                <w:szCs w:val="24"/>
              </w:rPr>
              <w:t>e (Critical)</w:t>
            </w:r>
          </w:p>
        </w:tc>
        <w:tc>
          <w:tcPr>
            <w:tcW w:w="7200" w:type="dxa"/>
          </w:tcPr>
          <w:p w14:paraId="15183FC9" w14:textId="77777777" w:rsidR="00D4212C" w:rsidRPr="00E37579" w:rsidRDefault="00D4212C" w:rsidP="004A4900">
            <w:pPr>
              <w:spacing w:before="0" w:after="0"/>
              <w:rPr>
                <w:rFonts w:ascii="Arial" w:hAnsi="Arial" w:cs="Arial"/>
                <w:sz w:val="24"/>
                <w:szCs w:val="24"/>
              </w:rPr>
            </w:pPr>
            <w:r w:rsidRPr="006B1BE9">
              <w:rPr>
                <w:rFonts w:ascii="Arial" w:hAnsi="Arial" w:cs="Arial"/>
                <w:sz w:val="24"/>
                <w:szCs w:val="24"/>
              </w:rPr>
              <w:t>The accounting was approved with outstanding corrections due by the fiduciary.</w:t>
            </w:r>
          </w:p>
        </w:tc>
        <w:tc>
          <w:tcPr>
            <w:tcW w:w="1255" w:type="dxa"/>
            <w:vAlign w:val="center"/>
          </w:tcPr>
          <w:p w14:paraId="5E53AD7A"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2</w:t>
            </w:r>
          </w:p>
        </w:tc>
      </w:tr>
      <w:tr w:rsidR="00D4212C" w:rsidRPr="00197ACA" w14:paraId="02BB2877" w14:textId="77777777" w:rsidTr="006B10FA">
        <w:tc>
          <w:tcPr>
            <w:tcW w:w="1615" w:type="dxa"/>
            <w:vAlign w:val="center"/>
          </w:tcPr>
          <w:p w14:paraId="7FDF8E49"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NFAQR14b</w:t>
            </w:r>
          </w:p>
        </w:tc>
        <w:tc>
          <w:tcPr>
            <w:tcW w:w="7200" w:type="dxa"/>
          </w:tcPr>
          <w:p w14:paraId="3E627963"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A detailed explanation of any resolved discrepancies was not noted in the NOTES section of the Accounting Audit Tool prior to approval.</w:t>
            </w:r>
          </w:p>
        </w:tc>
        <w:tc>
          <w:tcPr>
            <w:tcW w:w="1255" w:type="dxa"/>
            <w:vAlign w:val="center"/>
          </w:tcPr>
          <w:p w14:paraId="62D78FF9"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3</w:t>
            </w:r>
          </w:p>
        </w:tc>
      </w:tr>
      <w:tr w:rsidR="00D4212C" w:rsidRPr="00197ACA" w14:paraId="7270A005" w14:textId="77777777" w:rsidTr="006B10FA">
        <w:tc>
          <w:tcPr>
            <w:tcW w:w="1615" w:type="dxa"/>
            <w:vAlign w:val="center"/>
          </w:tcPr>
          <w:p w14:paraId="610C0B03"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NFAQR20c</w:t>
            </w:r>
            <w:r>
              <w:rPr>
                <w:rFonts w:ascii="Arial" w:hAnsi="Arial" w:cs="Arial"/>
                <w:sz w:val="24"/>
                <w:szCs w:val="24"/>
              </w:rPr>
              <w:t xml:space="preserve"> (Critical)</w:t>
            </w:r>
          </w:p>
        </w:tc>
        <w:tc>
          <w:tcPr>
            <w:tcW w:w="7200" w:type="dxa"/>
          </w:tcPr>
          <w:p w14:paraId="260F4B42"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Hub did not make telephone contact with the fiduciary when the FUR was past due.</w:t>
            </w:r>
          </w:p>
        </w:tc>
        <w:tc>
          <w:tcPr>
            <w:tcW w:w="1255" w:type="dxa"/>
            <w:vAlign w:val="center"/>
          </w:tcPr>
          <w:p w14:paraId="33C6F34D"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E37579" w14:paraId="471D2128" w14:textId="77777777" w:rsidTr="006B10FA">
        <w:tc>
          <w:tcPr>
            <w:tcW w:w="1615" w:type="dxa"/>
            <w:vAlign w:val="center"/>
          </w:tcPr>
          <w:p w14:paraId="65B7D1DB"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lastRenderedPageBreak/>
              <w:t>NFAQR21c (Critical)</w:t>
            </w:r>
          </w:p>
        </w:tc>
        <w:tc>
          <w:tcPr>
            <w:tcW w:w="7200" w:type="dxa"/>
          </w:tcPr>
          <w:p w14:paraId="57FAAA14"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Hub did not follow the guidance to request additional or corrected FUR information.</w:t>
            </w:r>
          </w:p>
        </w:tc>
        <w:tc>
          <w:tcPr>
            <w:tcW w:w="1255" w:type="dxa"/>
            <w:vAlign w:val="center"/>
          </w:tcPr>
          <w:p w14:paraId="465BB435"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r w:rsidR="00D4212C" w:rsidRPr="00197ACA" w14:paraId="4B3DEEA8" w14:textId="77777777" w:rsidTr="006B10FA">
        <w:tc>
          <w:tcPr>
            <w:tcW w:w="1615" w:type="dxa"/>
            <w:vAlign w:val="center"/>
          </w:tcPr>
          <w:p w14:paraId="438DD572"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NFAQR22a</w:t>
            </w:r>
          </w:p>
        </w:tc>
        <w:tc>
          <w:tcPr>
            <w:tcW w:w="7200" w:type="dxa"/>
          </w:tcPr>
          <w:p w14:paraId="33424F0E"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Required tasks were not established and/or updated.</w:t>
            </w:r>
          </w:p>
        </w:tc>
        <w:tc>
          <w:tcPr>
            <w:tcW w:w="1255" w:type="dxa"/>
            <w:vAlign w:val="center"/>
          </w:tcPr>
          <w:p w14:paraId="11DFA15C"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6</w:t>
            </w:r>
          </w:p>
        </w:tc>
      </w:tr>
      <w:tr w:rsidR="00D4212C" w:rsidRPr="00197ACA" w14:paraId="5AFAAC45" w14:textId="77777777" w:rsidTr="006B10FA">
        <w:tc>
          <w:tcPr>
            <w:tcW w:w="1615" w:type="dxa"/>
            <w:vAlign w:val="center"/>
          </w:tcPr>
          <w:p w14:paraId="21F991A1"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NFAQR22b</w:t>
            </w:r>
          </w:p>
        </w:tc>
        <w:tc>
          <w:tcPr>
            <w:tcW w:w="7200" w:type="dxa"/>
          </w:tcPr>
          <w:p w14:paraId="7E5484DB"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Required documents were not upload to the VBMS eFolder.</w:t>
            </w:r>
          </w:p>
        </w:tc>
        <w:tc>
          <w:tcPr>
            <w:tcW w:w="1255" w:type="dxa"/>
            <w:vAlign w:val="center"/>
          </w:tcPr>
          <w:p w14:paraId="0B79CEAE"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4</w:t>
            </w:r>
          </w:p>
        </w:tc>
      </w:tr>
      <w:tr w:rsidR="00D4212C" w:rsidRPr="00197ACA" w14:paraId="0CA80724" w14:textId="77777777" w:rsidTr="006B10FA">
        <w:tc>
          <w:tcPr>
            <w:tcW w:w="1615" w:type="dxa"/>
            <w:vAlign w:val="center"/>
          </w:tcPr>
          <w:p w14:paraId="5DAFC2B5"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NFAQR22c</w:t>
            </w:r>
          </w:p>
        </w:tc>
        <w:tc>
          <w:tcPr>
            <w:tcW w:w="7200" w:type="dxa"/>
          </w:tcPr>
          <w:p w14:paraId="3ACD8C52"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beneficiary and/or fiduciary profile was not properly updated.</w:t>
            </w:r>
          </w:p>
        </w:tc>
        <w:tc>
          <w:tcPr>
            <w:tcW w:w="1255" w:type="dxa"/>
            <w:vAlign w:val="center"/>
          </w:tcPr>
          <w:p w14:paraId="7A8CF536"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6</w:t>
            </w:r>
          </w:p>
        </w:tc>
      </w:tr>
      <w:tr w:rsidR="00D4212C" w:rsidRPr="00197ACA" w14:paraId="31D2D544" w14:textId="77777777" w:rsidTr="006B10FA">
        <w:tc>
          <w:tcPr>
            <w:tcW w:w="1615" w:type="dxa"/>
            <w:vAlign w:val="center"/>
          </w:tcPr>
          <w:p w14:paraId="2526A08F"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NFAQR22d</w:t>
            </w:r>
          </w:p>
        </w:tc>
        <w:tc>
          <w:tcPr>
            <w:tcW w:w="7200" w:type="dxa"/>
          </w:tcPr>
          <w:p w14:paraId="55EA556E"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accounting/fund usage review diary dates were not properly updated in and/or removed from the beneficiary profile.</w:t>
            </w:r>
          </w:p>
        </w:tc>
        <w:tc>
          <w:tcPr>
            <w:tcW w:w="1255" w:type="dxa"/>
            <w:vAlign w:val="center"/>
          </w:tcPr>
          <w:p w14:paraId="19DC41BE"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9</w:t>
            </w:r>
          </w:p>
        </w:tc>
      </w:tr>
      <w:tr w:rsidR="00D4212C" w:rsidRPr="00197ACA" w14:paraId="1D217382" w14:textId="77777777" w:rsidTr="006B10FA">
        <w:tc>
          <w:tcPr>
            <w:tcW w:w="1615" w:type="dxa"/>
            <w:vAlign w:val="center"/>
          </w:tcPr>
          <w:p w14:paraId="004C50DF"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NFAQR22e</w:t>
            </w:r>
          </w:p>
        </w:tc>
        <w:tc>
          <w:tcPr>
            <w:tcW w:w="7200" w:type="dxa"/>
          </w:tcPr>
          <w:p w14:paraId="0AC73336"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The notification letter was not sent and/or did not include all notification letter requirements.</w:t>
            </w:r>
          </w:p>
        </w:tc>
        <w:tc>
          <w:tcPr>
            <w:tcW w:w="1255" w:type="dxa"/>
            <w:vAlign w:val="center"/>
          </w:tcPr>
          <w:p w14:paraId="17045AF0"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5</w:t>
            </w:r>
          </w:p>
        </w:tc>
      </w:tr>
      <w:tr w:rsidR="00D4212C" w:rsidRPr="00197ACA" w14:paraId="044F6224" w14:textId="77777777" w:rsidTr="006B10FA">
        <w:tc>
          <w:tcPr>
            <w:tcW w:w="1615" w:type="dxa"/>
            <w:vAlign w:val="center"/>
          </w:tcPr>
          <w:p w14:paraId="27591403" w14:textId="77777777" w:rsidR="00D4212C" w:rsidRPr="00E37579" w:rsidRDefault="00D4212C" w:rsidP="004A4900">
            <w:pPr>
              <w:spacing w:before="0" w:after="0"/>
              <w:rPr>
                <w:rFonts w:ascii="Arial" w:hAnsi="Arial" w:cs="Arial"/>
                <w:sz w:val="24"/>
                <w:szCs w:val="24"/>
              </w:rPr>
            </w:pPr>
            <w:r w:rsidRPr="00E37579">
              <w:rPr>
                <w:rFonts w:ascii="Arial" w:hAnsi="Arial" w:cs="Arial"/>
                <w:sz w:val="24"/>
                <w:szCs w:val="24"/>
              </w:rPr>
              <w:t>NFAQR22</w:t>
            </w:r>
            <w:r>
              <w:rPr>
                <w:rFonts w:ascii="Arial" w:hAnsi="Arial" w:cs="Arial"/>
                <w:sz w:val="24"/>
                <w:szCs w:val="24"/>
              </w:rPr>
              <w:t>g</w:t>
            </w:r>
          </w:p>
        </w:tc>
        <w:tc>
          <w:tcPr>
            <w:tcW w:w="7200" w:type="dxa"/>
          </w:tcPr>
          <w:p w14:paraId="1F6187C1" w14:textId="77777777" w:rsidR="00D4212C" w:rsidRPr="00E37579" w:rsidRDefault="00D4212C" w:rsidP="004A4900">
            <w:pPr>
              <w:spacing w:before="0" w:after="0"/>
              <w:rPr>
                <w:rFonts w:ascii="Arial" w:hAnsi="Arial" w:cs="Arial"/>
                <w:sz w:val="24"/>
                <w:szCs w:val="24"/>
              </w:rPr>
            </w:pPr>
            <w:r w:rsidRPr="006B1BE9">
              <w:rPr>
                <w:rFonts w:ascii="Arial" w:hAnsi="Arial" w:cs="Arial"/>
                <w:sz w:val="24"/>
                <w:szCs w:val="24"/>
              </w:rPr>
              <w:t>The Accounting Audit Tool was not updated to reflect the accounting approval.</w:t>
            </w:r>
          </w:p>
        </w:tc>
        <w:tc>
          <w:tcPr>
            <w:tcW w:w="1255" w:type="dxa"/>
            <w:vAlign w:val="center"/>
          </w:tcPr>
          <w:p w14:paraId="7BA1ABF9" w14:textId="77777777" w:rsidR="00D4212C" w:rsidRPr="00E37579" w:rsidRDefault="00D4212C" w:rsidP="004A4900">
            <w:pPr>
              <w:spacing w:before="0" w:after="0"/>
              <w:jc w:val="center"/>
              <w:rPr>
                <w:rFonts w:ascii="Arial" w:hAnsi="Arial" w:cs="Arial"/>
                <w:sz w:val="24"/>
                <w:szCs w:val="24"/>
              </w:rPr>
            </w:pPr>
            <w:r>
              <w:rPr>
                <w:rFonts w:ascii="Arial" w:hAnsi="Arial" w:cs="Arial"/>
                <w:sz w:val="24"/>
                <w:szCs w:val="24"/>
              </w:rPr>
              <w:t>1</w:t>
            </w:r>
          </w:p>
        </w:tc>
      </w:tr>
    </w:tbl>
    <w:p w14:paraId="74749F85" w14:textId="77777777" w:rsidR="00D4212C" w:rsidRDefault="00D4212C" w:rsidP="004A4900">
      <w:pPr>
        <w:spacing w:before="0" w:after="0"/>
      </w:pPr>
    </w:p>
    <w:p w14:paraId="3918A41B" w14:textId="77777777" w:rsidR="00D4212C" w:rsidRDefault="00D4212C" w:rsidP="004A4900">
      <w:pPr>
        <w:spacing w:before="0" w:after="0"/>
        <w:rPr>
          <w:rFonts w:ascii="Arial" w:hAnsi="Arial" w:cs="Arial"/>
          <w:sz w:val="24"/>
          <w:szCs w:val="24"/>
        </w:rPr>
      </w:pPr>
      <w:r w:rsidRPr="00A54CC0">
        <w:rPr>
          <w:rFonts w:ascii="Arial" w:hAnsi="Arial" w:cs="Arial"/>
          <w:b/>
          <w:bCs/>
          <w:sz w:val="24"/>
          <w:szCs w:val="24"/>
        </w:rPr>
        <w:t>Note:</w:t>
      </w:r>
      <w:r>
        <w:rPr>
          <w:rFonts w:ascii="Arial" w:hAnsi="Arial" w:cs="Arial"/>
          <w:sz w:val="24"/>
          <w:szCs w:val="24"/>
        </w:rPr>
        <w:t xml:space="preserve"> Prior analysis indicated that low accounting quality was found in both Fund Usage Review (FUR) and Accounting reviews. However, FUR quality has shown significant improvements this review period. </w:t>
      </w:r>
    </w:p>
    <w:p w14:paraId="19EFE7D9" w14:textId="77777777" w:rsidR="00F96A26" w:rsidRPr="00075FC0" w:rsidRDefault="00F96A26" w:rsidP="004A4900">
      <w:pPr>
        <w:spacing w:before="0" w:after="0"/>
        <w:rPr>
          <w:sz w:val="24"/>
          <w:szCs w:val="24"/>
        </w:rPr>
      </w:pPr>
    </w:p>
    <w:tbl>
      <w:tblPr>
        <w:tblStyle w:val="GridTable1Light"/>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680"/>
        <w:gridCol w:w="4431"/>
        <w:gridCol w:w="1258"/>
      </w:tblGrid>
      <w:tr w:rsidR="007B529C" w:rsidRPr="00D60069" w14:paraId="3052B871" w14:textId="77777777" w:rsidTr="00F31E9F">
        <w:trPr>
          <w:tblHeader/>
        </w:trPr>
        <w:tc>
          <w:tcPr>
            <w:tcW w:w="4680" w:type="dxa"/>
            <w:vAlign w:val="bottom"/>
          </w:tcPr>
          <w:p w14:paraId="239E30B9" w14:textId="77777777" w:rsidR="002B2D13" w:rsidRPr="005537F7" w:rsidRDefault="005537F7" w:rsidP="00D60069">
            <w:pPr>
              <w:pStyle w:val="Heading2"/>
              <w:spacing w:after="80"/>
              <w:rPr>
                <w:sz w:val="24"/>
                <w:szCs w:val="24"/>
              </w:rPr>
            </w:pPr>
            <w:r w:rsidRPr="005537F7">
              <w:rPr>
                <w:sz w:val="24"/>
                <w:szCs w:val="24"/>
              </w:rPr>
              <w:t>References/Contacts</w:t>
            </w:r>
          </w:p>
        </w:tc>
        <w:tc>
          <w:tcPr>
            <w:tcW w:w="4432" w:type="dxa"/>
            <w:vAlign w:val="bottom"/>
          </w:tcPr>
          <w:p w14:paraId="06BFE83A" w14:textId="77777777" w:rsidR="002B2D13" w:rsidRPr="00D60069" w:rsidRDefault="002B2D13" w:rsidP="00D60069">
            <w:pPr>
              <w:pStyle w:val="Heading2"/>
              <w:spacing w:after="80"/>
            </w:pPr>
          </w:p>
        </w:tc>
        <w:tc>
          <w:tcPr>
            <w:tcW w:w="1258" w:type="dxa"/>
            <w:vAlign w:val="bottom"/>
          </w:tcPr>
          <w:p w14:paraId="0B3CA355" w14:textId="77777777" w:rsidR="002B2D13" w:rsidRPr="00D60069" w:rsidRDefault="002B2D13" w:rsidP="00D60069">
            <w:pPr>
              <w:pStyle w:val="Heading2"/>
              <w:spacing w:after="80"/>
            </w:pPr>
          </w:p>
        </w:tc>
      </w:tr>
      <w:tr w:rsidR="007B529C" w:rsidRPr="00D60069" w14:paraId="5D473CFE" w14:textId="77777777" w:rsidTr="00F31E9F">
        <w:tc>
          <w:tcPr>
            <w:tcW w:w="4680" w:type="dxa"/>
          </w:tcPr>
          <w:p w14:paraId="5BC1B1F3" w14:textId="77777777" w:rsidR="00D4212C" w:rsidRPr="00D4212C" w:rsidRDefault="00D4212C" w:rsidP="00D4212C">
            <w:pPr>
              <w:pStyle w:val="Title"/>
              <w:rPr>
                <w:rFonts w:ascii="Arial" w:hAnsi="Arial" w:cs="Arial"/>
                <w:b w:val="0"/>
                <w:bCs/>
                <w:sz w:val="24"/>
                <w:szCs w:val="24"/>
              </w:rPr>
            </w:pPr>
            <w:r w:rsidRPr="00D4212C">
              <w:rPr>
                <w:rFonts w:ascii="Arial" w:hAnsi="Arial" w:cs="Arial"/>
                <w:b w:val="0"/>
                <w:bCs/>
                <w:sz w:val="24"/>
                <w:szCs w:val="24"/>
              </w:rPr>
              <w:t xml:space="preserve">FPM </w:t>
            </w:r>
            <w:hyperlink r:id="rId9" w:history="1">
              <w:r w:rsidRPr="00D4212C">
                <w:rPr>
                  <w:rStyle w:val="Hyperlink"/>
                  <w:rFonts w:ascii="Arial" w:hAnsi="Arial" w:cs="Arial"/>
                  <w:b w:val="0"/>
                  <w:bCs/>
                  <w:sz w:val="24"/>
                  <w:szCs w:val="24"/>
                </w:rPr>
                <w:t>I.2. Field Examinations</w:t>
              </w:r>
            </w:hyperlink>
          </w:p>
          <w:p w14:paraId="30D48B93" w14:textId="77777777" w:rsidR="00D4212C" w:rsidRPr="00D4212C" w:rsidRDefault="00D4212C" w:rsidP="00D4212C">
            <w:pPr>
              <w:pStyle w:val="Title"/>
              <w:rPr>
                <w:rFonts w:ascii="Arial" w:hAnsi="Arial" w:cs="Arial"/>
                <w:b w:val="0"/>
                <w:bCs/>
                <w:sz w:val="24"/>
                <w:szCs w:val="24"/>
              </w:rPr>
            </w:pPr>
            <w:r w:rsidRPr="00D4212C">
              <w:rPr>
                <w:rFonts w:ascii="Arial" w:hAnsi="Arial" w:cs="Arial"/>
                <w:b w:val="0"/>
                <w:bCs/>
                <w:sz w:val="24"/>
                <w:szCs w:val="24"/>
              </w:rPr>
              <w:t xml:space="preserve">FPM </w:t>
            </w:r>
            <w:hyperlink r:id="rId10" w:history="1">
              <w:r w:rsidRPr="00D4212C">
                <w:rPr>
                  <w:rStyle w:val="Hyperlink"/>
                  <w:rFonts w:ascii="Arial" w:hAnsi="Arial" w:cs="Arial"/>
                  <w:b w:val="0"/>
                  <w:bCs/>
                  <w:sz w:val="24"/>
                  <w:szCs w:val="24"/>
                </w:rPr>
                <w:t>I.3. Accounting</w:t>
              </w:r>
            </w:hyperlink>
            <w:r w:rsidRPr="00D4212C">
              <w:rPr>
                <w:rFonts w:ascii="Arial" w:hAnsi="Arial" w:cs="Arial"/>
                <w:b w:val="0"/>
                <w:bCs/>
                <w:sz w:val="24"/>
                <w:szCs w:val="24"/>
              </w:rPr>
              <w:t xml:space="preserve"> </w:t>
            </w:r>
          </w:p>
          <w:p w14:paraId="64FB4723" w14:textId="77777777" w:rsidR="00D4212C" w:rsidRPr="00D4212C" w:rsidRDefault="00D4212C" w:rsidP="00D4212C">
            <w:pPr>
              <w:pStyle w:val="Title"/>
              <w:rPr>
                <w:rFonts w:ascii="Arial" w:hAnsi="Arial" w:cs="Arial"/>
                <w:b w:val="0"/>
                <w:bCs/>
                <w:sz w:val="24"/>
                <w:szCs w:val="24"/>
              </w:rPr>
            </w:pPr>
            <w:r w:rsidRPr="00D4212C">
              <w:rPr>
                <w:rFonts w:ascii="Arial" w:hAnsi="Arial" w:cs="Arial"/>
                <w:b w:val="0"/>
                <w:bCs/>
                <w:sz w:val="24"/>
                <w:szCs w:val="24"/>
              </w:rPr>
              <w:t xml:space="preserve">FPM </w:t>
            </w:r>
            <w:hyperlink r:id="rId11" w:history="1">
              <w:r w:rsidRPr="00D4212C">
                <w:rPr>
                  <w:rStyle w:val="Hyperlink"/>
                  <w:rFonts w:ascii="Arial" w:hAnsi="Arial" w:cs="Arial"/>
                  <w:b w:val="0"/>
                  <w:bCs/>
                  <w:sz w:val="24"/>
                  <w:szCs w:val="24"/>
                </w:rPr>
                <w:t>I.6. Fund Usage Oversight</w:t>
              </w:r>
            </w:hyperlink>
            <w:r w:rsidRPr="00D4212C">
              <w:rPr>
                <w:rFonts w:ascii="Arial" w:hAnsi="Arial" w:cs="Arial"/>
                <w:b w:val="0"/>
                <w:bCs/>
                <w:sz w:val="24"/>
                <w:szCs w:val="24"/>
              </w:rPr>
              <w:t xml:space="preserve"> </w:t>
            </w:r>
          </w:p>
          <w:p w14:paraId="16E50786" w14:textId="0078A7FA" w:rsidR="00D4212C" w:rsidRDefault="00D4212C" w:rsidP="00D4212C">
            <w:pPr>
              <w:pStyle w:val="Title"/>
            </w:pPr>
            <w:r w:rsidRPr="00D4212C">
              <w:rPr>
                <w:rFonts w:ascii="Arial" w:hAnsi="Arial" w:cs="Arial"/>
                <w:b w:val="0"/>
                <w:bCs/>
                <w:sz w:val="24"/>
                <w:szCs w:val="24"/>
              </w:rPr>
              <w:t>Quality Management System</w:t>
            </w:r>
            <w:r w:rsidR="00EC295B">
              <w:rPr>
                <w:rFonts w:ascii="Arial" w:hAnsi="Arial" w:cs="Arial"/>
                <w:b w:val="0"/>
                <w:bCs/>
                <w:sz w:val="24"/>
                <w:szCs w:val="24"/>
              </w:rPr>
              <w:t xml:space="preserve"> </w:t>
            </w:r>
          </w:p>
          <w:p w14:paraId="707A823E" w14:textId="5EFAEF78" w:rsidR="002B2D13" w:rsidRPr="001479B9" w:rsidRDefault="002B2D13" w:rsidP="00D4212C">
            <w:pPr>
              <w:pStyle w:val="ListBullet"/>
              <w:numPr>
                <w:ilvl w:val="0"/>
                <w:numId w:val="0"/>
              </w:numPr>
              <w:spacing w:before="0"/>
              <w:ind w:left="360"/>
              <w:rPr>
                <w:sz w:val="24"/>
                <w:szCs w:val="24"/>
              </w:rPr>
            </w:pPr>
          </w:p>
        </w:tc>
        <w:tc>
          <w:tcPr>
            <w:tcW w:w="4432" w:type="dxa"/>
          </w:tcPr>
          <w:p w14:paraId="604C2221" w14:textId="77777777" w:rsidR="006628FF" w:rsidRDefault="006628FF" w:rsidP="00F31E9F">
            <w:pPr>
              <w:spacing w:before="0"/>
              <w:rPr>
                <w:sz w:val="24"/>
                <w:szCs w:val="24"/>
              </w:rPr>
            </w:pPr>
          </w:p>
          <w:p w14:paraId="6CC4EE96" w14:textId="77777777" w:rsidR="00130813" w:rsidRPr="00E54C1A" w:rsidRDefault="00130813" w:rsidP="00F31E9F">
            <w:pPr>
              <w:spacing w:before="0"/>
              <w:rPr>
                <w:sz w:val="24"/>
                <w:szCs w:val="24"/>
              </w:rPr>
            </w:pPr>
          </w:p>
          <w:p w14:paraId="26E37165" w14:textId="7A4D4080" w:rsidR="007B529C" w:rsidRPr="001479B9" w:rsidRDefault="007B529C" w:rsidP="00F31E9F">
            <w:pPr>
              <w:spacing w:before="0"/>
              <w:rPr>
                <w:sz w:val="24"/>
                <w:szCs w:val="24"/>
              </w:rPr>
            </w:pPr>
          </w:p>
        </w:tc>
        <w:tc>
          <w:tcPr>
            <w:tcW w:w="1258" w:type="dxa"/>
          </w:tcPr>
          <w:p w14:paraId="478B7AD0" w14:textId="77777777" w:rsidR="002B2D13" w:rsidRDefault="002B2D13" w:rsidP="00D60069">
            <w:pPr>
              <w:spacing w:after="80"/>
            </w:pPr>
          </w:p>
          <w:p w14:paraId="7E8206AE" w14:textId="0DCAA462" w:rsidR="006628FF" w:rsidRPr="00D60069" w:rsidRDefault="006628FF" w:rsidP="00D60069">
            <w:pPr>
              <w:spacing w:after="80"/>
            </w:pP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0D431A" w14:paraId="4F7931C7" w14:textId="77777777" w:rsidTr="00D62E01">
        <w:tc>
          <w:tcPr>
            <w:tcW w:w="1620" w:type="dxa"/>
          </w:tcPr>
          <w:bookmarkStart w:id="3" w:name="_Hlk21598834"/>
          <w:p w14:paraId="3E261563" w14:textId="77777777" w:rsidR="00D62E01" w:rsidRPr="00075FC0" w:rsidRDefault="00000000" w:rsidP="006344A8">
            <w:pPr>
              <w:pStyle w:val="Heading2"/>
              <w:rPr>
                <w:color w:val="8064A2" w:themeColor="accent4"/>
              </w:rPr>
            </w:pPr>
            <w:sdt>
              <w:sdtPr>
                <w:rPr>
                  <w:color w:val="8064A2" w:themeColor="accent4"/>
                </w:rPr>
                <w:id w:val="113951409"/>
                <w:placeholder>
                  <w:docPart w:val="BEEE93B5055349CDA16253D1263663B8"/>
                </w:placeholder>
                <w:temporary/>
                <w:showingPlcHdr/>
                <w15:appearance w15:val="hidden"/>
              </w:sdtPr>
              <w:sdtContent>
                <w:r w:rsidR="00D62E01" w:rsidRPr="00075FC0">
                  <w:rPr>
                    <w:color w:val="8064A2" w:themeColor="accent4"/>
                    <w:sz w:val="24"/>
                    <w:szCs w:val="24"/>
                  </w:rPr>
                  <w:t>Agenda item:</w:t>
                </w:r>
              </w:sdtContent>
            </w:sdt>
          </w:p>
        </w:tc>
        <w:tc>
          <w:tcPr>
            <w:tcW w:w="4970" w:type="dxa"/>
          </w:tcPr>
          <w:p w14:paraId="560F39F3" w14:textId="7B7A6CD9" w:rsidR="00D62E01" w:rsidRPr="007E4418" w:rsidRDefault="006B014E" w:rsidP="006344A8">
            <w:pPr>
              <w:rPr>
                <w:color w:val="8064A2" w:themeColor="accent4"/>
                <w:sz w:val="24"/>
                <w:szCs w:val="24"/>
              </w:rPr>
            </w:pPr>
            <w:r w:rsidRPr="006B014E">
              <w:rPr>
                <w:color w:val="8064A2" w:themeColor="accent4"/>
                <w:sz w:val="24"/>
                <w:szCs w:val="24"/>
              </w:rPr>
              <w:t>QMS REMINDERS</w:t>
            </w:r>
            <w:bookmarkStart w:id="4" w:name="TWO"/>
            <w:bookmarkEnd w:id="4"/>
          </w:p>
        </w:tc>
        <w:tc>
          <w:tcPr>
            <w:tcW w:w="1324" w:type="dxa"/>
          </w:tcPr>
          <w:p w14:paraId="212F07F4" w14:textId="77777777" w:rsidR="00D62E01" w:rsidRPr="00075FC0" w:rsidRDefault="00000000" w:rsidP="006344A8">
            <w:pPr>
              <w:pStyle w:val="Heading2"/>
              <w:rPr>
                <w:color w:val="8064A2" w:themeColor="accent4"/>
              </w:rPr>
            </w:pPr>
            <w:sdt>
              <w:sdtPr>
                <w:rPr>
                  <w:color w:val="8064A2" w:themeColor="accent4"/>
                </w:rPr>
                <w:id w:val="1072624145"/>
                <w:placeholder>
                  <w:docPart w:val="EE2DA83037A34D638D4ED63942E9D9E4"/>
                </w:placeholder>
                <w:temporary/>
                <w:showingPlcHdr/>
                <w15:appearance w15:val="hidden"/>
              </w:sdtPr>
              <w:sdtContent>
                <w:r w:rsidR="00D62E01" w:rsidRPr="00075FC0">
                  <w:rPr>
                    <w:color w:val="8064A2" w:themeColor="accent4"/>
                    <w:sz w:val="24"/>
                    <w:szCs w:val="24"/>
                  </w:rPr>
                  <w:t>Presenter:</w:t>
                </w:r>
              </w:sdtContent>
            </w:sdt>
          </w:p>
        </w:tc>
        <w:tc>
          <w:tcPr>
            <w:tcW w:w="2310" w:type="dxa"/>
          </w:tcPr>
          <w:p w14:paraId="2450EBF7" w14:textId="095C2EFF" w:rsidR="00D62E01" w:rsidRPr="007E4418" w:rsidRDefault="006B014E" w:rsidP="006344A8">
            <w:pPr>
              <w:rPr>
                <w:color w:val="8064A2" w:themeColor="accent4"/>
                <w:sz w:val="24"/>
                <w:szCs w:val="24"/>
              </w:rPr>
            </w:pPr>
            <w:r>
              <w:rPr>
                <w:color w:val="8064A2" w:themeColor="accent4"/>
                <w:sz w:val="24"/>
                <w:szCs w:val="24"/>
              </w:rPr>
              <w:t>ALVIN HILL, ANALYST</w:t>
            </w:r>
          </w:p>
        </w:tc>
      </w:tr>
    </w:tbl>
    <w:p w14:paraId="77779155" w14:textId="77777777" w:rsidR="00D62E01" w:rsidRPr="00075FC0" w:rsidRDefault="00075FC0" w:rsidP="00011A4B">
      <w:pPr>
        <w:pStyle w:val="Heading4"/>
        <w:spacing w:before="0" w:after="0"/>
        <w:rPr>
          <w:color w:val="548DD4" w:themeColor="text2" w:themeTint="99"/>
          <w:sz w:val="24"/>
          <w:szCs w:val="24"/>
        </w:rPr>
      </w:pPr>
      <w:r w:rsidRPr="00075FC0">
        <w:rPr>
          <w:color w:val="548DD4" w:themeColor="text2" w:themeTint="99"/>
          <w:sz w:val="24"/>
          <w:szCs w:val="24"/>
        </w:rPr>
        <w:t>Target Audience:</w:t>
      </w:r>
    </w:p>
    <w:p w14:paraId="13C352C3" w14:textId="77777777" w:rsidR="00011A4B" w:rsidRDefault="00011A4B" w:rsidP="00011A4B">
      <w:pPr>
        <w:pStyle w:val="Heading4"/>
        <w:spacing w:before="0" w:after="0"/>
        <w:rPr>
          <w:b w:val="0"/>
          <w:color w:val="4F81BD" w:themeColor="accent1"/>
          <w:sz w:val="24"/>
          <w:szCs w:val="24"/>
        </w:rPr>
      </w:pPr>
    </w:p>
    <w:p w14:paraId="7AE189FB" w14:textId="2FF2E18B" w:rsidR="00C120C3" w:rsidRDefault="00C120C3" w:rsidP="00011A4B">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1974A543" w14:textId="77777777" w:rsidR="00011A4B" w:rsidRDefault="00011A4B" w:rsidP="00011A4B">
      <w:pPr>
        <w:pStyle w:val="Heading4"/>
        <w:spacing w:before="0" w:after="0"/>
        <w:rPr>
          <w:sz w:val="24"/>
          <w:szCs w:val="24"/>
        </w:rPr>
      </w:pPr>
    </w:p>
    <w:p w14:paraId="04465D55" w14:textId="474ABE55" w:rsidR="00D62E01" w:rsidRPr="005537F7" w:rsidRDefault="005537F7" w:rsidP="00011A4B">
      <w:pPr>
        <w:pStyle w:val="Heading4"/>
        <w:spacing w:before="0" w:after="0"/>
        <w:rPr>
          <w:sz w:val="24"/>
          <w:szCs w:val="24"/>
        </w:rPr>
      </w:pPr>
      <w:r w:rsidRPr="005537F7">
        <w:rPr>
          <w:sz w:val="24"/>
          <w:szCs w:val="24"/>
        </w:rPr>
        <w:t>Discussion:</w:t>
      </w:r>
    </w:p>
    <w:p w14:paraId="0ABA98E2" w14:textId="77777777" w:rsidR="00011A4B" w:rsidRDefault="00011A4B" w:rsidP="00011A4B">
      <w:pPr>
        <w:spacing w:before="0" w:after="0"/>
        <w:rPr>
          <w:sz w:val="24"/>
          <w:szCs w:val="24"/>
        </w:rPr>
      </w:pPr>
    </w:p>
    <w:p w14:paraId="5DA574E7" w14:textId="034301A6" w:rsidR="00930B49" w:rsidRPr="00930B49" w:rsidRDefault="006F1642" w:rsidP="00930B49">
      <w:pPr>
        <w:spacing w:before="0" w:after="0"/>
        <w:rPr>
          <w:rFonts w:ascii="Arial" w:eastAsia="Calibri" w:hAnsi="Arial" w:cs="Arial"/>
          <w:sz w:val="24"/>
          <w:szCs w:val="24"/>
        </w:rPr>
      </w:pPr>
      <w:r w:rsidRPr="006F1642">
        <w:rPr>
          <w:rFonts w:ascii="Arial" w:hAnsi="Arial" w:cs="Arial"/>
          <w:b/>
          <w:bCs/>
          <w:sz w:val="24"/>
          <w:szCs w:val="24"/>
        </w:rPr>
        <w:t>Reminder #</w:t>
      </w:r>
      <w:r>
        <w:rPr>
          <w:rFonts w:ascii="Arial" w:hAnsi="Arial" w:cs="Arial"/>
          <w:b/>
          <w:bCs/>
          <w:sz w:val="24"/>
          <w:szCs w:val="24"/>
        </w:rPr>
        <w:t>1</w:t>
      </w:r>
      <w:r w:rsidRPr="006F1642">
        <w:rPr>
          <w:rFonts w:ascii="Arial" w:hAnsi="Arial" w:cs="Arial"/>
          <w:sz w:val="24"/>
          <w:szCs w:val="24"/>
        </w:rPr>
        <w:t>:</w:t>
      </w:r>
      <w:r w:rsidRPr="006F1642">
        <w:t xml:space="preserve"> </w:t>
      </w:r>
      <w:r w:rsidR="00930B49" w:rsidRPr="00930B49">
        <w:rPr>
          <w:rFonts w:ascii="Arial" w:eastAsia="Calibri" w:hAnsi="Arial" w:cs="Arial"/>
          <w:sz w:val="24"/>
          <w:szCs w:val="24"/>
        </w:rPr>
        <w:t xml:space="preserve">The Quality Management System (QMS) team has received several inquiries regarding instances in which fiduciary coaches are unable to pull quality reviews. To ensure coaches have the ability to pull/conduct quality reviews, specific fields in the QMS contact record must be populated correctly. The </w:t>
      </w:r>
      <w:hyperlink r:id="rId12" w:history="1">
        <w:r w:rsidR="00930B49" w:rsidRPr="00930B49">
          <w:rPr>
            <w:rFonts w:ascii="Arial" w:eastAsia="Calibri" w:hAnsi="Arial" w:cs="Arial"/>
            <w:color w:val="0563C1"/>
            <w:sz w:val="24"/>
            <w:szCs w:val="24"/>
            <w:u w:val="single"/>
          </w:rPr>
          <w:t>Quality Management System (QMS) QRT Supervisor Guide</w:t>
        </w:r>
      </w:hyperlink>
      <w:r w:rsidR="00930B49" w:rsidRPr="00930B49">
        <w:rPr>
          <w:rFonts w:ascii="Arial" w:eastAsia="Calibri" w:hAnsi="Arial" w:cs="Arial"/>
          <w:sz w:val="24"/>
          <w:szCs w:val="24"/>
        </w:rPr>
        <w:t xml:space="preserve"> provides information for Contact Record Updates starting on page 12.</w:t>
      </w:r>
    </w:p>
    <w:p w14:paraId="2F82B41C" w14:textId="77777777" w:rsidR="00930B49" w:rsidRPr="00930B49" w:rsidRDefault="00930B49" w:rsidP="00930B49">
      <w:pPr>
        <w:spacing w:before="0" w:after="0"/>
        <w:rPr>
          <w:rFonts w:ascii="Arial" w:eastAsia="Calibri" w:hAnsi="Arial" w:cs="Arial"/>
          <w:sz w:val="24"/>
          <w:szCs w:val="24"/>
        </w:rPr>
      </w:pPr>
    </w:p>
    <w:p w14:paraId="4444691E" w14:textId="22FDA79D" w:rsidR="00930B49" w:rsidRDefault="00930B49" w:rsidP="00930B49">
      <w:pPr>
        <w:spacing w:before="0" w:after="0"/>
        <w:rPr>
          <w:rFonts w:ascii="Arial" w:eastAsia="Calibri" w:hAnsi="Arial" w:cs="Arial"/>
          <w:sz w:val="24"/>
          <w:szCs w:val="24"/>
        </w:rPr>
      </w:pPr>
      <w:r w:rsidRPr="00930B49">
        <w:rPr>
          <w:rFonts w:ascii="Calibri" w:eastAsia="Calibri" w:hAnsi="Calibri" w:cs="Calibri"/>
          <w:noProof/>
          <w:sz w:val="22"/>
          <w:szCs w:val="22"/>
        </w:rPr>
        <w:lastRenderedPageBreak/>
        <w:drawing>
          <wp:inline distT="0" distB="0" distL="0" distR="0" wp14:anchorId="0F8180AA" wp14:editId="7631A849">
            <wp:extent cx="5542280" cy="5732780"/>
            <wp:effectExtent l="0" t="0" r="127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42280" cy="5732780"/>
                    </a:xfrm>
                    <a:prstGeom prst="rect">
                      <a:avLst/>
                    </a:prstGeom>
                    <a:noFill/>
                    <a:ln>
                      <a:noFill/>
                    </a:ln>
                  </pic:spPr>
                </pic:pic>
              </a:graphicData>
            </a:graphic>
          </wp:inline>
        </w:drawing>
      </w:r>
    </w:p>
    <w:p w14:paraId="73B6608D" w14:textId="7E24FE0F" w:rsidR="00930B49" w:rsidRDefault="00930B49" w:rsidP="00930B49">
      <w:pPr>
        <w:rPr>
          <w:rFonts w:ascii="Arial" w:hAnsi="Arial" w:cs="Arial"/>
          <w:sz w:val="24"/>
          <w:szCs w:val="24"/>
        </w:rPr>
      </w:pPr>
      <w:r>
        <w:rPr>
          <w:rFonts w:ascii="Arial" w:hAnsi="Arial" w:cs="Arial"/>
          <w:b/>
          <w:bCs/>
          <w:sz w:val="24"/>
          <w:szCs w:val="24"/>
        </w:rPr>
        <w:t>Reminder #2</w:t>
      </w:r>
      <w:r>
        <w:rPr>
          <w:rFonts w:ascii="Arial" w:hAnsi="Arial" w:cs="Arial"/>
          <w:sz w:val="24"/>
          <w:szCs w:val="24"/>
        </w:rPr>
        <w:t>:</w:t>
      </w:r>
      <w:r>
        <w:t xml:space="preserve"> </w:t>
      </w:r>
      <w:r>
        <w:rPr>
          <w:rFonts w:ascii="Arial" w:hAnsi="Arial" w:cs="Arial"/>
          <w:sz w:val="24"/>
          <w:szCs w:val="24"/>
        </w:rPr>
        <w:t>QMS incorrectly identifying all criminal background transactions as “Criminal Background Check Mitigation Evidenc</w:t>
      </w:r>
      <w:r w:rsidR="005D5687">
        <w:rPr>
          <w:rFonts w:ascii="Arial" w:hAnsi="Arial" w:cs="Arial"/>
          <w:sz w:val="24"/>
          <w:szCs w:val="24"/>
        </w:rPr>
        <w:t>e.</w:t>
      </w:r>
      <w:r w:rsidR="005318E9">
        <w:rPr>
          <w:rFonts w:ascii="Arial" w:hAnsi="Arial" w:cs="Arial"/>
          <w:sz w:val="24"/>
          <w:szCs w:val="24"/>
        </w:rPr>
        <w:t>”</w:t>
      </w:r>
    </w:p>
    <w:p w14:paraId="36A304CC" w14:textId="77777777" w:rsidR="00930B49" w:rsidRDefault="00930B49" w:rsidP="006F1642">
      <w:pPr>
        <w:spacing w:before="0" w:after="0"/>
        <w:rPr>
          <w:rFonts w:ascii="Arial" w:hAnsi="Arial" w:cs="Arial"/>
          <w:sz w:val="24"/>
          <w:szCs w:val="24"/>
        </w:rPr>
      </w:pPr>
    </w:p>
    <w:p w14:paraId="26FBDE74" w14:textId="7C579590" w:rsidR="00930B49" w:rsidRDefault="00930B49" w:rsidP="006F1642">
      <w:pPr>
        <w:spacing w:before="0" w:after="0"/>
        <w:rPr>
          <w:rFonts w:ascii="Arial" w:hAnsi="Arial" w:cs="Arial"/>
          <w:sz w:val="24"/>
          <w:szCs w:val="24"/>
        </w:rPr>
      </w:pPr>
      <w:r>
        <w:rPr>
          <w:rFonts w:ascii="Arial" w:hAnsi="Arial" w:cs="Arial"/>
          <w:sz w:val="24"/>
          <w:szCs w:val="24"/>
        </w:rPr>
        <w:t xml:space="preserve">Each claim-based transaction correlates to an action that has been taken in VBA systems and all claim-based transactions are the result of one specific completed action. However, Performance Analysis and Integrity (PA&amp;I) has </w:t>
      </w:r>
      <w:r w:rsidR="009D0C6D">
        <w:rPr>
          <w:rFonts w:ascii="Arial" w:hAnsi="Arial" w:cs="Arial"/>
          <w:sz w:val="24"/>
          <w:szCs w:val="24"/>
        </w:rPr>
        <w:t>found</w:t>
      </w:r>
      <w:r>
        <w:rPr>
          <w:rFonts w:ascii="Arial" w:hAnsi="Arial" w:cs="Arial"/>
          <w:sz w:val="24"/>
          <w:szCs w:val="24"/>
        </w:rPr>
        <w:t xml:space="preserve"> that “Criminal Background Investigation” and “Criminal Background Check Mitigation Evidence” are collapsed into a single transaction that appears in QMS as “Criminal Background Check Mitigation Evidence.</w:t>
      </w:r>
      <w:r w:rsidR="005318E9">
        <w:rPr>
          <w:rFonts w:ascii="Arial" w:hAnsi="Arial" w:cs="Arial"/>
          <w:sz w:val="24"/>
          <w:szCs w:val="24"/>
        </w:rPr>
        <w:t>”</w:t>
      </w:r>
      <w:r>
        <w:rPr>
          <w:rFonts w:ascii="Arial" w:hAnsi="Arial" w:cs="Arial"/>
          <w:sz w:val="24"/>
          <w:szCs w:val="24"/>
        </w:rPr>
        <w:t xml:space="preserve"> P&amp;F Service realizes this creates confusion in the quality review process and is actively working with PA&amp;I to separate the two transactions in QMS. Until the transactions are separated, the “Criminal Background Check Mitigation Evidence” transaction should not be deselected and the VBMS eFolder should be reviewed to determine what type of criminal background transaction should be reviewed. Once the two transactions are separated, QMS will identify the appropriate name of the completed criminal background transaction.</w:t>
      </w:r>
    </w:p>
    <w:p w14:paraId="2791C18A" w14:textId="77777777" w:rsidR="00930B49" w:rsidRDefault="00930B49" w:rsidP="006F1642">
      <w:pPr>
        <w:spacing w:before="0" w:after="0"/>
        <w:rPr>
          <w:rFonts w:ascii="Calibri" w:hAnsi="Calibri" w:cs="Calibri"/>
          <w:sz w:val="22"/>
          <w:szCs w:val="22"/>
        </w:rPr>
      </w:pPr>
    </w:p>
    <w:p w14:paraId="1DBA83DB" w14:textId="718C7509" w:rsidR="00930B49" w:rsidRDefault="00930B49" w:rsidP="00D6038E">
      <w:pPr>
        <w:spacing w:before="0" w:after="0"/>
        <w:rPr>
          <w:rFonts w:ascii="Arial" w:hAnsi="Arial" w:cs="Arial"/>
          <w:sz w:val="24"/>
          <w:szCs w:val="24"/>
        </w:rPr>
      </w:pPr>
      <w:r>
        <w:rPr>
          <w:rFonts w:ascii="Arial" w:hAnsi="Arial" w:cs="Arial"/>
          <w:b/>
          <w:bCs/>
          <w:sz w:val="24"/>
          <w:szCs w:val="24"/>
        </w:rPr>
        <w:lastRenderedPageBreak/>
        <w:t>Reminder #3</w:t>
      </w:r>
      <w:r>
        <w:rPr>
          <w:rFonts w:ascii="Arial" w:hAnsi="Arial" w:cs="Arial"/>
          <w:sz w:val="24"/>
          <w:szCs w:val="24"/>
        </w:rPr>
        <w:t>: Trainee transactions were incorrectly included in the Individual Quality Reviews (IQR) monthly sample.</w:t>
      </w:r>
    </w:p>
    <w:p w14:paraId="17612F4B" w14:textId="77777777" w:rsidR="00930B49" w:rsidRDefault="00930B49" w:rsidP="00D6038E">
      <w:pPr>
        <w:spacing w:before="0" w:after="0"/>
        <w:rPr>
          <w:rFonts w:ascii="Calibri" w:hAnsi="Calibri" w:cs="Calibri"/>
          <w:sz w:val="22"/>
          <w:szCs w:val="22"/>
        </w:rPr>
      </w:pPr>
    </w:p>
    <w:p w14:paraId="066015B5" w14:textId="797D2E29" w:rsidR="00930B49" w:rsidRDefault="00930B49" w:rsidP="00D6038E">
      <w:pPr>
        <w:spacing w:before="0" w:after="0"/>
        <w:rPr>
          <w:rFonts w:ascii="Arial" w:hAnsi="Arial" w:cs="Arial"/>
          <w:sz w:val="24"/>
          <w:szCs w:val="24"/>
        </w:rPr>
      </w:pPr>
      <w:r>
        <w:rPr>
          <w:rFonts w:ascii="Arial" w:hAnsi="Arial" w:cs="Arial"/>
          <w:sz w:val="24"/>
          <w:szCs w:val="24"/>
        </w:rPr>
        <w:t xml:space="preserve">P&amp;F Service discovered that trainee actions were incorrectly included in the QMS review samples pulled each month for IQRs. </w:t>
      </w:r>
      <w:r w:rsidR="00D6038E">
        <w:rPr>
          <w:rFonts w:ascii="Arial" w:hAnsi="Arial" w:cs="Arial"/>
          <w:sz w:val="24"/>
          <w:szCs w:val="24"/>
        </w:rPr>
        <w:t xml:space="preserve">This was corrected and </w:t>
      </w:r>
      <w:r>
        <w:rPr>
          <w:rFonts w:ascii="Arial" w:hAnsi="Arial" w:cs="Arial"/>
          <w:sz w:val="24"/>
          <w:szCs w:val="24"/>
        </w:rPr>
        <w:t>trainee reviews are no longer included with the monthly IQR sample effective June 1, 2023.</w:t>
      </w:r>
    </w:p>
    <w:p w14:paraId="7A3630FB" w14:textId="77777777" w:rsidR="00011A4B" w:rsidRPr="00930B49" w:rsidRDefault="00011A4B" w:rsidP="00011A4B">
      <w:pPr>
        <w:spacing w:before="0" w:after="0"/>
        <w:rPr>
          <w:strike/>
          <w:sz w:val="24"/>
          <w:szCs w:val="24"/>
        </w:rPr>
      </w:pP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7020"/>
        <w:gridCol w:w="1773"/>
        <w:gridCol w:w="1431"/>
      </w:tblGrid>
      <w:tr w:rsidR="00D60069" w:rsidRPr="00D60069" w14:paraId="2E0C2771" w14:textId="77777777" w:rsidTr="006B014E">
        <w:trPr>
          <w:tblHeader/>
        </w:trPr>
        <w:tc>
          <w:tcPr>
            <w:tcW w:w="7020" w:type="dxa"/>
            <w:vAlign w:val="bottom"/>
          </w:tcPr>
          <w:p w14:paraId="075ACC78" w14:textId="77777777" w:rsidR="00D60069" w:rsidRPr="005537F7" w:rsidRDefault="005537F7" w:rsidP="00284200">
            <w:pPr>
              <w:pStyle w:val="Heading2"/>
              <w:spacing w:after="80"/>
              <w:rPr>
                <w:sz w:val="24"/>
                <w:szCs w:val="24"/>
              </w:rPr>
            </w:pPr>
            <w:r w:rsidRPr="005537F7">
              <w:rPr>
                <w:sz w:val="24"/>
                <w:szCs w:val="24"/>
              </w:rPr>
              <w:t>References/Contacts</w:t>
            </w:r>
          </w:p>
        </w:tc>
        <w:tc>
          <w:tcPr>
            <w:tcW w:w="1773" w:type="dxa"/>
            <w:vAlign w:val="bottom"/>
          </w:tcPr>
          <w:p w14:paraId="4162C5F9" w14:textId="77777777" w:rsidR="00D60069" w:rsidRPr="00D60069" w:rsidRDefault="00D60069" w:rsidP="00284200">
            <w:pPr>
              <w:pStyle w:val="Heading2"/>
              <w:spacing w:after="80"/>
            </w:pPr>
          </w:p>
        </w:tc>
        <w:tc>
          <w:tcPr>
            <w:tcW w:w="1431" w:type="dxa"/>
            <w:vAlign w:val="bottom"/>
          </w:tcPr>
          <w:p w14:paraId="0551CC02" w14:textId="77777777" w:rsidR="00D60069" w:rsidRPr="00D60069" w:rsidRDefault="00D60069" w:rsidP="00284200">
            <w:pPr>
              <w:pStyle w:val="Heading2"/>
              <w:spacing w:after="80"/>
            </w:pPr>
          </w:p>
        </w:tc>
      </w:tr>
      <w:tr w:rsidR="00F31E9F" w:rsidRPr="00D60069" w14:paraId="7A4E727F" w14:textId="77777777" w:rsidTr="006B014E">
        <w:tc>
          <w:tcPr>
            <w:tcW w:w="7020" w:type="dxa"/>
          </w:tcPr>
          <w:p w14:paraId="2351F52A" w14:textId="5206B204" w:rsidR="00F31E9F" w:rsidRPr="00E54C1A" w:rsidRDefault="00000000" w:rsidP="00D4212C">
            <w:pPr>
              <w:pStyle w:val="ListBullet"/>
              <w:numPr>
                <w:ilvl w:val="0"/>
                <w:numId w:val="0"/>
              </w:numPr>
              <w:spacing w:before="0"/>
              <w:rPr>
                <w:sz w:val="24"/>
                <w:szCs w:val="24"/>
              </w:rPr>
            </w:pPr>
            <w:hyperlink r:id="rId15" w:history="1">
              <w:r w:rsidR="006B014E">
                <w:rPr>
                  <w:rStyle w:val="Hyperlink"/>
                  <w:rFonts w:ascii="Arial" w:hAnsi="Arial" w:cs="Arial"/>
                  <w:sz w:val="24"/>
                  <w:szCs w:val="24"/>
                </w:rPr>
                <w:t>Quality Management System (QMS) QRT Supervisor Guide</w:t>
              </w:r>
            </w:hyperlink>
          </w:p>
        </w:tc>
        <w:tc>
          <w:tcPr>
            <w:tcW w:w="1773" w:type="dxa"/>
          </w:tcPr>
          <w:p w14:paraId="1A37214E" w14:textId="2BBB5621" w:rsidR="00F31E9F" w:rsidRPr="00E54C1A" w:rsidRDefault="00F31E9F" w:rsidP="006B014E">
            <w:pPr>
              <w:spacing w:before="0"/>
              <w:rPr>
                <w:sz w:val="24"/>
                <w:szCs w:val="24"/>
              </w:rPr>
            </w:pPr>
          </w:p>
        </w:tc>
        <w:tc>
          <w:tcPr>
            <w:tcW w:w="1431" w:type="dxa"/>
          </w:tcPr>
          <w:p w14:paraId="57290BAC" w14:textId="77777777" w:rsidR="00F31E9F" w:rsidRDefault="00F31E9F" w:rsidP="00F31E9F">
            <w:pPr>
              <w:spacing w:after="80"/>
            </w:pPr>
          </w:p>
          <w:p w14:paraId="278FE9ED" w14:textId="77777777" w:rsidR="00F31E9F" w:rsidRDefault="00F31E9F" w:rsidP="00F31E9F">
            <w:pPr>
              <w:spacing w:after="80"/>
            </w:pPr>
          </w:p>
          <w:p w14:paraId="50056708" w14:textId="5CB1AEE8" w:rsidR="00F31E9F" w:rsidRPr="00D60069" w:rsidRDefault="00F31E9F" w:rsidP="00F31E9F">
            <w:pPr>
              <w:spacing w:after="80"/>
              <w:jc w:val="both"/>
            </w:pP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D60069" w14:paraId="4ED19404" w14:textId="77777777" w:rsidTr="006344A8">
        <w:tc>
          <w:tcPr>
            <w:tcW w:w="1620" w:type="dxa"/>
          </w:tcPr>
          <w:bookmarkEnd w:id="3"/>
          <w:p w14:paraId="2AE34BA9" w14:textId="77777777" w:rsidR="00D62E01" w:rsidRPr="00D60069" w:rsidRDefault="00000000" w:rsidP="006344A8">
            <w:pPr>
              <w:pStyle w:val="Heading2"/>
            </w:pPr>
            <w:sdt>
              <w:sdtPr>
                <w:id w:val="885458630"/>
                <w:placeholder>
                  <w:docPart w:val="5C526D49C19E4A4DA765D72573DF8370"/>
                </w:placeholder>
                <w:temporary/>
                <w:showingPlcHdr/>
                <w15:appearance w15:val="hidden"/>
              </w:sdtPr>
              <w:sdtContent>
                <w:r w:rsidR="00D62E01" w:rsidRPr="005537F7">
                  <w:rPr>
                    <w:color w:val="8064A2" w:themeColor="accent4"/>
                    <w:sz w:val="24"/>
                    <w:szCs w:val="24"/>
                  </w:rPr>
                  <w:t>Agenda item:</w:t>
                </w:r>
              </w:sdtContent>
            </w:sdt>
          </w:p>
        </w:tc>
        <w:tc>
          <w:tcPr>
            <w:tcW w:w="4970" w:type="dxa"/>
          </w:tcPr>
          <w:p w14:paraId="6CDA5EBE" w14:textId="0AB8395F" w:rsidR="00D62E01" w:rsidRPr="00F15EBC" w:rsidRDefault="00233FE9" w:rsidP="006344A8">
            <w:r w:rsidRPr="00233FE9">
              <w:rPr>
                <w:rFonts w:asciiTheme="majorHAnsi" w:eastAsiaTheme="majorEastAsia" w:hAnsiTheme="majorHAnsi" w:cs="Arial"/>
                <w:bCs/>
                <w:iCs/>
                <w:color w:val="8064A2" w:themeColor="accent4"/>
                <w:sz w:val="24"/>
                <w:szCs w:val="24"/>
              </w:rPr>
              <w:t xml:space="preserve">SFR </w:t>
            </w:r>
            <w:bookmarkStart w:id="5" w:name="THREE_"/>
            <w:bookmarkEnd w:id="5"/>
            <w:r w:rsidR="00011A4B">
              <w:rPr>
                <w:rFonts w:asciiTheme="majorHAnsi" w:eastAsiaTheme="majorEastAsia" w:hAnsiTheme="majorHAnsi" w:cs="Arial"/>
                <w:bCs/>
                <w:iCs/>
                <w:color w:val="8064A2" w:themeColor="accent4"/>
                <w:sz w:val="24"/>
                <w:szCs w:val="24"/>
              </w:rPr>
              <w:t>FINDINGS</w:t>
            </w:r>
          </w:p>
        </w:tc>
        <w:tc>
          <w:tcPr>
            <w:tcW w:w="1324" w:type="dxa"/>
          </w:tcPr>
          <w:p w14:paraId="1071A2C0" w14:textId="77777777" w:rsidR="00D62E01" w:rsidRPr="00D60069" w:rsidRDefault="00000000" w:rsidP="006344A8">
            <w:pPr>
              <w:pStyle w:val="Heading2"/>
            </w:pPr>
            <w:sdt>
              <w:sdtPr>
                <w:id w:val="-765931208"/>
                <w:placeholder>
                  <w:docPart w:val="02EA8C92C8104148B1800799423752F6"/>
                </w:placeholder>
                <w:temporary/>
                <w:showingPlcHdr/>
                <w15:appearance w15:val="hidden"/>
              </w:sdtPr>
              <w:sdtContent>
                <w:r w:rsidR="00D62E01" w:rsidRPr="005537F7">
                  <w:rPr>
                    <w:color w:val="8064A2" w:themeColor="accent4"/>
                    <w:sz w:val="24"/>
                    <w:szCs w:val="24"/>
                  </w:rPr>
                  <w:t>Presenter:</w:t>
                </w:r>
              </w:sdtContent>
            </w:sdt>
          </w:p>
        </w:tc>
        <w:tc>
          <w:tcPr>
            <w:tcW w:w="2310" w:type="dxa"/>
          </w:tcPr>
          <w:p w14:paraId="54CA30B7" w14:textId="77777777" w:rsidR="00233FE9" w:rsidRDefault="00233FE9" w:rsidP="006344A8">
            <w:pPr>
              <w:rPr>
                <w:color w:val="8064A2" w:themeColor="accent4"/>
                <w:sz w:val="24"/>
                <w:szCs w:val="24"/>
              </w:rPr>
            </w:pPr>
            <w:r>
              <w:rPr>
                <w:color w:val="8064A2" w:themeColor="accent4"/>
                <w:sz w:val="24"/>
                <w:szCs w:val="24"/>
              </w:rPr>
              <w:t xml:space="preserve">GLENDA RUSSELL, ANALYST &amp; </w:t>
            </w:r>
          </w:p>
          <w:p w14:paraId="727D5FD0" w14:textId="708319FE" w:rsidR="00D62E01" w:rsidRPr="00D60069" w:rsidRDefault="00233FE9" w:rsidP="006344A8">
            <w:r>
              <w:rPr>
                <w:color w:val="8064A2" w:themeColor="accent4"/>
                <w:sz w:val="24"/>
                <w:szCs w:val="24"/>
              </w:rPr>
              <w:t xml:space="preserve">SANDY </w:t>
            </w:r>
            <w:r w:rsidR="00D96B46">
              <w:rPr>
                <w:color w:val="8064A2" w:themeColor="accent4"/>
                <w:sz w:val="24"/>
                <w:szCs w:val="24"/>
              </w:rPr>
              <w:t>LUNDQUIST</w:t>
            </w:r>
            <w:r>
              <w:rPr>
                <w:color w:val="8064A2" w:themeColor="accent4"/>
                <w:sz w:val="24"/>
                <w:szCs w:val="24"/>
              </w:rPr>
              <w:t>, ANALYST</w:t>
            </w:r>
          </w:p>
        </w:tc>
      </w:tr>
    </w:tbl>
    <w:p w14:paraId="59283531" w14:textId="77777777" w:rsidR="00D62E01" w:rsidRPr="005537F7" w:rsidRDefault="005537F7" w:rsidP="00011A4B">
      <w:pPr>
        <w:pStyle w:val="Heading4"/>
        <w:spacing w:before="0" w:after="0"/>
        <w:rPr>
          <w:color w:val="548DD4" w:themeColor="text2" w:themeTint="99"/>
          <w:sz w:val="24"/>
          <w:szCs w:val="24"/>
        </w:rPr>
      </w:pPr>
      <w:r w:rsidRPr="005537F7">
        <w:rPr>
          <w:color w:val="548DD4" w:themeColor="text2" w:themeTint="99"/>
          <w:sz w:val="24"/>
          <w:szCs w:val="24"/>
        </w:rPr>
        <w:t>Target Audience:</w:t>
      </w:r>
    </w:p>
    <w:p w14:paraId="30238FBC" w14:textId="77777777" w:rsidR="00011A4B" w:rsidRDefault="00011A4B" w:rsidP="00011A4B">
      <w:pPr>
        <w:pStyle w:val="Heading4"/>
        <w:spacing w:before="0" w:after="0"/>
        <w:rPr>
          <w:b w:val="0"/>
          <w:color w:val="4F81BD" w:themeColor="accent1"/>
          <w:sz w:val="24"/>
          <w:szCs w:val="24"/>
        </w:rPr>
      </w:pPr>
    </w:p>
    <w:p w14:paraId="594EEF0E" w14:textId="5792A728" w:rsidR="00C120C3" w:rsidRDefault="00C120C3" w:rsidP="00011A4B">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4BF7156C" w14:textId="77777777" w:rsidR="00011A4B" w:rsidRDefault="00011A4B" w:rsidP="00011A4B">
      <w:pPr>
        <w:pStyle w:val="Heading4"/>
        <w:spacing w:before="0" w:after="0"/>
        <w:rPr>
          <w:sz w:val="24"/>
          <w:szCs w:val="24"/>
        </w:rPr>
      </w:pPr>
    </w:p>
    <w:p w14:paraId="2F7BC0D3" w14:textId="5E4382C6" w:rsidR="00D62E01" w:rsidRPr="005537F7" w:rsidRDefault="005537F7" w:rsidP="00011A4B">
      <w:pPr>
        <w:pStyle w:val="Heading4"/>
        <w:spacing w:before="0" w:after="0"/>
        <w:rPr>
          <w:sz w:val="24"/>
          <w:szCs w:val="24"/>
        </w:rPr>
      </w:pPr>
      <w:r w:rsidRPr="005537F7">
        <w:rPr>
          <w:sz w:val="24"/>
          <w:szCs w:val="24"/>
        </w:rPr>
        <w:t>Discussion:</w:t>
      </w:r>
    </w:p>
    <w:p w14:paraId="268A03A5" w14:textId="77777777" w:rsidR="00D22D95" w:rsidRDefault="00D22D95" w:rsidP="00A672FE">
      <w:pPr>
        <w:spacing w:before="0" w:after="0"/>
        <w:rPr>
          <w:sz w:val="24"/>
          <w:szCs w:val="24"/>
        </w:rPr>
      </w:pPr>
    </w:p>
    <w:p w14:paraId="17604799" w14:textId="75F4FFA1" w:rsidR="00A933B8" w:rsidRPr="00292A1A" w:rsidRDefault="00A933B8" w:rsidP="00A672FE">
      <w:pPr>
        <w:spacing w:before="0" w:after="0"/>
        <w:rPr>
          <w:sz w:val="24"/>
          <w:szCs w:val="24"/>
          <w:u w:val="single"/>
        </w:rPr>
      </w:pPr>
      <w:r w:rsidRPr="00292A1A">
        <w:rPr>
          <w:sz w:val="24"/>
          <w:szCs w:val="24"/>
          <w:u w:val="single"/>
        </w:rPr>
        <w:t xml:space="preserve">Hub Individual Quality Review (IQR) Deselections </w:t>
      </w:r>
    </w:p>
    <w:p w14:paraId="50C38B6D" w14:textId="77777777" w:rsidR="00A933B8" w:rsidRDefault="00A933B8" w:rsidP="00A672FE">
      <w:pPr>
        <w:spacing w:before="0" w:after="0"/>
        <w:rPr>
          <w:sz w:val="24"/>
          <w:szCs w:val="24"/>
        </w:rPr>
      </w:pPr>
    </w:p>
    <w:p w14:paraId="2BD9981E" w14:textId="109C53CB" w:rsidR="00912209" w:rsidRDefault="0031042A" w:rsidP="00A672FE">
      <w:pPr>
        <w:spacing w:before="0" w:after="0"/>
        <w:rPr>
          <w:sz w:val="24"/>
          <w:szCs w:val="24"/>
        </w:rPr>
      </w:pPr>
      <w:r>
        <w:rPr>
          <w:sz w:val="24"/>
          <w:szCs w:val="24"/>
        </w:rPr>
        <w:t xml:space="preserve">P&amp;F Service completed </w:t>
      </w:r>
      <w:r w:rsidR="00D22D95">
        <w:rPr>
          <w:sz w:val="24"/>
          <w:szCs w:val="24"/>
        </w:rPr>
        <w:t xml:space="preserve">a </w:t>
      </w:r>
      <w:r>
        <w:rPr>
          <w:sz w:val="24"/>
          <w:szCs w:val="24"/>
        </w:rPr>
        <w:t>S</w:t>
      </w:r>
      <w:r w:rsidR="003C7B19">
        <w:rPr>
          <w:sz w:val="24"/>
          <w:szCs w:val="24"/>
        </w:rPr>
        <w:t xml:space="preserve">pecial </w:t>
      </w:r>
      <w:r>
        <w:rPr>
          <w:sz w:val="24"/>
          <w:szCs w:val="24"/>
        </w:rPr>
        <w:t>F</w:t>
      </w:r>
      <w:r w:rsidR="003C7B19">
        <w:rPr>
          <w:sz w:val="24"/>
          <w:szCs w:val="24"/>
        </w:rPr>
        <w:t xml:space="preserve">ocused </w:t>
      </w:r>
      <w:r>
        <w:rPr>
          <w:sz w:val="24"/>
          <w:szCs w:val="24"/>
        </w:rPr>
        <w:t>R</w:t>
      </w:r>
      <w:r w:rsidR="003C7B19">
        <w:rPr>
          <w:sz w:val="24"/>
          <w:szCs w:val="24"/>
        </w:rPr>
        <w:t>eviews</w:t>
      </w:r>
      <w:r>
        <w:rPr>
          <w:sz w:val="24"/>
          <w:szCs w:val="24"/>
        </w:rPr>
        <w:t xml:space="preserve"> </w:t>
      </w:r>
      <w:r w:rsidR="003C7B19">
        <w:rPr>
          <w:sz w:val="24"/>
          <w:szCs w:val="24"/>
        </w:rPr>
        <w:t xml:space="preserve">(SFR) </w:t>
      </w:r>
      <w:r w:rsidR="00D22D95">
        <w:rPr>
          <w:sz w:val="24"/>
          <w:szCs w:val="24"/>
        </w:rPr>
        <w:t>of hub IQR d</w:t>
      </w:r>
      <w:r>
        <w:rPr>
          <w:sz w:val="24"/>
          <w:szCs w:val="24"/>
        </w:rPr>
        <w:t xml:space="preserve">eselections. </w:t>
      </w:r>
      <w:r w:rsidR="00A672FE">
        <w:rPr>
          <w:sz w:val="24"/>
          <w:szCs w:val="24"/>
        </w:rPr>
        <w:t xml:space="preserve">No </w:t>
      </w:r>
      <w:r w:rsidR="00266376">
        <w:rPr>
          <w:sz w:val="24"/>
          <w:szCs w:val="24"/>
        </w:rPr>
        <w:t>deficiencies</w:t>
      </w:r>
      <w:r w:rsidR="00A672FE">
        <w:rPr>
          <w:sz w:val="24"/>
          <w:szCs w:val="24"/>
        </w:rPr>
        <w:t xml:space="preserve"> were found </w:t>
      </w:r>
      <w:r w:rsidR="00266376">
        <w:rPr>
          <w:sz w:val="24"/>
          <w:szCs w:val="24"/>
        </w:rPr>
        <w:t>with</w:t>
      </w:r>
      <w:r w:rsidR="00A672FE">
        <w:rPr>
          <w:sz w:val="24"/>
          <w:szCs w:val="24"/>
        </w:rPr>
        <w:t xml:space="preserve"> the reviewed deselection decisions. H</w:t>
      </w:r>
      <w:r w:rsidR="003C7B19">
        <w:rPr>
          <w:sz w:val="24"/>
          <w:szCs w:val="24"/>
        </w:rPr>
        <w:t xml:space="preserve">owever, the field was </w:t>
      </w:r>
      <w:r>
        <w:rPr>
          <w:sz w:val="24"/>
          <w:szCs w:val="24"/>
        </w:rPr>
        <w:t xml:space="preserve">not compliant with </w:t>
      </w:r>
      <w:r w:rsidR="003C7B19">
        <w:rPr>
          <w:sz w:val="24"/>
          <w:szCs w:val="24"/>
        </w:rPr>
        <w:t>noting the reason for the deselection, as required by QMS User Guide</w:t>
      </w:r>
      <w:r w:rsidR="00912209">
        <w:rPr>
          <w:sz w:val="24"/>
          <w:szCs w:val="24"/>
        </w:rPr>
        <w:t xml:space="preserve">. </w:t>
      </w:r>
    </w:p>
    <w:p w14:paraId="4BFE9758" w14:textId="77777777" w:rsidR="00912209" w:rsidRDefault="00912209" w:rsidP="00A672FE">
      <w:pPr>
        <w:spacing w:before="0" w:after="0"/>
        <w:rPr>
          <w:sz w:val="24"/>
          <w:szCs w:val="24"/>
        </w:rPr>
      </w:pPr>
    </w:p>
    <w:p w14:paraId="29ADEFD4" w14:textId="5080590F" w:rsidR="00A672FE" w:rsidRDefault="0027235C" w:rsidP="00A672FE">
      <w:pPr>
        <w:spacing w:before="0" w:after="0"/>
        <w:rPr>
          <w:sz w:val="24"/>
          <w:szCs w:val="24"/>
        </w:rPr>
      </w:pPr>
      <w:r>
        <w:rPr>
          <w:sz w:val="24"/>
          <w:szCs w:val="24"/>
        </w:rPr>
        <w:t>The largest categor</w:t>
      </w:r>
      <w:r w:rsidR="00A672FE">
        <w:rPr>
          <w:sz w:val="24"/>
          <w:szCs w:val="24"/>
        </w:rPr>
        <w:t>ies</w:t>
      </w:r>
      <w:r>
        <w:rPr>
          <w:sz w:val="24"/>
          <w:szCs w:val="24"/>
        </w:rPr>
        <w:t xml:space="preserve"> for deselections </w:t>
      </w:r>
      <w:r w:rsidR="006F1642">
        <w:rPr>
          <w:sz w:val="24"/>
          <w:szCs w:val="24"/>
        </w:rPr>
        <w:t xml:space="preserve">were </w:t>
      </w:r>
      <w:r>
        <w:rPr>
          <w:sz w:val="24"/>
          <w:szCs w:val="24"/>
        </w:rPr>
        <w:t>Transactions Not Reviewed (63%) and Employee In Training (30%).</w:t>
      </w:r>
      <w:r w:rsidR="00A672FE">
        <w:rPr>
          <w:sz w:val="24"/>
          <w:szCs w:val="24"/>
        </w:rPr>
        <w:t xml:space="preserve"> S</w:t>
      </w:r>
      <w:r w:rsidR="00A672FE" w:rsidRPr="00A672FE">
        <w:rPr>
          <w:sz w:val="24"/>
          <w:szCs w:val="24"/>
        </w:rPr>
        <w:t xml:space="preserve">ince a number of </w:t>
      </w:r>
      <w:r w:rsidR="00A672FE">
        <w:rPr>
          <w:sz w:val="24"/>
          <w:szCs w:val="24"/>
        </w:rPr>
        <w:t xml:space="preserve">training </w:t>
      </w:r>
      <w:r w:rsidR="00A672FE" w:rsidRPr="00A672FE">
        <w:rPr>
          <w:sz w:val="24"/>
          <w:szCs w:val="24"/>
        </w:rPr>
        <w:t xml:space="preserve">deselected cases had errors, which did not affect the accuracy findings of this SFR, it may be indicative of an issue with the hub trainee review process or the mentor training process. </w:t>
      </w:r>
      <w:r w:rsidR="00A672FE">
        <w:rPr>
          <w:sz w:val="24"/>
          <w:szCs w:val="24"/>
        </w:rPr>
        <w:t xml:space="preserve">Please review your trainee work review processes to ensure it is properly </w:t>
      </w:r>
      <w:r w:rsidR="00266376">
        <w:rPr>
          <w:sz w:val="24"/>
          <w:szCs w:val="24"/>
        </w:rPr>
        <w:t>reviewed</w:t>
      </w:r>
      <w:r w:rsidR="00A672FE">
        <w:rPr>
          <w:sz w:val="24"/>
          <w:szCs w:val="24"/>
        </w:rPr>
        <w:t xml:space="preserve"> before release.</w:t>
      </w:r>
    </w:p>
    <w:p w14:paraId="4D72DD5C" w14:textId="75C89BEC" w:rsidR="00A672FE" w:rsidRDefault="00A672FE" w:rsidP="00A672FE">
      <w:pPr>
        <w:spacing w:before="0" w:after="0"/>
        <w:rPr>
          <w:sz w:val="24"/>
          <w:szCs w:val="24"/>
        </w:rPr>
      </w:pPr>
    </w:p>
    <w:p w14:paraId="2C12A1B4" w14:textId="66E5751B" w:rsidR="00A672FE" w:rsidRDefault="00A672FE" w:rsidP="00A672FE">
      <w:pPr>
        <w:spacing w:before="0" w:after="0"/>
        <w:rPr>
          <w:sz w:val="24"/>
          <w:szCs w:val="24"/>
        </w:rPr>
      </w:pPr>
      <w:r>
        <w:rPr>
          <w:sz w:val="24"/>
          <w:szCs w:val="24"/>
        </w:rPr>
        <w:t xml:space="preserve">P&amp;F </w:t>
      </w:r>
      <w:r w:rsidR="00266376">
        <w:rPr>
          <w:sz w:val="24"/>
          <w:szCs w:val="24"/>
        </w:rPr>
        <w:t>Service</w:t>
      </w:r>
      <w:r>
        <w:rPr>
          <w:sz w:val="24"/>
          <w:szCs w:val="24"/>
        </w:rPr>
        <w:t xml:space="preserve"> will also provide a </w:t>
      </w:r>
      <w:r w:rsidR="00266376">
        <w:rPr>
          <w:sz w:val="24"/>
          <w:szCs w:val="24"/>
        </w:rPr>
        <w:t>comprehensive</w:t>
      </w:r>
      <w:r>
        <w:rPr>
          <w:sz w:val="24"/>
          <w:szCs w:val="24"/>
        </w:rPr>
        <w:t xml:space="preserve"> list of transactions that are excluded from IQRs</w:t>
      </w:r>
      <w:r w:rsidR="006F1642">
        <w:rPr>
          <w:sz w:val="24"/>
          <w:szCs w:val="24"/>
        </w:rPr>
        <w:t>.</w:t>
      </w:r>
    </w:p>
    <w:p w14:paraId="4C76FAF3" w14:textId="77777777" w:rsidR="00A933B8" w:rsidRDefault="00A933B8" w:rsidP="00A672FE">
      <w:pPr>
        <w:spacing w:before="0" w:after="0"/>
        <w:rPr>
          <w:sz w:val="24"/>
          <w:szCs w:val="24"/>
        </w:rPr>
      </w:pPr>
    </w:p>
    <w:p w14:paraId="33CD5AD7" w14:textId="6AB9AC74" w:rsidR="00A933B8" w:rsidRPr="00292A1A" w:rsidRDefault="00A933B8" w:rsidP="00A672FE">
      <w:pPr>
        <w:spacing w:before="0" w:after="0"/>
        <w:rPr>
          <w:rFonts w:ascii="Arial" w:hAnsi="Arial" w:cs="Arial"/>
          <w:sz w:val="24"/>
          <w:szCs w:val="24"/>
          <w:u w:val="single"/>
        </w:rPr>
      </w:pPr>
      <w:r w:rsidRPr="00292A1A">
        <w:rPr>
          <w:rFonts w:ascii="Arial" w:hAnsi="Arial" w:cs="Arial"/>
          <w:sz w:val="24"/>
          <w:szCs w:val="24"/>
          <w:u w:val="single"/>
        </w:rPr>
        <w:t xml:space="preserve">Loan Guaranty (LGY) Fiduciary Notifications </w:t>
      </w:r>
    </w:p>
    <w:p w14:paraId="570A18BB" w14:textId="77777777" w:rsidR="00A933B8" w:rsidRDefault="00A933B8" w:rsidP="00A672FE">
      <w:pPr>
        <w:spacing w:before="0" w:after="0"/>
        <w:rPr>
          <w:rFonts w:ascii="Arial" w:hAnsi="Arial" w:cs="Arial"/>
          <w:sz w:val="24"/>
          <w:szCs w:val="24"/>
        </w:rPr>
      </w:pPr>
    </w:p>
    <w:p w14:paraId="2B39506C" w14:textId="5F62CD45" w:rsidR="00266376" w:rsidRDefault="004F0B02" w:rsidP="00A672FE">
      <w:pPr>
        <w:spacing w:before="0" w:after="0"/>
        <w:rPr>
          <w:rFonts w:ascii="Arial" w:hAnsi="Arial" w:cs="Arial"/>
          <w:sz w:val="24"/>
          <w:szCs w:val="24"/>
        </w:rPr>
      </w:pPr>
      <w:r>
        <w:rPr>
          <w:rFonts w:ascii="Arial" w:hAnsi="Arial" w:cs="Arial"/>
          <w:sz w:val="24"/>
          <w:szCs w:val="24"/>
        </w:rPr>
        <w:t xml:space="preserve">P&amp;F Service </w:t>
      </w:r>
      <w:r w:rsidR="00A672FE">
        <w:rPr>
          <w:rFonts w:ascii="Arial" w:hAnsi="Arial" w:cs="Arial"/>
          <w:sz w:val="24"/>
          <w:szCs w:val="24"/>
        </w:rPr>
        <w:t xml:space="preserve">also </w:t>
      </w:r>
      <w:r>
        <w:rPr>
          <w:rFonts w:ascii="Arial" w:hAnsi="Arial" w:cs="Arial"/>
          <w:sz w:val="24"/>
          <w:szCs w:val="24"/>
        </w:rPr>
        <w:t>completed a</w:t>
      </w:r>
      <w:r w:rsidR="00A672FE">
        <w:rPr>
          <w:rFonts w:ascii="Arial" w:hAnsi="Arial" w:cs="Arial"/>
          <w:sz w:val="24"/>
          <w:szCs w:val="24"/>
        </w:rPr>
        <w:t xml:space="preserve">n SFR </w:t>
      </w:r>
      <w:r w:rsidR="00266376">
        <w:rPr>
          <w:rFonts w:ascii="Arial" w:hAnsi="Arial" w:cs="Arial"/>
          <w:sz w:val="24"/>
          <w:szCs w:val="24"/>
        </w:rPr>
        <w:t>of LGY fiduciary notifications.</w:t>
      </w:r>
    </w:p>
    <w:p w14:paraId="76FEEC7F" w14:textId="77777777" w:rsidR="00266376" w:rsidRDefault="00266376" w:rsidP="00A672FE">
      <w:pPr>
        <w:spacing w:before="0" w:after="0"/>
        <w:rPr>
          <w:rFonts w:ascii="Arial" w:hAnsi="Arial" w:cs="Arial"/>
          <w:sz w:val="24"/>
          <w:szCs w:val="24"/>
        </w:rPr>
      </w:pPr>
    </w:p>
    <w:p w14:paraId="7C45267C" w14:textId="4CB7E2C2" w:rsidR="004F0B02" w:rsidRDefault="00266376" w:rsidP="00D2128C">
      <w:pPr>
        <w:spacing w:before="0" w:after="0"/>
        <w:rPr>
          <w:rFonts w:ascii="Arial" w:eastAsiaTheme="minorHAnsi" w:hAnsi="Arial" w:cs="Arial"/>
          <w:sz w:val="24"/>
          <w:szCs w:val="24"/>
        </w:rPr>
      </w:pPr>
      <w:r>
        <w:rPr>
          <w:rFonts w:ascii="Arial" w:hAnsi="Arial" w:cs="Arial"/>
          <w:sz w:val="24"/>
          <w:szCs w:val="24"/>
        </w:rPr>
        <w:t>W</w:t>
      </w:r>
      <w:r w:rsidR="004F0B02">
        <w:rPr>
          <w:rFonts w:ascii="Arial" w:hAnsi="Arial" w:cs="Arial"/>
          <w:sz w:val="24"/>
          <w:szCs w:val="24"/>
        </w:rPr>
        <w:t xml:space="preserve">hen hubs receive notification that a beneficiary in the fiduciary program defaults on a home loan or becomes delinquent over several months, hubs must immediately establish a Fund Usage Follow Up Field Examination EP. The field examination must </w:t>
      </w:r>
      <w:r>
        <w:rPr>
          <w:rFonts w:ascii="Arial" w:hAnsi="Arial" w:cs="Arial"/>
          <w:sz w:val="24"/>
          <w:szCs w:val="24"/>
        </w:rPr>
        <w:t>assess</w:t>
      </w:r>
      <w:r w:rsidR="004F0B02">
        <w:rPr>
          <w:rFonts w:ascii="Arial" w:hAnsi="Arial" w:cs="Arial"/>
          <w:sz w:val="24"/>
          <w:szCs w:val="24"/>
        </w:rPr>
        <w:t xml:space="preserve"> and document current VA FUM, use of VA funds to determine if misuse allegation is warranted, fiduciary relationship with the beneficiary, and reason for the past due VA backed mortgage. Per FPM I.2.D.4.l., the hub must provide a copy of the field examination report electronically to the RLC following completion.</w:t>
      </w:r>
    </w:p>
    <w:p w14:paraId="03E27097" w14:textId="77777777" w:rsidR="004F0B02" w:rsidRDefault="004F0B02" w:rsidP="00D2128C">
      <w:pPr>
        <w:spacing w:before="0" w:after="0"/>
        <w:rPr>
          <w:rFonts w:ascii="Arial" w:hAnsi="Arial" w:cs="Arial"/>
          <w:sz w:val="24"/>
          <w:szCs w:val="24"/>
        </w:rPr>
      </w:pPr>
    </w:p>
    <w:p w14:paraId="210608FB" w14:textId="77777777" w:rsidR="004F0B02" w:rsidRDefault="004F0B02" w:rsidP="00D2128C">
      <w:pPr>
        <w:spacing w:before="0" w:after="0"/>
        <w:rPr>
          <w:rFonts w:ascii="Arial" w:hAnsi="Arial" w:cs="Arial"/>
          <w:sz w:val="24"/>
          <w:szCs w:val="24"/>
        </w:rPr>
      </w:pPr>
      <w:r>
        <w:rPr>
          <w:rFonts w:ascii="Arial" w:hAnsi="Arial" w:cs="Arial"/>
          <w:sz w:val="24"/>
          <w:szCs w:val="24"/>
        </w:rPr>
        <w:lastRenderedPageBreak/>
        <w:t>From August 2022 to January 2023, a total of 56 cases were found where LGY informed the hub of a VA backed loan being in default. The following table provides a summary of findings:</w:t>
      </w:r>
    </w:p>
    <w:p w14:paraId="7F933A87" w14:textId="77777777" w:rsidR="004F0B02" w:rsidRDefault="004F0B02" w:rsidP="00D2128C">
      <w:pPr>
        <w:spacing w:before="0" w:after="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324"/>
        <w:gridCol w:w="2033"/>
        <w:gridCol w:w="1071"/>
        <w:gridCol w:w="1999"/>
        <w:gridCol w:w="1956"/>
        <w:gridCol w:w="1821"/>
      </w:tblGrid>
      <w:tr w:rsidR="004F0B02" w14:paraId="41EE2041" w14:textId="77777777" w:rsidTr="004F0B02">
        <w:tc>
          <w:tcPr>
            <w:tcW w:w="1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3959D5"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Reviewed</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825E9"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of Completed Exams</w:t>
            </w:r>
          </w:p>
        </w:tc>
        <w:tc>
          <w:tcPr>
            <w:tcW w:w="1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313D7"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Correct</w:t>
            </w:r>
          </w:p>
        </w:tc>
        <w:tc>
          <w:tcPr>
            <w:tcW w:w="2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ED01C9"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with Missing Elements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A5E54"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of Missing Reports to RLC</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17BFA" w14:textId="77777777" w:rsidR="004F0B02" w:rsidRDefault="004F0B02" w:rsidP="00D2128C">
            <w:pPr>
              <w:spacing w:before="0" w:after="0"/>
              <w:jc w:val="center"/>
              <w:rPr>
                <w:rFonts w:ascii="Arial" w:hAnsi="Arial" w:cs="Arial"/>
                <w:sz w:val="24"/>
                <w:szCs w:val="24"/>
              </w:rPr>
            </w:pPr>
            <w:r>
              <w:rPr>
                <w:rFonts w:ascii="Arial" w:hAnsi="Arial" w:cs="Arial"/>
                <w:sz w:val="24"/>
                <w:szCs w:val="24"/>
              </w:rPr>
              <w:t>Number with No Actions Taken</w:t>
            </w:r>
          </w:p>
        </w:tc>
      </w:tr>
      <w:tr w:rsidR="004F0B02" w14:paraId="257E22D2" w14:textId="77777777" w:rsidTr="004F0B02">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82FCF" w14:textId="77777777" w:rsidR="004F0B02" w:rsidRDefault="004F0B02" w:rsidP="00D2128C">
            <w:pPr>
              <w:spacing w:before="0" w:after="0"/>
              <w:jc w:val="center"/>
              <w:rPr>
                <w:rFonts w:ascii="Arial" w:hAnsi="Arial" w:cs="Arial"/>
                <w:sz w:val="24"/>
                <w:szCs w:val="24"/>
              </w:rPr>
            </w:pPr>
            <w:r>
              <w:rPr>
                <w:rFonts w:ascii="Arial" w:hAnsi="Arial" w:cs="Arial"/>
                <w:sz w:val="24"/>
                <w:szCs w:val="24"/>
              </w:rPr>
              <w:t>56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D2EFC01" w14:textId="77777777" w:rsidR="004F0B02" w:rsidRDefault="004F0B02" w:rsidP="00D2128C">
            <w:pPr>
              <w:spacing w:before="0" w:after="0"/>
              <w:jc w:val="center"/>
              <w:rPr>
                <w:rFonts w:ascii="Arial" w:hAnsi="Arial" w:cs="Arial"/>
                <w:sz w:val="24"/>
                <w:szCs w:val="24"/>
              </w:rPr>
            </w:pPr>
            <w:r>
              <w:rPr>
                <w:rFonts w:ascii="Arial" w:hAnsi="Arial" w:cs="Arial"/>
                <w:sz w:val="24"/>
                <w:szCs w:val="24"/>
              </w:rPr>
              <w:t>46</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14:paraId="4E868A1B" w14:textId="77777777" w:rsidR="004F0B02" w:rsidRDefault="004F0B02" w:rsidP="00D2128C">
            <w:pPr>
              <w:spacing w:before="0" w:after="0"/>
              <w:jc w:val="center"/>
              <w:rPr>
                <w:rFonts w:ascii="Arial" w:hAnsi="Arial" w:cs="Arial"/>
                <w:sz w:val="24"/>
                <w:szCs w:val="24"/>
              </w:rPr>
            </w:pPr>
            <w:r>
              <w:rPr>
                <w:rFonts w:ascii="Arial" w:hAnsi="Arial" w:cs="Arial"/>
                <w:sz w:val="24"/>
                <w:szCs w:val="24"/>
              </w:rPr>
              <w:t>5</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14:paraId="1A6CFC30" w14:textId="77777777" w:rsidR="004F0B02" w:rsidRDefault="004F0B02" w:rsidP="00D2128C">
            <w:pPr>
              <w:spacing w:before="0" w:after="0"/>
              <w:jc w:val="center"/>
              <w:rPr>
                <w:rFonts w:ascii="Arial" w:hAnsi="Arial" w:cs="Arial"/>
                <w:sz w:val="24"/>
                <w:szCs w:val="24"/>
              </w:rPr>
            </w:pPr>
            <w:r>
              <w:rPr>
                <w:rFonts w:ascii="Arial" w:hAnsi="Arial" w:cs="Arial"/>
                <w:sz w:val="24"/>
                <w:szCs w:val="24"/>
              </w:rPr>
              <w:t>30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21370C3" w14:textId="77777777" w:rsidR="004F0B02" w:rsidRDefault="004F0B02" w:rsidP="00D2128C">
            <w:pPr>
              <w:spacing w:before="0" w:after="0"/>
              <w:jc w:val="center"/>
              <w:rPr>
                <w:rFonts w:ascii="Arial" w:hAnsi="Arial" w:cs="Arial"/>
                <w:sz w:val="24"/>
                <w:szCs w:val="24"/>
              </w:rPr>
            </w:pPr>
            <w:r>
              <w:rPr>
                <w:rFonts w:ascii="Arial" w:hAnsi="Arial" w:cs="Arial"/>
                <w:sz w:val="24"/>
                <w:szCs w:val="24"/>
              </w:rPr>
              <w:t>33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ED9D2F1" w14:textId="77777777" w:rsidR="004F0B02" w:rsidRDefault="004F0B02" w:rsidP="00D2128C">
            <w:pPr>
              <w:spacing w:before="0" w:after="0"/>
              <w:jc w:val="center"/>
              <w:rPr>
                <w:rFonts w:ascii="Arial" w:hAnsi="Arial" w:cs="Arial"/>
                <w:sz w:val="24"/>
                <w:szCs w:val="24"/>
              </w:rPr>
            </w:pPr>
            <w:r>
              <w:rPr>
                <w:rFonts w:ascii="Arial" w:hAnsi="Arial" w:cs="Arial"/>
                <w:sz w:val="24"/>
                <w:szCs w:val="24"/>
              </w:rPr>
              <w:t>10</w:t>
            </w:r>
          </w:p>
        </w:tc>
      </w:tr>
    </w:tbl>
    <w:p w14:paraId="730A9FC3" w14:textId="77777777" w:rsidR="004F0B02" w:rsidRDefault="004F0B02" w:rsidP="00D2128C">
      <w:pPr>
        <w:spacing w:before="0" w:after="0"/>
        <w:rPr>
          <w:rFonts w:ascii="Arial" w:eastAsiaTheme="minorHAnsi" w:hAnsi="Arial" w:cs="Arial"/>
          <w:sz w:val="24"/>
          <w:szCs w:val="24"/>
        </w:rPr>
      </w:pPr>
      <w:r>
        <w:rPr>
          <w:rFonts w:ascii="Arial" w:hAnsi="Arial" w:cs="Arial"/>
          <w:sz w:val="24"/>
          <w:szCs w:val="24"/>
        </w:rPr>
        <w:t xml:space="preserve">     </w:t>
      </w:r>
    </w:p>
    <w:p w14:paraId="799FF4FF" w14:textId="77777777" w:rsidR="004F0B02" w:rsidRDefault="004F0B02" w:rsidP="00D2128C">
      <w:pPr>
        <w:spacing w:before="0" w:after="0"/>
        <w:rPr>
          <w:rFonts w:ascii="Arial" w:hAnsi="Arial" w:cs="Arial"/>
          <w:sz w:val="24"/>
          <w:szCs w:val="24"/>
        </w:rPr>
      </w:pPr>
      <w:r>
        <w:rPr>
          <w:rFonts w:ascii="Arial" w:hAnsi="Arial" w:cs="Arial"/>
          <w:sz w:val="24"/>
          <w:szCs w:val="24"/>
        </w:rPr>
        <w:t>In addition, P&amp;F Service reviewed the case file to ensure all pertinent information was reflected in the Fund Usage Field Examination Report, with the following summary of findings:</w:t>
      </w:r>
    </w:p>
    <w:p w14:paraId="0886CFE7" w14:textId="77777777" w:rsidR="004F0B02" w:rsidRDefault="004F0B02" w:rsidP="00D2128C">
      <w:pPr>
        <w:spacing w:before="0" w:after="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299"/>
        <w:gridCol w:w="1515"/>
        <w:gridCol w:w="2145"/>
        <w:gridCol w:w="2586"/>
        <w:gridCol w:w="2659"/>
      </w:tblGrid>
      <w:tr w:rsidR="004F0B02" w14:paraId="2F10C39A" w14:textId="77777777" w:rsidTr="004F0B02">
        <w:trPr>
          <w:trHeight w:val="728"/>
        </w:trPr>
        <w:tc>
          <w:tcPr>
            <w:tcW w:w="1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28EBC" w14:textId="77777777" w:rsidR="004F0B02" w:rsidRDefault="004F0B02" w:rsidP="00D2128C">
            <w:pPr>
              <w:spacing w:before="0" w:after="0"/>
              <w:rPr>
                <w:rFonts w:ascii="Arial" w:hAnsi="Arial" w:cs="Arial"/>
                <w:sz w:val="24"/>
                <w:szCs w:val="24"/>
              </w:rPr>
            </w:pPr>
            <w:r>
              <w:rPr>
                <w:rFonts w:ascii="Arial" w:hAnsi="Arial" w:cs="Arial"/>
                <w:sz w:val="24"/>
                <w:szCs w:val="24"/>
              </w:rPr>
              <w:t>Number Reviewed</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A9685" w14:textId="77777777" w:rsidR="004F0B02" w:rsidRDefault="004F0B02" w:rsidP="00D2128C">
            <w:pPr>
              <w:spacing w:before="0" w:after="0"/>
              <w:rPr>
                <w:rFonts w:ascii="Arial" w:hAnsi="Arial" w:cs="Arial"/>
                <w:sz w:val="24"/>
                <w:szCs w:val="24"/>
              </w:rPr>
            </w:pPr>
            <w:r>
              <w:rPr>
                <w:rFonts w:ascii="Arial" w:hAnsi="Arial" w:cs="Arial"/>
                <w:sz w:val="24"/>
                <w:szCs w:val="24"/>
              </w:rPr>
              <w:t>Number of Cases with No Errors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D2616" w14:textId="77777777" w:rsidR="004F0B02" w:rsidRDefault="004F0B02" w:rsidP="00D2128C">
            <w:pPr>
              <w:spacing w:before="0" w:after="0"/>
              <w:rPr>
                <w:rFonts w:ascii="Arial" w:hAnsi="Arial" w:cs="Arial"/>
                <w:sz w:val="24"/>
                <w:szCs w:val="24"/>
              </w:rPr>
            </w:pPr>
            <w:r>
              <w:rPr>
                <w:rFonts w:ascii="Arial" w:hAnsi="Arial" w:cs="Arial"/>
                <w:sz w:val="24"/>
                <w:szCs w:val="24"/>
              </w:rPr>
              <w:t>Number of Cases with No VA FUM Documented</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AF58F" w14:textId="77777777" w:rsidR="004F0B02" w:rsidRDefault="004F0B02" w:rsidP="00D2128C">
            <w:pPr>
              <w:spacing w:before="0" w:after="0"/>
              <w:rPr>
                <w:rFonts w:ascii="Arial" w:hAnsi="Arial" w:cs="Arial"/>
                <w:sz w:val="24"/>
                <w:szCs w:val="24"/>
              </w:rPr>
            </w:pPr>
            <w:r>
              <w:rPr>
                <w:rFonts w:ascii="Arial" w:hAnsi="Arial" w:cs="Arial"/>
                <w:sz w:val="24"/>
                <w:szCs w:val="24"/>
              </w:rPr>
              <w:t>Number of Cases with No Bene/Fid Relationship Documented</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B2113" w14:textId="77777777" w:rsidR="004F0B02" w:rsidRDefault="004F0B02" w:rsidP="00D2128C">
            <w:pPr>
              <w:spacing w:before="0" w:after="0"/>
              <w:rPr>
                <w:rFonts w:ascii="Arial" w:hAnsi="Arial" w:cs="Arial"/>
                <w:sz w:val="24"/>
                <w:szCs w:val="24"/>
              </w:rPr>
            </w:pPr>
            <w:r>
              <w:rPr>
                <w:rFonts w:ascii="Arial" w:hAnsi="Arial" w:cs="Arial"/>
                <w:sz w:val="24"/>
                <w:szCs w:val="24"/>
              </w:rPr>
              <w:t>Number of Cases where Reason for Delinquency is not Documented</w:t>
            </w:r>
          </w:p>
        </w:tc>
      </w:tr>
      <w:tr w:rsidR="004F0B02" w14:paraId="4411B702" w14:textId="77777777" w:rsidTr="004F0B02">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CB26E" w14:textId="77777777" w:rsidR="004F0B02" w:rsidRDefault="004F0B02" w:rsidP="00D2128C">
            <w:pPr>
              <w:spacing w:before="0" w:after="0"/>
              <w:jc w:val="center"/>
              <w:rPr>
                <w:rFonts w:ascii="Arial" w:hAnsi="Arial" w:cs="Arial"/>
                <w:sz w:val="24"/>
                <w:szCs w:val="24"/>
              </w:rPr>
            </w:pPr>
            <w:r>
              <w:rPr>
                <w:rFonts w:ascii="Arial" w:hAnsi="Arial" w:cs="Arial"/>
                <w:sz w:val="24"/>
                <w:szCs w:val="24"/>
              </w:rPr>
              <w:t>46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AC5E461" w14:textId="77777777" w:rsidR="004F0B02" w:rsidRDefault="004F0B02" w:rsidP="00D2128C">
            <w:pPr>
              <w:spacing w:before="0" w:after="0"/>
              <w:jc w:val="center"/>
              <w:rPr>
                <w:rFonts w:ascii="Arial" w:hAnsi="Arial" w:cs="Arial"/>
                <w:sz w:val="24"/>
                <w:szCs w:val="24"/>
              </w:rPr>
            </w:pPr>
            <w:r>
              <w:rPr>
                <w:rFonts w:ascii="Arial" w:hAnsi="Arial" w:cs="Arial"/>
                <w:sz w:val="24"/>
                <w:szCs w:val="24"/>
              </w:rPr>
              <w:t>16</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4D71C7B" w14:textId="77777777" w:rsidR="004F0B02" w:rsidRDefault="004F0B02" w:rsidP="00D2128C">
            <w:pPr>
              <w:spacing w:before="0" w:after="0"/>
              <w:jc w:val="center"/>
              <w:rPr>
                <w:rFonts w:ascii="Arial" w:hAnsi="Arial" w:cs="Arial"/>
                <w:sz w:val="24"/>
                <w:szCs w:val="24"/>
              </w:rPr>
            </w:pPr>
            <w:r>
              <w:rPr>
                <w:rFonts w:ascii="Arial" w:hAnsi="Arial" w:cs="Arial"/>
                <w:sz w:val="24"/>
                <w:szCs w:val="24"/>
              </w:rPr>
              <w:t>29</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3B6C59D9" w14:textId="77777777" w:rsidR="004F0B02" w:rsidRDefault="004F0B02" w:rsidP="00D2128C">
            <w:pPr>
              <w:spacing w:before="0" w:after="0"/>
              <w:jc w:val="center"/>
              <w:rPr>
                <w:rFonts w:ascii="Arial" w:hAnsi="Arial" w:cs="Arial"/>
                <w:sz w:val="24"/>
                <w:szCs w:val="24"/>
              </w:rPr>
            </w:pPr>
            <w:r>
              <w:rPr>
                <w:rFonts w:ascii="Arial" w:hAnsi="Arial" w:cs="Arial"/>
                <w:sz w:val="24"/>
                <w:szCs w:val="24"/>
              </w:rPr>
              <w:t>8</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6BFB864" w14:textId="77777777" w:rsidR="004F0B02" w:rsidRDefault="004F0B02" w:rsidP="00D2128C">
            <w:pPr>
              <w:spacing w:before="0" w:after="0"/>
              <w:jc w:val="center"/>
              <w:rPr>
                <w:rFonts w:ascii="Arial" w:hAnsi="Arial" w:cs="Arial"/>
                <w:sz w:val="24"/>
                <w:szCs w:val="24"/>
              </w:rPr>
            </w:pPr>
            <w:r>
              <w:rPr>
                <w:rFonts w:ascii="Arial" w:hAnsi="Arial" w:cs="Arial"/>
                <w:sz w:val="24"/>
                <w:szCs w:val="24"/>
              </w:rPr>
              <w:t>7</w:t>
            </w:r>
          </w:p>
        </w:tc>
      </w:tr>
    </w:tbl>
    <w:p w14:paraId="76A6AA08" w14:textId="77777777" w:rsidR="004F0B02" w:rsidRDefault="004F0B02" w:rsidP="00D2128C">
      <w:pPr>
        <w:spacing w:before="0" w:after="0"/>
        <w:rPr>
          <w:rFonts w:ascii="Arial" w:eastAsiaTheme="minorHAnsi" w:hAnsi="Arial" w:cs="Arial"/>
          <w:sz w:val="24"/>
          <w:szCs w:val="24"/>
        </w:rPr>
      </w:pPr>
    </w:p>
    <w:p w14:paraId="72D5DABB" w14:textId="4530405F" w:rsidR="004F0B02" w:rsidRDefault="004F0B02" w:rsidP="00D2128C">
      <w:pPr>
        <w:spacing w:before="0" w:after="0"/>
        <w:rPr>
          <w:rFonts w:ascii="Arial" w:hAnsi="Arial" w:cs="Arial"/>
          <w:sz w:val="24"/>
          <w:szCs w:val="24"/>
        </w:rPr>
      </w:pPr>
      <w:r>
        <w:rPr>
          <w:rFonts w:ascii="Arial" w:hAnsi="Arial" w:cs="Arial"/>
          <w:sz w:val="24"/>
          <w:szCs w:val="24"/>
        </w:rPr>
        <w:t xml:space="preserve">The SFR found that hubs only had a compliance/accuracy rate of 10.8 percent. Due to the </w:t>
      </w:r>
      <w:r w:rsidR="00266376">
        <w:rPr>
          <w:rFonts w:ascii="Arial" w:hAnsi="Arial" w:cs="Arial"/>
          <w:sz w:val="24"/>
          <w:szCs w:val="24"/>
        </w:rPr>
        <w:t>low compliance and accuracy rate</w:t>
      </w:r>
      <w:r>
        <w:rPr>
          <w:rFonts w:ascii="Arial" w:hAnsi="Arial" w:cs="Arial"/>
          <w:sz w:val="24"/>
          <w:szCs w:val="24"/>
        </w:rPr>
        <w:t xml:space="preserve">, a follow-up SFR will be completed next year on this subject. </w:t>
      </w:r>
    </w:p>
    <w:p w14:paraId="138CFAF7" w14:textId="77777777" w:rsidR="004F0B02" w:rsidRPr="00C7076C" w:rsidRDefault="004F0B02" w:rsidP="00A672FE">
      <w:pPr>
        <w:spacing w:before="0" w:after="0"/>
        <w:rPr>
          <w:strike/>
          <w:sz w:val="24"/>
          <w:szCs w:val="24"/>
        </w:rPr>
      </w:pPr>
    </w:p>
    <w:tbl>
      <w:tblPr>
        <w:tblStyle w:val="GridTable1Light"/>
        <w:tblW w:w="47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7741"/>
        <w:gridCol w:w="20"/>
        <w:gridCol w:w="1854"/>
      </w:tblGrid>
      <w:tr w:rsidR="00D60069" w:rsidRPr="00D60069" w14:paraId="49935D0D" w14:textId="77777777" w:rsidTr="004F0B02">
        <w:trPr>
          <w:tblHeader/>
        </w:trPr>
        <w:tc>
          <w:tcPr>
            <w:tcW w:w="7740" w:type="dxa"/>
            <w:vAlign w:val="bottom"/>
          </w:tcPr>
          <w:p w14:paraId="134351F4" w14:textId="77777777" w:rsidR="00D60069" w:rsidRPr="005537F7" w:rsidRDefault="005537F7" w:rsidP="00284200">
            <w:pPr>
              <w:pStyle w:val="Heading2"/>
              <w:spacing w:after="80"/>
              <w:rPr>
                <w:sz w:val="24"/>
                <w:szCs w:val="24"/>
              </w:rPr>
            </w:pPr>
            <w:r w:rsidRPr="005537F7">
              <w:rPr>
                <w:sz w:val="24"/>
                <w:szCs w:val="24"/>
              </w:rPr>
              <w:t>Refer</w:t>
            </w:r>
            <w:r>
              <w:rPr>
                <w:sz w:val="24"/>
                <w:szCs w:val="24"/>
              </w:rPr>
              <w:t>e</w:t>
            </w:r>
            <w:r w:rsidRPr="005537F7">
              <w:rPr>
                <w:sz w:val="24"/>
                <w:szCs w:val="24"/>
              </w:rPr>
              <w:t>nces/Contacts</w:t>
            </w:r>
          </w:p>
        </w:tc>
        <w:tc>
          <w:tcPr>
            <w:tcW w:w="20" w:type="dxa"/>
            <w:vAlign w:val="bottom"/>
          </w:tcPr>
          <w:p w14:paraId="18ABAA87" w14:textId="77777777" w:rsidR="00D60069" w:rsidRPr="00D60069" w:rsidRDefault="00D60069" w:rsidP="00284200">
            <w:pPr>
              <w:pStyle w:val="Heading2"/>
              <w:spacing w:after="80"/>
            </w:pPr>
          </w:p>
        </w:tc>
        <w:tc>
          <w:tcPr>
            <w:tcW w:w="1854" w:type="dxa"/>
            <w:vAlign w:val="bottom"/>
          </w:tcPr>
          <w:p w14:paraId="0CB9A8F4" w14:textId="77777777" w:rsidR="00D60069" w:rsidRPr="00D60069" w:rsidRDefault="00D60069" w:rsidP="00284200">
            <w:pPr>
              <w:pStyle w:val="Heading2"/>
              <w:spacing w:after="80"/>
            </w:pPr>
          </w:p>
        </w:tc>
      </w:tr>
      <w:tr w:rsidR="00F31E9F" w:rsidRPr="00D60069" w14:paraId="31F3A696" w14:textId="77777777" w:rsidTr="004F0B02">
        <w:tc>
          <w:tcPr>
            <w:tcW w:w="7740" w:type="dxa"/>
          </w:tcPr>
          <w:p w14:paraId="2E2438EB" w14:textId="6C5EBCAE" w:rsidR="004F0B02" w:rsidRDefault="00000000" w:rsidP="004F0B02">
            <w:pPr>
              <w:rPr>
                <w:rFonts w:ascii="Arial" w:hAnsi="Arial" w:cs="Arial"/>
                <w:sz w:val="24"/>
                <w:szCs w:val="24"/>
              </w:rPr>
            </w:pPr>
            <w:hyperlink r:id="rId16" w:anchor="4j" w:history="1">
              <w:r w:rsidR="004F0B02">
                <w:rPr>
                  <w:rStyle w:val="Hyperlink"/>
                  <w:rFonts w:ascii="Arial" w:hAnsi="Arial" w:cs="Arial"/>
                  <w:sz w:val="24"/>
                  <w:szCs w:val="24"/>
                </w:rPr>
                <w:t xml:space="preserve">FPM, I.2.D.4.j. – Evaluating the Management of VA Funds When the VA Home Loan is in Default or Extended Delinquency </w:t>
              </w:r>
            </w:hyperlink>
          </w:p>
          <w:p w14:paraId="3EA859B3" w14:textId="77777777" w:rsidR="004F0B02" w:rsidRDefault="00000000" w:rsidP="004F0B02">
            <w:pPr>
              <w:rPr>
                <w:rStyle w:val="Hyperlink"/>
                <w:rFonts w:ascii="Calibri" w:hAnsi="Calibri" w:cs="Calibri"/>
                <w:sz w:val="22"/>
                <w:szCs w:val="22"/>
              </w:rPr>
            </w:pPr>
            <w:hyperlink r:id="rId17" w:anchor="4l" w:history="1">
              <w:r w:rsidR="004F0B02">
                <w:rPr>
                  <w:rStyle w:val="Hyperlink"/>
                  <w:rFonts w:ascii="Arial" w:hAnsi="Arial" w:cs="Arial"/>
                  <w:sz w:val="24"/>
                  <w:szCs w:val="24"/>
                </w:rPr>
                <w:t>FPM, I.2.D.4.l, - Notification of Field Examination Completion</w:t>
              </w:r>
            </w:hyperlink>
          </w:p>
          <w:p w14:paraId="3F9D6F8E" w14:textId="0FCFF16D" w:rsidR="00FB16CB" w:rsidRDefault="00EC295B" w:rsidP="004F0B02">
            <w:pPr>
              <w:pStyle w:val="ListBullet"/>
              <w:numPr>
                <w:ilvl w:val="0"/>
                <w:numId w:val="0"/>
              </w:numPr>
              <w:spacing w:before="0"/>
              <w:ind w:left="360" w:hanging="360"/>
              <w:rPr>
                <w:sz w:val="24"/>
                <w:szCs w:val="24"/>
              </w:rPr>
            </w:pPr>
            <w:r>
              <w:rPr>
                <w:sz w:val="24"/>
                <w:szCs w:val="24"/>
              </w:rPr>
              <w:t>Q</w:t>
            </w:r>
            <w:r w:rsidR="004F0B02">
              <w:rPr>
                <w:sz w:val="24"/>
                <w:szCs w:val="24"/>
              </w:rPr>
              <w:t xml:space="preserve">uality </w:t>
            </w:r>
            <w:r>
              <w:rPr>
                <w:sz w:val="24"/>
                <w:szCs w:val="24"/>
              </w:rPr>
              <w:t>M</w:t>
            </w:r>
            <w:r w:rsidR="004F0B02">
              <w:rPr>
                <w:sz w:val="24"/>
                <w:szCs w:val="24"/>
              </w:rPr>
              <w:t xml:space="preserve">anagement </w:t>
            </w:r>
            <w:r>
              <w:rPr>
                <w:sz w:val="24"/>
                <w:szCs w:val="24"/>
              </w:rPr>
              <w:t>S</w:t>
            </w:r>
            <w:r w:rsidR="004F0B02">
              <w:rPr>
                <w:sz w:val="24"/>
                <w:szCs w:val="24"/>
              </w:rPr>
              <w:t>ystem</w:t>
            </w:r>
            <w:r>
              <w:rPr>
                <w:sz w:val="24"/>
                <w:szCs w:val="24"/>
              </w:rPr>
              <w:t xml:space="preserve"> User Guide</w:t>
            </w:r>
            <w:r w:rsidR="004F0B02">
              <w:rPr>
                <w:sz w:val="24"/>
                <w:szCs w:val="24"/>
              </w:rPr>
              <w:t>M21-4, 8.12 - IQRs</w:t>
            </w:r>
          </w:p>
          <w:p w14:paraId="35658F58" w14:textId="54C1F032" w:rsidR="00FB16CB" w:rsidRPr="00E54C1A" w:rsidRDefault="00FB16CB" w:rsidP="00EC295B">
            <w:pPr>
              <w:pStyle w:val="ListBullet"/>
              <w:numPr>
                <w:ilvl w:val="0"/>
                <w:numId w:val="0"/>
              </w:numPr>
              <w:spacing w:before="0"/>
              <w:ind w:left="360"/>
              <w:rPr>
                <w:sz w:val="24"/>
                <w:szCs w:val="24"/>
              </w:rPr>
            </w:pPr>
          </w:p>
        </w:tc>
        <w:tc>
          <w:tcPr>
            <w:tcW w:w="20" w:type="dxa"/>
          </w:tcPr>
          <w:p w14:paraId="1438F1B9" w14:textId="6B29254D" w:rsidR="00F31E9F" w:rsidRPr="00F31E9F" w:rsidRDefault="00F31E9F" w:rsidP="00EC295B">
            <w:pPr>
              <w:spacing w:before="0"/>
              <w:rPr>
                <w:sz w:val="24"/>
                <w:szCs w:val="24"/>
              </w:rPr>
            </w:pPr>
          </w:p>
        </w:tc>
        <w:tc>
          <w:tcPr>
            <w:tcW w:w="1854" w:type="dxa"/>
          </w:tcPr>
          <w:p w14:paraId="679DF602" w14:textId="77777777" w:rsidR="00F31E9F" w:rsidRPr="00D60069" w:rsidRDefault="00F31E9F" w:rsidP="00F31E9F">
            <w:pPr>
              <w:spacing w:after="80"/>
            </w:pPr>
          </w:p>
        </w:tc>
      </w:tr>
    </w:tbl>
    <w:p w14:paraId="18CADD55" w14:textId="3999B695" w:rsidR="00F15EBC" w:rsidRDefault="00F15EBC"/>
    <w:tbl>
      <w:tblPr>
        <w:tblW w:w="5278"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710"/>
        <w:gridCol w:w="5247"/>
        <w:gridCol w:w="1397"/>
        <w:gridCol w:w="2438"/>
      </w:tblGrid>
      <w:tr w:rsidR="00F15EBC" w:rsidRPr="00D60069" w14:paraId="1C51ADAB" w14:textId="77777777" w:rsidTr="00FC579B">
        <w:trPr>
          <w:trHeight w:val="805"/>
        </w:trPr>
        <w:tc>
          <w:tcPr>
            <w:tcW w:w="1710" w:type="dxa"/>
          </w:tcPr>
          <w:p w14:paraId="12626D14" w14:textId="77777777" w:rsidR="00F15EBC" w:rsidRPr="00075FC0" w:rsidRDefault="00000000" w:rsidP="003A3841">
            <w:pPr>
              <w:pStyle w:val="Heading2"/>
              <w:rPr>
                <w:color w:val="8064A2" w:themeColor="accent4"/>
              </w:rPr>
            </w:pPr>
            <w:sdt>
              <w:sdtPr>
                <w:rPr>
                  <w:color w:val="8064A2" w:themeColor="accent4"/>
                </w:rPr>
                <w:id w:val="1322472255"/>
                <w:placeholder>
                  <w:docPart w:val="63F8F156A0BA49FD94B529EB45F4DDD9"/>
                </w:placeholder>
                <w:temporary/>
                <w:showingPlcHdr/>
                <w15:appearance w15:val="hidden"/>
              </w:sdtPr>
              <w:sdtContent>
                <w:r w:rsidR="00F15EBC" w:rsidRPr="00075FC0">
                  <w:rPr>
                    <w:color w:val="8064A2" w:themeColor="accent4"/>
                    <w:sz w:val="24"/>
                    <w:szCs w:val="24"/>
                  </w:rPr>
                  <w:t>Agenda item:</w:t>
                </w:r>
              </w:sdtContent>
            </w:sdt>
          </w:p>
        </w:tc>
        <w:tc>
          <w:tcPr>
            <w:tcW w:w="5247" w:type="dxa"/>
          </w:tcPr>
          <w:p w14:paraId="64FF6032" w14:textId="34958AE9" w:rsidR="00F15EBC" w:rsidRPr="007E4418" w:rsidRDefault="00233836" w:rsidP="003A3841">
            <w:pPr>
              <w:rPr>
                <w:color w:val="8064A2" w:themeColor="accent4"/>
                <w:sz w:val="24"/>
                <w:szCs w:val="24"/>
              </w:rPr>
            </w:pPr>
            <w:r w:rsidRPr="00233836">
              <w:rPr>
                <w:rFonts w:asciiTheme="majorHAnsi" w:eastAsiaTheme="majorEastAsia" w:hAnsiTheme="majorHAnsi" w:cs="Arial"/>
                <w:bCs/>
                <w:iCs/>
                <w:color w:val="8064A2" w:themeColor="accent4"/>
                <w:sz w:val="24"/>
                <w:szCs w:val="24"/>
              </w:rPr>
              <w:t>ACCESSING TRAINING REQUIREMENTS IN THE M21-3</w:t>
            </w:r>
            <w:bookmarkStart w:id="6" w:name="FOUR_"/>
            <w:bookmarkEnd w:id="6"/>
          </w:p>
        </w:tc>
        <w:tc>
          <w:tcPr>
            <w:tcW w:w="1397" w:type="dxa"/>
          </w:tcPr>
          <w:p w14:paraId="341A4664" w14:textId="77777777" w:rsidR="00F15EBC" w:rsidRPr="00075FC0" w:rsidRDefault="00000000" w:rsidP="003A3841">
            <w:pPr>
              <w:pStyle w:val="Heading2"/>
              <w:rPr>
                <w:color w:val="8064A2" w:themeColor="accent4"/>
              </w:rPr>
            </w:pPr>
            <w:sdt>
              <w:sdtPr>
                <w:rPr>
                  <w:color w:val="8064A2" w:themeColor="accent4"/>
                </w:rPr>
                <w:id w:val="-295382365"/>
                <w:placeholder>
                  <w:docPart w:val="B9AD265B8BA14DF9BFC87494C85D00AA"/>
                </w:placeholder>
                <w:temporary/>
                <w:showingPlcHdr/>
                <w15:appearance w15:val="hidden"/>
              </w:sdtPr>
              <w:sdtContent>
                <w:r w:rsidR="00F15EBC" w:rsidRPr="00075FC0">
                  <w:rPr>
                    <w:color w:val="8064A2" w:themeColor="accent4"/>
                    <w:sz w:val="24"/>
                    <w:szCs w:val="24"/>
                  </w:rPr>
                  <w:t>Presenter:</w:t>
                </w:r>
              </w:sdtContent>
            </w:sdt>
          </w:p>
        </w:tc>
        <w:tc>
          <w:tcPr>
            <w:tcW w:w="2438" w:type="dxa"/>
          </w:tcPr>
          <w:p w14:paraId="6F0B3734" w14:textId="6759F2BA" w:rsidR="00F15EBC" w:rsidRPr="007E4418" w:rsidRDefault="00FB16CB" w:rsidP="003A3841">
            <w:pPr>
              <w:rPr>
                <w:color w:val="8064A2" w:themeColor="accent4"/>
                <w:sz w:val="24"/>
                <w:szCs w:val="24"/>
              </w:rPr>
            </w:pPr>
            <w:r>
              <w:rPr>
                <w:color w:val="8064A2" w:themeColor="accent4"/>
                <w:sz w:val="24"/>
                <w:szCs w:val="24"/>
              </w:rPr>
              <w:t>HECTOR MATTOS, TRAINING ANALYST</w:t>
            </w:r>
          </w:p>
        </w:tc>
      </w:tr>
    </w:tbl>
    <w:p w14:paraId="048042A1" w14:textId="77777777" w:rsidR="00F15EBC" w:rsidRPr="00075FC0" w:rsidRDefault="00F15EBC" w:rsidP="00011A4B">
      <w:pPr>
        <w:pStyle w:val="Heading4"/>
        <w:spacing w:before="0" w:after="0"/>
        <w:rPr>
          <w:color w:val="548DD4" w:themeColor="text2" w:themeTint="99"/>
          <w:sz w:val="24"/>
          <w:szCs w:val="24"/>
        </w:rPr>
      </w:pPr>
      <w:r w:rsidRPr="00075FC0">
        <w:rPr>
          <w:color w:val="548DD4" w:themeColor="text2" w:themeTint="99"/>
          <w:sz w:val="24"/>
          <w:szCs w:val="24"/>
        </w:rPr>
        <w:t>Target Audience:</w:t>
      </w:r>
    </w:p>
    <w:p w14:paraId="790C81DE" w14:textId="77777777" w:rsidR="00011A4B" w:rsidRDefault="00011A4B" w:rsidP="00011A4B">
      <w:pPr>
        <w:pStyle w:val="Heading4"/>
        <w:spacing w:before="0" w:after="0"/>
        <w:rPr>
          <w:b w:val="0"/>
          <w:color w:val="4F81BD" w:themeColor="accent1"/>
          <w:sz w:val="24"/>
          <w:szCs w:val="24"/>
        </w:rPr>
      </w:pPr>
    </w:p>
    <w:p w14:paraId="36BD8F16" w14:textId="455F6E05" w:rsidR="00C120C3" w:rsidRDefault="00C120C3" w:rsidP="00011A4B">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5A7C440C" w14:textId="77777777" w:rsidR="00011A4B" w:rsidRDefault="00011A4B" w:rsidP="00011A4B">
      <w:pPr>
        <w:pStyle w:val="Heading4"/>
        <w:spacing w:before="0" w:after="0"/>
        <w:rPr>
          <w:sz w:val="24"/>
          <w:szCs w:val="24"/>
        </w:rPr>
      </w:pPr>
    </w:p>
    <w:p w14:paraId="676921DB" w14:textId="6FDF097F" w:rsidR="00F15EBC" w:rsidRPr="005537F7" w:rsidRDefault="00F15EBC" w:rsidP="00011A4B">
      <w:pPr>
        <w:pStyle w:val="Heading4"/>
        <w:spacing w:before="0" w:after="0"/>
        <w:rPr>
          <w:sz w:val="24"/>
          <w:szCs w:val="24"/>
        </w:rPr>
      </w:pPr>
      <w:r w:rsidRPr="005537F7">
        <w:rPr>
          <w:sz w:val="24"/>
          <w:szCs w:val="24"/>
        </w:rPr>
        <w:t>Discussion:</w:t>
      </w:r>
    </w:p>
    <w:p w14:paraId="2357169D" w14:textId="77777777" w:rsidR="00011A4B" w:rsidRDefault="00011A4B" w:rsidP="00011A4B">
      <w:pPr>
        <w:spacing w:before="0" w:after="0"/>
        <w:rPr>
          <w:sz w:val="24"/>
          <w:szCs w:val="24"/>
        </w:rPr>
      </w:pPr>
    </w:p>
    <w:p w14:paraId="0DC81B51" w14:textId="4152D640" w:rsidR="00011A4B" w:rsidRDefault="00854FDA" w:rsidP="00854FDA">
      <w:pPr>
        <w:spacing w:before="0" w:after="0"/>
        <w:rPr>
          <w:rStyle w:val="CommentReference"/>
        </w:rPr>
      </w:pPr>
      <w:r w:rsidRPr="00854FDA">
        <w:rPr>
          <w:sz w:val="24"/>
          <w:szCs w:val="24"/>
        </w:rPr>
        <w:t xml:space="preserve">In collaboration with Human Capital Services, </w:t>
      </w:r>
      <w:r w:rsidR="00D22D95">
        <w:rPr>
          <w:sz w:val="24"/>
          <w:szCs w:val="24"/>
        </w:rPr>
        <w:t>P&amp;F</w:t>
      </w:r>
      <w:r w:rsidRPr="00854FDA">
        <w:rPr>
          <w:sz w:val="24"/>
          <w:szCs w:val="24"/>
        </w:rPr>
        <w:t xml:space="preserve"> Service updated and deployed TMS Curriculum IDs utilized to assign</w:t>
      </w:r>
      <w:r>
        <w:rPr>
          <w:sz w:val="24"/>
          <w:szCs w:val="24"/>
        </w:rPr>
        <w:t xml:space="preserve"> </w:t>
      </w:r>
      <w:r w:rsidRPr="00854FDA">
        <w:rPr>
          <w:sz w:val="24"/>
          <w:szCs w:val="24"/>
        </w:rPr>
        <w:t>FOCUS/Centralized Training for newly hired fiduciary hub employees. These updates facilitate the maintenance of centralized curricula, expedite</w:t>
      </w:r>
      <w:r>
        <w:rPr>
          <w:sz w:val="24"/>
          <w:szCs w:val="24"/>
        </w:rPr>
        <w:t xml:space="preserve"> </w:t>
      </w:r>
      <w:r w:rsidRPr="00854FDA">
        <w:rPr>
          <w:sz w:val="24"/>
          <w:szCs w:val="24"/>
        </w:rPr>
        <w:t>updates to the curricula, and provide notification to the field soon after any curricula updates. In addition, these updates allow Training Managers to</w:t>
      </w:r>
      <w:r>
        <w:rPr>
          <w:sz w:val="24"/>
          <w:szCs w:val="24"/>
        </w:rPr>
        <w:t xml:space="preserve"> </w:t>
      </w:r>
      <w:r w:rsidRPr="00854FDA">
        <w:rPr>
          <w:sz w:val="24"/>
          <w:szCs w:val="24"/>
        </w:rPr>
        <w:t>directly assign courses to new employees within a centralized curriculum managed by TMS. In turn, P&amp;F</w:t>
      </w:r>
      <w:r w:rsidR="00D22D95">
        <w:rPr>
          <w:sz w:val="24"/>
          <w:szCs w:val="24"/>
        </w:rPr>
        <w:t xml:space="preserve"> </w:t>
      </w:r>
      <w:r w:rsidRPr="00854FDA">
        <w:rPr>
          <w:sz w:val="24"/>
          <w:szCs w:val="24"/>
        </w:rPr>
        <w:t>S</w:t>
      </w:r>
      <w:r w:rsidR="00D22D95">
        <w:rPr>
          <w:sz w:val="24"/>
          <w:szCs w:val="24"/>
        </w:rPr>
        <w:t>ervice</w:t>
      </w:r>
      <w:r w:rsidRPr="00854FDA">
        <w:rPr>
          <w:sz w:val="24"/>
          <w:szCs w:val="24"/>
        </w:rPr>
        <w:t xml:space="preserve"> will be able to reduce the amount of</w:t>
      </w:r>
      <w:r>
        <w:rPr>
          <w:sz w:val="24"/>
          <w:szCs w:val="24"/>
        </w:rPr>
        <w:t xml:space="preserve"> </w:t>
      </w:r>
      <w:r w:rsidRPr="00854FDA">
        <w:rPr>
          <w:sz w:val="24"/>
          <w:szCs w:val="24"/>
        </w:rPr>
        <w:t>manual change requests, monitor compliance, and verify that required training is being provided per M21-3 requirements.</w:t>
      </w:r>
      <w:r w:rsidDel="00854FDA">
        <w:rPr>
          <w:rStyle w:val="CommentReference"/>
        </w:rPr>
        <w:t xml:space="preserve"> </w:t>
      </w:r>
    </w:p>
    <w:p w14:paraId="4D1B7E14" w14:textId="16499810" w:rsidR="00854FDA" w:rsidRDefault="00854FDA" w:rsidP="00854FDA">
      <w:pPr>
        <w:spacing w:before="0" w:after="0"/>
        <w:rPr>
          <w:rStyle w:val="CommentReference"/>
        </w:rPr>
      </w:pPr>
    </w:p>
    <w:p w14:paraId="552D1C78" w14:textId="70233079" w:rsidR="00854FDA" w:rsidRDefault="00854FDA" w:rsidP="00854FDA">
      <w:pPr>
        <w:spacing w:before="0" w:after="0"/>
        <w:rPr>
          <w:b/>
          <w:bCs/>
          <w:sz w:val="24"/>
          <w:szCs w:val="24"/>
        </w:rPr>
      </w:pPr>
      <w:r w:rsidRPr="00854FDA">
        <w:rPr>
          <w:sz w:val="24"/>
          <w:szCs w:val="24"/>
        </w:rPr>
        <w:t xml:space="preserve">The Curriculum IDs and items contained in them are listed in the Learning Catalog within the </w:t>
      </w:r>
      <w:hyperlink r:id="rId18" w:history="1">
        <w:r w:rsidRPr="00854FDA">
          <w:rPr>
            <w:rStyle w:val="Hyperlink"/>
            <w:b/>
            <w:bCs/>
            <w:sz w:val="24"/>
            <w:szCs w:val="24"/>
          </w:rPr>
          <w:t>VBA Learning Catalog Homepage &gt; Useful Links &gt; Fiduciary Service FY23 Mandated Courses Released.</w:t>
        </w:r>
      </w:hyperlink>
    </w:p>
    <w:p w14:paraId="110795C2" w14:textId="77777777" w:rsidR="00D22D95" w:rsidRPr="00854FDA" w:rsidRDefault="00D22D95" w:rsidP="00854FDA">
      <w:pPr>
        <w:spacing w:before="0" w:after="0"/>
        <w:rPr>
          <w:sz w:val="24"/>
          <w:szCs w:val="24"/>
        </w:rPr>
      </w:pPr>
    </w:p>
    <w:p w14:paraId="1CF43AC1" w14:textId="065E4CA1" w:rsidR="00854FDA" w:rsidRPr="00854FDA" w:rsidRDefault="00854FDA" w:rsidP="00854FDA">
      <w:pPr>
        <w:pStyle w:val="ListParagraph"/>
        <w:numPr>
          <w:ilvl w:val="0"/>
          <w:numId w:val="25"/>
        </w:numPr>
        <w:spacing w:before="0" w:after="0"/>
        <w:rPr>
          <w:sz w:val="24"/>
          <w:szCs w:val="24"/>
        </w:rPr>
      </w:pPr>
      <w:r w:rsidRPr="00854FDA">
        <w:rPr>
          <w:sz w:val="24"/>
          <w:szCs w:val="24"/>
        </w:rPr>
        <w:t>Required TMS items listed within the centralized curricula are updated in the VBA Learning Catalog workbook each Friday (excluding</w:t>
      </w:r>
      <w:r>
        <w:rPr>
          <w:sz w:val="24"/>
          <w:szCs w:val="24"/>
        </w:rPr>
        <w:t xml:space="preserve"> holidays).</w:t>
      </w:r>
      <w:r w:rsidRPr="00854FDA">
        <w:rPr>
          <w:sz w:val="24"/>
          <w:szCs w:val="24"/>
        </w:rPr>
        <w:t xml:space="preserve"> </w:t>
      </w:r>
    </w:p>
    <w:p w14:paraId="205B6AFE" w14:textId="2A6334A7" w:rsidR="00854FDA" w:rsidRPr="00854FDA" w:rsidRDefault="00854FDA" w:rsidP="00854FDA">
      <w:pPr>
        <w:pStyle w:val="ListParagraph"/>
        <w:numPr>
          <w:ilvl w:val="0"/>
          <w:numId w:val="26"/>
        </w:numPr>
        <w:spacing w:before="0" w:after="0"/>
        <w:rPr>
          <w:sz w:val="24"/>
          <w:szCs w:val="24"/>
        </w:rPr>
      </w:pPr>
      <w:r w:rsidRPr="00854FDA">
        <w:rPr>
          <w:sz w:val="24"/>
          <w:szCs w:val="24"/>
        </w:rPr>
        <w:t xml:space="preserve">Relevant updates to the M21-3 linking the Centralized Training workbook displayed in the Learning Catalog </w:t>
      </w:r>
      <w:r>
        <w:rPr>
          <w:sz w:val="24"/>
          <w:szCs w:val="24"/>
        </w:rPr>
        <w:t xml:space="preserve">were published June 9, 2023. </w:t>
      </w:r>
    </w:p>
    <w:p w14:paraId="030D397A" w14:textId="77777777" w:rsidR="00930B49" w:rsidRDefault="00930B49" w:rsidP="00011A4B">
      <w:pPr>
        <w:spacing w:before="0" w:after="0"/>
        <w:rPr>
          <w:sz w:val="24"/>
          <w:szCs w:val="24"/>
        </w:rPr>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F15EBC" w:rsidRPr="00D60069" w14:paraId="4D92852C" w14:textId="77777777" w:rsidTr="003A3841">
        <w:tc>
          <w:tcPr>
            <w:tcW w:w="1620" w:type="dxa"/>
          </w:tcPr>
          <w:p w14:paraId="5448B89B" w14:textId="77777777" w:rsidR="00F15EBC" w:rsidRPr="00075FC0" w:rsidRDefault="00000000" w:rsidP="003A3841">
            <w:pPr>
              <w:pStyle w:val="Heading2"/>
              <w:rPr>
                <w:color w:val="8064A2" w:themeColor="accent4"/>
              </w:rPr>
            </w:pPr>
            <w:sdt>
              <w:sdtPr>
                <w:rPr>
                  <w:color w:val="8064A2" w:themeColor="accent4"/>
                </w:rPr>
                <w:id w:val="1118797329"/>
                <w:placeholder>
                  <w:docPart w:val="D2F682D7EEDC4D41BE88C703B1C57A15"/>
                </w:placeholder>
                <w:temporary/>
                <w:showingPlcHdr/>
                <w15:appearance w15:val="hidden"/>
              </w:sdtPr>
              <w:sdtContent>
                <w:r w:rsidR="00F15EBC" w:rsidRPr="00075FC0">
                  <w:rPr>
                    <w:color w:val="8064A2" w:themeColor="accent4"/>
                    <w:sz w:val="24"/>
                    <w:szCs w:val="24"/>
                  </w:rPr>
                  <w:t>Agenda item:</w:t>
                </w:r>
              </w:sdtContent>
            </w:sdt>
          </w:p>
        </w:tc>
        <w:tc>
          <w:tcPr>
            <w:tcW w:w="4970" w:type="dxa"/>
          </w:tcPr>
          <w:p w14:paraId="04DEEAF4" w14:textId="6DE22455" w:rsidR="00F15EBC" w:rsidRPr="007E4418" w:rsidRDefault="00FB16CB" w:rsidP="003A3841">
            <w:pPr>
              <w:rPr>
                <w:color w:val="8064A2" w:themeColor="accent4"/>
                <w:sz w:val="24"/>
                <w:szCs w:val="24"/>
              </w:rPr>
            </w:pPr>
            <w:r w:rsidRPr="00FB16CB">
              <w:rPr>
                <w:color w:val="8064A2" w:themeColor="accent4"/>
                <w:sz w:val="24"/>
                <w:szCs w:val="24"/>
              </w:rPr>
              <w:t>INTERACTIVE DISCUSSION</w:t>
            </w:r>
            <w:bookmarkStart w:id="7" w:name="FIVE_"/>
            <w:bookmarkEnd w:id="7"/>
          </w:p>
        </w:tc>
        <w:tc>
          <w:tcPr>
            <w:tcW w:w="1324" w:type="dxa"/>
          </w:tcPr>
          <w:p w14:paraId="76E8418B" w14:textId="77777777" w:rsidR="00F15EBC" w:rsidRPr="00075FC0" w:rsidRDefault="00000000" w:rsidP="003A3841">
            <w:pPr>
              <w:pStyle w:val="Heading2"/>
              <w:rPr>
                <w:color w:val="8064A2" w:themeColor="accent4"/>
              </w:rPr>
            </w:pPr>
            <w:sdt>
              <w:sdtPr>
                <w:rPr>
                  <w:color w:val="8064A2" w:themeColor="accent4"/>
                </w:rPr>
                <w:id w:val="-1581064733"/>
                <w:placeholder>
                  <w:docPart w:val="3220624657EA4639A46999FC96D43AE9"/>
                </w:placeholder>
                <w:temporary/>
                <w:showingPlcHdr/>
                <w15:appearance w15:val="hidden"/>
              </w:sdtPr>
              <w:sdtContent>
                <w:r w:rsidR="00F15EBC" w:rsidRPr="00075FC0">
                  <w:rPr>
                    <w:color w:val="8064A2" w:themeColor="accent4"/>
                    <w:sz w:val="24"/>
                    <w:szCs w:val="24"/>
                  </w:rPr>
                  <w:t>Presenter:</w:t>
                </w:r>
              </w:sdtContent>
            </w:sdt>
          </w:p>
        </w:tc>
        <w:tc>
          <w:tcPr>
            <w:tcW w:w="2310" w:type="dxa"/>
          </w:tcPr>
          <w:p w14:paraId="47276676" w14:textId="2088CB33" w:rsidR="00F15EBC" w:rsidRPr="007E4418" w:rsidRDefault="00FB16CB" w:rsidP="003A3841">
            <w:pPr>
              <w:rPr>
                <w:color w:val="8064A2" w:themeColor="accent4"/>
                <w:sz w:val="24"/>
                <w:szCs w:val="24"/>
              </w:rPr>
            </w:pPr>
            <w:r>
              <w:rPr>
                <w:color w:val="8064A2" w:themeColor="accent4"/>
                <w:sz w:val="24"/>
                <w:szCs w:val="24"/>
              </w:rPr>
              <w:t>NICOLE WEATHERALL, ANALYST</w:t>
            </w:r>
          </w:p>
        </w:tc>
      </w:tr>
    </w:tbl>
    <w:p w14:paraId="090BCDB1" w14:textId="77777777" w:rsidR="00F15EBC" w:rsidRPr="00075FC0" w:rsidRDefault="00F15EBC" w:rsidP="00011A4B">
      <w:pPr>
        <w:pStyle w:val="Heading4"/>
        <w:spacing w:before="0" w:after="0"/>
        <w:rPr>
          <w:color w:val="548DD4" w:themeColor="text2" w:themeTint="99"/>
          <w:sz w:val="24"/>
          <w:szCs w:val="24"/>
        </w:rPr>
      </w:pPr>
      <w:r w:rsidRPr="00075FC0">
        <w:rPr>
          <w:color w:val="548DD4" w:themeColor="text2" w:themeTint="99"/>
          <w:sz w:val="24"/>
          <w:szCs w:val="24"/>
        </w:rPr>
        <w:t>Target Audience:</w:t>
      </w:r>
    </w:p>
    <w:p w14:paraId="72CBD455" w14:textId="77777777" w:rsidR="00011A4B" w:rsidRDefault="00011A4B" w:rsidP="00011A4B">
      <w:pPr>
        <w:pStyle w:val="Heading4"/>
        <w:spacing w:before="0" w:after="0"/>
        <w:rPr>
          <w:b w:val="0"/>
          <w:color w:val="4F81BD" w:themeColor="accent1"/>
          <w:sz w:val="24"/>
          <w:szCs w:val="24"/>
        </w:rPr>
      </w:pPr>
    </w:p>
    <w:p w14:paraId="6FB180DC" w14:textId="72599C3D" w:rsidR="00C120C3" w:rsidRDefault="00C120C3" w:rsidP="00011A4B">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1941D613" w14:textId="77777777" w:rsidR="00011A4B" w:rsidRDefault="00011A4B" w:rsidP="00011A4B">
      <w:pPr>
        <w:pStyle w:val="Heading4"/>
        <w:spacing w:before="0" w:after="0"/>
        <w:rPr>
          <w:sz w:val="24"/>
          <w:szCs w:val="24"/>
        </w:rPr>
      </w:pPr>
    </w:p>
    <w:p w14:paraId="0F3545B1" w14:textId="16677009" w:rsidR="00F15EBC" w:rsidRPr="005537F7" w:rsidRDefault="00F15EBC" w:rsidP="00011A4B">
      <w:pPr>
        <w:pStyle w:val="Heading4"/>
        <w:spacing w:before="0" w:after="0"/>
        <w:rPr>
          <w:sz w:val="24"/>
          <w:szCs w:val="24"/>
        </w:rPr>
      </w:pPr>
      <w:r w:rsidRPr="005537F7">
        <w:rPr>
          <w:sz w:val="24"/>
          <w:szCs w:val="24"/>
        </w:rPr>
        <w:t>Discussion:</w:t>
      </w:r>
    </w:p>
    <w:p w14:paraId="0BA6BB2D" w14:textId="77777777" w:rsidR="00011A4B" w:rsidRDefault="00011A4B" w:rsidP="00011A4B">
      <w:pPr>
        <w:spacing w:before="0" w:after="0"/>
        <w:rPr>
          <w:sz w:val="24"/>
          <w:szCs w:val="24"/>
        </w:rPr>
      </w:pPr>
    </w:p>
    <w:p w14:paraId="0B4B3E78" w14:textId="7EA21F0D" w:rsidR="00F15EBC" w:rsidRDefault="006C6E25" w:rsidP="00011A4B">
      <w:pPr>
        <w:spacing w:before="0" w:after="0"/>
        <w:rPr>
          <w:sz w:val="24"/>
          <w:szCs w:val="24"/>
        </w:rPr>
      </w:pPr>
      <w:r>
        <w:rPr>
          <w:sz w:val="24"/>
          <w:szCs w:val="24"/>
        </w:rPr>
        <w:t>B</w:t>
      </w:r>
      <w:r w:rsidR="00074E40" w:rsidRPr="00074E40">
        <w:rPr>
          <w:sz w:val="24"/>
          <w:szCs w:val="24"/>
        </w:rPr>
        <w:t>est practices for reviewing accounting E</w:t>
      </w:r>
      <w:r>
        <w:rPr>
          <w:sz w:val="24"/>
          <w:szCs w:val="24"/>
        </w:rPr>
        <w:t>P</w:t>
      </w:r>
      <w:r w:rsidR="00074E40" w:rsidRPr="00074E40">
        <w:rPr>
          <w:sz w:val="24"/>
          <w:szCs w:val="24"/>
        </w:rPr>
        <w:t>s</w:t>
      </w:r>
      <w:r>
        <w:rPr>
          <w:sz w:val="24"/>
          <w:szCs w:val="24"/>
        </w:rPr>
        <w:t xml:space="preserve"> were discussed</w:t>
      </w:r>
      <w:r w:rsidR="00E66249">
        <w:rPr>
          <w:sz w:val="24"/>
          <w:szCs w:val="24"/>
        </w:rPr>
        <w:t>. This includes</w:t>
      </w:r>
      <w:r w:rsidR="00FB4C85">
        <w:rPr>
          <w:sz w:val="24"/>
          <w:szCs w:val="24"/>
        </w:rPr>
        <w:t xml:space="preserve"> federal </w:t>
      </w:r>
      <w:r w:rsidR="00E66249">
        <w:rPr>
          <w:sz w:val="24"/>
          <w:szCs w:val="24"/>
        </w:rPr>
        <w:t>accountings</w:t>
      </w:r>
      <w:r w:rsidR="00FB4C85">
        <w:rPr>
          <w:sz w:val="24"/>
          <w:szCs w:val="24"/>
        </w:rPr>
        <w:t xml:space="preserve"> and fund usage reviews. FPM 1.3.C.4.c mandat</w:t>
      </w:r>
      <w:r w:rsidR="00E66249">
        <w:rPr>
          <w:sz w:val="24"/>
          <w:szCs w:val="24"/>
        </w:rPr>
        <w:t>es</w:t>
      </w:r>
      <w:r w:rsidR="00FB4C85">
        <w:rPr>
          <w:sz w:val="24"/>
          <w:szCs w:val="24"/>
        </w:rPr>
        <w:t xml:space="preserve"> that a fiduciary fee</w:t>
      </w:r>
      <w:r>
        <w:rPr>
          <w:sz w:val="24"/>
          <w:szCs w:val="24"/>
        </w:rPr>
        <w:t xml:space="preserve"> cannot exceed 4 percent</w:t>
      </w:r>
      <w:r w:rsidR="00FB4C85">
        <w:rPr>
          <w:sz w:val="24"/>
          <w:szCs w:val="24"/>
        </w:rPr>
        <w:t xml:space="preserve">.  </w:t>
      </w:r>
      <w:r>
        <w:rPr>
          <w:sz w:val="24"/>
          <w:szCs w:val="24"/>
        </w:rPr>
        <w:t>A b</w:t>
      </w:r>
      <w:r w:rsidR="00FB4C85">
        <w:rPr>
          <w:sz w:val="24"/>
          <w:szCs w:val="24"/>
        </w:rPr>
        <w:t>est practice is to notify the fiduciary, upon appointment, that they are not allowed more than 4</w:t>
      </w:r>
      <w:r>
        <w:rPr>
          <w:sz w:val="24"/>
          <w:szCs w:val="24"/>
        </w:rPr>
        <w:t xml:space="preserve"> percent</w:t>
      </w:r>
      <w:r w:rsidR="00FB4C85">
        <w:rPr>
          <w:sz w:val="24"/>
          <w:szCs w:val="24"/>
        </w:rPr>
        <w:t>.</w:t>
      </w:r>
      <w:r w:rsidR="00C23FAF">
        <w:rPr>
          <w:sz w:val="24"/>
          <w:szCs w:val="24"/>
        </w:rPr>
        <w:t xml:space="preserve"> The next </w:t>
      </w:r>
      <w:r w:rsidR="00F6224E">
        <w:rPr>
          <w:sz w:val="24"/>
          <w:szCs w:val="24"/>
        </w:rPr>
        <w:t>best practice is when reviewing bank statements and the fiduciary sends additional statements</w:t>
      </w:r>
      <w:r>
        <w:rPr>
          <w:sz w:val="24"/>
          <w:szCs w:val="24"/>
        </w:rPr>
        <w:t xml:space="preserve"> to note</w:t>
      </w:r>
      <w:r w:rsidR="00F6224E">
        <w:rPr>
          <w:sz w:val="24"/>
          <w:szCs w:val="24"/>
        </w:rPr>
        <w:t xml:space="preserve"> in the notification letter that the additional statements</w:t>
      </w:r>
      <w:r>
        <w:rPr>
          <w:sz w:val="24"/>
          <w:szCs w:val="24"/>
        </w:rPr>
        <w:t xml:space="preserve"> </w:t>
      </w:r>
      <w:r w:rsidR="00E66249">
        <w:rPr>
          <w:sz w:val="24"/>
          <w:szCs w:val="24"/>
        </w:rPr>
        <w:t>were received and reviewed</w:t>
      </w:r>
      <w:r>
        <w:rPr>
          <w:sz w:val="24"/>
          <w:szCs w:val="24"/>
        </w:rPr>
        <w:t>.</w:t>
      </w:r>
    </w:p>
    <w:p w14:paraId="594390E2" w14:textId="77777777" w:rsidR="00011A4B" w:rsidRPr="005537F7" w:rsidRDefault="00011A4B" w:rsidP="00011A4B">
      <w:pPr>
        <w:spacing w:before="0" w:after="0"/>
        <w:rPr>
          <w:sz w:val="24"/>
          <w:szCs w:val="24"/>
        </w:rPr>
      </w:pP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641"/>
        <w:gridCol w:w="4152"/>
        <w:gridCol w:w="1431"/>
      </w:tblGrid>
      <w:tr w:rsidR="00F15EBC" w:rsidRPr="00D60069" w14:paraId="1FCB7BD0" w14:textId="77777777" w:rsidTr="003A3841">
        <w:trPr>
          <w:tblHeader/>
        </w:trPr>
        <w:tc>
          <w:tcPr>
            <w:tcW w:w="4641" w:type="dxa"/>
            <w:vAlign w:val="bottom"/>
          </w:tcPr>
          <w:p w14:paraId="60A82BC7" w14:textId="77777777" w:rsidR="00F15EBC" w:rsidRPr="005537F7" w:rsidRDefault="00F15EBC" w:rsidP="003A3841">
            <w:pPr>
              <w:pStyle w:val="Heading2"/>
              <w:spacing w:after="80"/>
              <w:rPr>
                <w:sz w:val="24"/>
                <w:szCs w:val="24"/>
              </w:rPr>
            </w:pPr>
            <w:r w:rsidRPr="005537F7">
              <w:rPr>
                <w:sz w:val="24"/>
                <w:szCs w:val="24"/>
              </w:rPr>
              <w:t>References/Contacts</w:t>
            </w:r>
          </w:p>
        </w:tc>
        <w:tc>
          <w:tcPr>
            <w:tcW w:w="4152" w:type="dxa"/>
            <w:vAlign w:val="bottom"/>
          </w:tcPr>
          <w:p w14:paraId="2EA45540" w14:textId="77777777" w:rsidR="00F15EBC" w:rsidRPr="00D60069" w:rsidRDefault="00F15EBC" w:rsidP="003A3841">
            <w:pPr>
              <w:pStyle w:val="Heading2"/>
              <w:spacing w:after="80"/>
            </w:pPr>
          </w:p>
        </w:tc>
        <w:tc>
          <w:tcPr>
            <w:tcW w:w="1431" w:type="dxa"/>
            <w:vAlign w:val="bottom"/>
          </w:tcPr>
          <w:p w14:paraId="71673790" w14:textId="77777777" w:rsidR="00F15EBC" w:rsidRPr="00D60069" w:rsidRDefault="00F15EBC" w:rsidP="003A3841">
            <w:pPr>
              <w:pStyle w:val="Heading2"/>
              <w:spacing w:after="80"/>
            </w:pPr>
          </w:p>
        </w:tc>
      </w:tr>
      <w:tr w:rsidR="00F31E9F" w:rsidRPr="00D60069" w14:paraId="78E0E5AE" w14:textId="77777777" w:rsidTr="003A3841">
        <w:tc>
          <w:tcPr>
            <w:tcW w:w="4641" w:type="dxa"/>
          </w:tcPr>
          <w:p w14:paraId="5C598EA3" w14:textId="3B8F65F7" w:rsidR="00F31E9F" w:rsidRPr="007B529C" w:rsidRDefault="00930B49" w:rsidP="00F31E9F">
            <w:pPr>
              <w:pStyle w:val="ListBullet"/>
              <w:spacing w:before="0"/>
              <w:rPr>
                <w:sz w:val="24"/>
                <w:szCs w:val="24"/>
              </w:rPr>
            </w:pPr>
            <w:r>
              <w:rPr>
                <w:sz w:val="24"/>
                <w:szCs w:val="24"/>
              </w:rPr>
              <w:t>FPM, Part I, Chapter 3 Section A-E</w:t>
            </w:r>
          </w:p>
        </w:tc>
        <w:tc>
          <w:tcPr>
            <w:tcW w:w="4152" w:type="dxa"/>
          </w:tcPr>
          <w:p w14:paraId="13ABC3DB" w14:textId="7B6D23B2" w:rsidR="00F31E9F" w:rsidRPr="00F31E9F" w:rsidRDefault="00F31E9F" w:rsidP="00074E40">
            <w:pPr>
              <w:spacing w:before="0"/>
              <w:rPr>
                <w:sz w:val="24"/>
                <w:szCs w:val="24"/>
              </w:rPr>
            </w:pPr>
          </w:p>
        </w:tc>
        <w:tc>
          <w:tcPr>
            <w:tcW w:w="1431" w:type="dxa"/>
          </w:tcPr>
          <w:p w14:paraId="3F85537E" w14:textId="77777777" w:rsidR="00F31E9F" w:rsidRPr="00D60069" w:rsidRDefault="00F31E9F" w:rsidP="00F31E9F">
            <w:pPr>
              <w:spacing w:after="80"/>
            </w:pPr>
          </w:p>
        </w:tc>
      </w:tr>
    </w:tbl>
    <w:p w14:paraId="4335E819" w14:textId="77777777" w:rsidR="0075772B" w:rsidRPr="0075772B" w:rsidRDefault="0075772B" w:rsidP="0075772B">
      <w:pPr>
        <w:keepNext/>
        <w:pBdr>
          <w:bottom w:val="double" w:sz="4" w:space="1" w:color="000000" w:themeColor="text1"/>
        </w:pBdr>
        <w:spacing w:before="240"/>
        <w:jc w:val="center"/>
        <w:outlineLvl w:val="0"/>
        <w:rPr>
          <w:rFonts w:asciiTheme="majorHAnsi" w:eastAsiaTheme="majorEastAsia" w:hAnsiTheme="majorHAnsi" w:cs="Arial"/>
          <w:b/>
          <w:bCs/>
          <w:i/>
          <w:color w:val="8064A2" w:themeColor="accent4"/>
          <w:kern w:val="32"/>
          <w:sz w:val="28"/>
          <w:szCs w:val="32"/>
        </w:rPr>
      </w:pPr>
      <w:r w:rsidRPr="0075772B">
        <w:rPr>
          <w:rFonts w:asciiTheme="majorHAnsi" w:eastAsiaTheme="majorEastAsia" w:hAnsiTheme="majorHAnsi" w:cs="Arial"/>
          <w:b/>
          <w:bCs/>
          <w:i/>
          <w:color w:val="8064A2" w:themeColor="accent4"/>
          <w:kern w:val="32"/>
          <w:sz w:val="28"/>
          <w:szCs w:val="32"/>
        </w:rPr>
        <w:t>Q&amp;A</w:t>
      </w:r>
    </w:p>
    <w:p w14:paraId="65D5C139" w14:textId="6B668B20" w:rsidR="0075772B" w:rsidRPr="0099415F" w:rsidRDefault="0075772B" w:rsidP="00480EF5">
      <w:pPr>
        <w:pStyle w:val="NormalWeb"/>
        <w:spacing w:before="0" w:beforeAutospacing="0" w:after="0" w:afterAutospacing="0"/>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Original </w:t>
      </w:r>
      <w:r w:rsidRPr="0099415F">
        <w:rPr>
          <w:rFonts w:asciiTheme="minorHAnsi" w:hAnsiTheme="minorHAnsi" w:cstheme="minorHAnsi"/>
          <w:b/>
          <w:bCs/>
          <w:color w:val="000000"/>
          <w:sz w:val="24"/>
          <w:szCs w:val="24"/>
        </w:rPr>
        <w:t xml:space="preserve">Question </w:t>
      </w:r>
      <w:r>
        <w:rPr>
          <w:rFonts w:asciiTheme="minorHAnsi" w:hAnsiTheme="minorHAnsi" w:cstheme="minorHAnsi"/>
          <w:b/>
          <w:bCs/>
          <w:color w:val="000000"/>
          <w:sz w:val="24"/>
          <w:szCs w:val="24"/>
        </w:rPr>
        <w:t>1</w:t>
      </w:r>
      <w:r w:rsidRPr="0099415F">
        <w:rPr>
          <w:rFonts w:asciiTheme="minorHAnsi" w:hAnsiTheme="minorHAnsi" w:cstheme="minorHAnsi"/>
          <w:color w:val="000000"/>
          <w:sz w:val="24"/>
          <w:szCs w:val="24"/>
        </w:rPr>
        <w:t>: Is the LIE required to request the fiduciary to obtain documentation from the Social Security Administration about social security fees or can the accounting be approved/disapproved without such documentation?</w:t>
      </w:r>
    </w:p>
    <w:p w14:paraId="6FAAC9BC" w14:textId="77777777" w:rsidR="00E604EC" w:rsidRDefault="00E604EC" w:rsidP="00480EF5">
      <w:pPr>
        <w:pStyle w:val="NormalWeb"/>
        <w:spacing w:before="0" w:beforeAutospacing="0" w:after="0" w:afterAutospacing="0"/>
        <w:rPr>
          <w:rFonts w:asciiTheme="minorHAnsi" w:hAnsiTheme="minorHAnsi" w:cstheme="minorHAnsi"/>
          <w:b/>
          <w:bCs/>
          <w:color w:val="000000"/>
          <w:sz w:val="24"/>
          <w:szCs w:val="24"/>
        </w:rPr>
      </w:pPr>
    </w:p>
    <w:p w14:paraId="54628CC9" w14:textId="1446800A" w:rsidR="0075772B" w:rsidRPr="0099415F" w:rsidRDefault="0075772B" w:rsidP="00480EF5">
      <w:pPr>
        <w:pStyle w:val="NormalWeb"/>
        <w:spacing w:before="0" w:beforeAutospacing="0" w:after="0" w:afterAutospacing="0"/>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Original </w:t>
      </w:r>
      <w:r w:rsidRPr="0099415F">
        <w:rPr>
          <w:rFonts w:asciiTheme="minorHAnsi" w:hAnsiTheme="minorHAnsi" w:cstheme="minorHAnsi"/>
          <w:b/>
          <w:bCs/>
          <w:color w:val="000000"/>
          <w:sz w:val="24"/>
          <w:szCs w:val="24"/>
        </w:rPr>
        <w:t>P&amp;F Service Response</w:t>
      </w:r>
      <w:r w:rsidRPr="0099415F">
        <w:rPr>
          <w:rFonts w:asciiTheme="minorHAnsi" w:hAnsiTheme="minorHAnsi" w:cstheme="minorHAnsi"/>
          <w:color w:val="000000"/>
          <w:sz w:val="24"/>
          <w:szCs w:val="24"/>
        </w:rPr>
        <w:t xml:space="preserve">: Generally, the LIE is not required to request documentation from the fiduciary about social security fees before an accounting can be approved or disapproved. Fees for services in connection with SSA funds is, in and of itself, not a questionable expense as outlined in FPM, Part I, 3.C.3.e. Documentation to support the authorization of this fee is not necessary unless there is reason to question the expense, such as when the expense is not consistently recurring or there are discrepancies in the information provided. </w:t>
      </w:r>
    </w:p>
    <w:p w14:paraId="70C43329" w14:textId="77777777" w:rsidR="00E604EC" w:rsidRDefault="00E604EC" w:rsidP="00480EF5">
      <w:pPr>
        <w:pStyle w:val="NormalWeb"/>
        <w:spacing w:before="0" w:beforeAutospacing="0" w:after="0" w:afterAutospacing="0"/>
        <w:rPr>
          <w:rFonts w:asciiTheme="minorHAnsi" w:hAnsiTheme="minorHAnsi" w:cstheme="minorHAnsi"/>
          <w:color w:val="000000"/>
          <w:sz w:val="24"/>
          <w:szCs w:val="24"/>
        </w:rPr>
      </w:pPr>
    </w:p>
    <w:p w14:paraId="63BFD621" w14:textId="0917CA9A" w:rsidR="0075772B" w:rsidRDefault="0075772B" w:rsidP="00480EF5">
      <w:pPr>
        <w:pStyle w:val="NormalWeb"/>
        <w:spacing w:before="0" w:beforeAutospacing="0" w:after="0" w:afterAutospacing="0"/>
        <w:rPr>
          <w:rFonts w:asciiTheme="minorHAnsi" w:hAnsiTheme="minorHAnsi" w:cstheme="minorHAnsi"/>
          <w:color w:val="000000"/>
          <w:sz w:val="24"/>
          <w:szCs w:val="24"/>
        </w:rPr>
      </w:pPr>
      <w:r w:rsidRPr="0099415F">
        <w:rPr>
          <w:rFonts w:asciiTheme="minorHAnsi" w:hAnsiTheme="minorHAnsi" w:cstheme="minorHAnsi"/>
          <w:color w:val="000000"/>
          <w:sz w:val="24"/>
          <w:szCs w:val="24"/>
        </w:rPr>
        <w:t>Validating expenses is done through use of financial institution documents as outlined in FPM, Part I, 3.C.3.h. If questionable, the LIE must contact the fiduciary, financial institutions, family members, and/or the beneficiary for additional information or obtain additional evidence to justify the expense per FPM, Part I, 3.C.3.f. This may or may not result in requesting documentation about the fees from SSA through the fiduciary, depending on the situation. It is important to note that fees in connection with services as a representative for SSA funds is not a valid expense of VA benefit funds. If a VA appointed fiduciary is also managing SSA funds for the same beneficiary but the SSA funds are being deducted exclusively from the VA benefit funds, the expense is to be denied without the need for any clarification or documentation.</w:t>
      </w:r>
    </w:p>
    <w:p w14:paraId="6B4E681D" w14:textId="77777777" w:rsidR="00E604EC" w:rsidRDefault="00E604EC" w:rsidP="00480EF5">
      <w:pPr>
        <w:pStyle w:val="NormalWeb"/>
        <w:spacing w:before="0" w:beforeAutospacing="0" w:after="0" w:afterAutospacing="0"/>
        <w:rPr>
          <w:rFonts w:asciiTheme="minorHAnsi" w:hAnsiTheme="minorHAnsi" w:cstheme="minorHAnsi"/>
          <w:b/>
          <w:bCs/>
          <w:color w:val="000000"/>
          <w:sz w:val="24"/>
          <w:szCs w:val="24"/>
        </w:rPr>
      </w:pPr>
    </w:p>
    <w:p w14:paraId="27BE0019" w14:textId="472B4876" w:rsidR="0075772B" w:rsidRDefault="00E604EC" w:rsidP="00480EF5">
      <w:pPr>
        <w:pStyle w:val="NormalWeb"/>
        <w:spacing w:before="0" w:beforeAutospacing="0" w:after="0" w:afterAutospacing="0"/>
        <w:rPr>
          <w:rStyle w:val="Hyperlink"/>
          <w:color w:val="auto"/>
          <w:u w:val="none"/>
        </w:rPr>
      </w:pPr>
      <w:r>
        <w:rPr>
          <w:rFonts w:asciiTheme="minorHAnsi" w:hAnsiTheme="minorHAnsi" w:cstheme="minorHAnsi"/>
          <w:b/>
          <w:bCs/>
          <w:color w:val="000000"/>
          <w:sz w:val="24"/>
          <w:szCs w:val="24"/>
        </w:rPr>
        <w:t xml:space="preserve">Updated </w:t>
      </w:r>
      <w:r w:rsidRPr="0099415F">
        <w:rPr>
          <w:rFonts w:asciiTheme="minorHAnsi" w:hAnsiTheme="minorHAnsi" w:cstheme="minorHAnsi"/>
          <w:b/>
          <w:bCs/>
          <w:color w:val="000000"/>
          <w:sz w:val="24"/>
          <w:szCs w:val="24"/>
        </w:rPr>
        <w:t>P&amp;F Service Response</w:t>
      </w:r>
      <w:r w:rsidR="0075772B" w:rsidRPr="00C7076C">
        <w:rPr>
          <w:rFonts w:asciiTheme="minorHAnsi" w:hAnsiTheme="minorHAnsi" w:cstheme="minorHAnsi"/>
          <w:b/>
          <w:bCs/>
          <w:color w:val="000000"/>
          <w:sz w:val="24"/>
          <w:szCs w:val="24"/>
        </w:rPr>
        <w:t>:</w:t>
      </w:r>
      <w:r w:rsidR="009F6EDD">
        <w:rPr>
          <w:rFonts w:asciiTheme="minorHAnsi" w:hAnsiTheme="minorHAnsi" w:cstheme="minorHAnsi"/>
          <w:b/>
          <w:bCs/>
          <w:color w:val="000000"/>
          <w:sz w:val="24"/>
          <w:szCs w:val="24"/>
        </w:rPr>
        <w:t xml:space="preserve"> </w:t>
      </w:r>
      <w:r w:rsidR="0075772B">
        <w:rPr>
          <w:rFonts w:ascii="Arial" w:hAnsi="Arial" w:cs="Arial"/>
          <w:sz w:val="24"/>
          <w:szCs w:val="24"/>
        </w:rPr>
        <w:t xml:space="preserve">It was not </w:t>
      </w:r>
      <w:r>
        <w:rPr>
          <w:rFonts w:ascii="Arial" w:hAnsi="Arial" w:cs="Arial"/>
          <w:sz w:val="24"/>
          <w:szCs w:val="24"/>
        </w:rPr>
        <w:t>P&amp;F Service’s</w:t>
      </w:r>
      <w:r w:rsidR="0075772B">
        <w:rPr>
          <w:rFonts w:ascii="Arial" w:hAnsi="Arial" w:cs="Arial"/>
          <w:sz w:val="24"/>
          <w:szCs w:val="24"/>
        </w:rPr>
        <w:t xml:space="preserve"> intent to stipulate that VA and Social Security Administration (SSA) funds must be maintained in separate accounts in order for the fiduciary to deduct an SSA fee. VA will not prescribe which income source(s) must be used to pay the beneficiary’s expenses</w:t>
      </w:r>
      <w:r w:rsidR="007A2E6B">
        <w:rPr>
          <w:rFonts w:ascii="Arial" w:hAnsi="Arial" w:cs="Arial"/>
          <w:sz w:val="24"/>
          <w:szCs w:val="24"/>
        </w:rPr>
        <w:t>. H</w:t>
      </w:r>
      <w:r w:rsidR="0075772B">
        <w:rPr>
          <w:rFonts w:ascii="Arial" w:hAnsi="Arial" w:cs="Arial"/>
          <w:sz w:val="24"/>
          <w:szCs w:val="24"/>
        </w:rPr>
        <w:t xml:space="preserve">owever, </w:t>
      </w:r>
      <w:r w:rsidR="0075772B">
        <w:rPr>
          <w:rStyle w:val="Hyperlink"/>
          <w:rFonts w:ascii="Arial" w:hAnsi="Arial" w:cs="Arial"/>
          <w:sz w:val="24"/>
          <w:szCs w:val="24"/>
        </w:rPr>
        <w:t>all income handled by a beneficiary’s fiduciary is expected to be used for the care and maintenance of the beneficiary and any dependents,</w:t>
      </w:r>
      <w:r w:rsidR="0075772B">
        <w:rPr>
          <w:rFonts w:ascii="Arial" w:hAnsi="Arial" w:cs="Arial"/>
          <w:sz w:val="24"/>
          <w:szCs w:val="24"/>
        </w:rPr>
        <w:t xml:space="preserve"> in accordance with </w:t>
      </w:r>
      <w:hyperlink r:id="rId19" w:history="1">
        <w:r w:rsidR="0075772B">
          <w:rPr>
            <w:rStyle w:val="Hyperlink"/>
            <w:rFonts w:ascii="Arial" w:hAnsi="Arial" w:cs="Arial"/>
            <w:sz w:val="24"/>
            <w:szCs w:val="24"/>
          </w:rPr>
          <w:t>FPM, Part II, 2.A.1.c</w:t>
        </w:r>
      </w:hyperlink>
      <w:r w:rsidR="0075772B">
        <w:rPr>
          <w:rStyle w:val="Hyperlink"/>
          <w:rFonts w:ascii="Arial" w:hAnsi="Arial" w:cs="Arial"/>
          <w:sz w:val="24"/>
          <w:szCs w:val="24"/>
        </w:rPr>
        <w:t>.</w:t>
      </w:r>
    </w:p>
    <w:p w14:paraId="3F167B7A" w14:textId="77777777" w:rsidR="0075772B" w:rsidRDefault="0075772B" w:rsidP="00480EF5">
      <w:pPr>
        <w:spacing w:before="0" w:after="0"/>
        <w:rPr>
          <w:rStyle w:val="Hyperlink"/>
          <w:rFonts w:ascii="Arial" w:hAnsi="Arial" w:cs="Arial"/>
          <w:color w:val="0563C1"/>
          <w:sz w:val="24"/>
          <w:szCs w:val="24"/>
        </w:rPr>
      </w:pPr>
    </w:p>
    <w:p w14:paraId="5C8BBA3B" w14:textId="6287C370" w:rsidR="0075772B" w:rsidRDefault="0075772B" w:rsidP="00480EF5">
      <w:pPr>
        <w:spacing w:before="0" w:after="0"/>
        <w:rPr>
          <w:rFonts w:ascii="Calibri" w:hAnsi="Calibri" w:cs="Calibri"/>
          <w:sz w:val="22"/>
          <w:szCs w:val="22"/>
        </w:rPr>
      </w:pPr>
      <w:r>
        <w:rPr>
          <w:rFonts w:ascii="Arial" w:hAnsi="Arial" w:cs="Arial"/>
          <w:sz w:val="24"/>
          <w:szCs w:val="24"/>
        </w:rPr>
        <w:t xml:space="preserve">When reviewing financial documentation, the fiduciary hub (hub) must determine whether expenses deducted from the beneficiary account(s) are appropriate in accordance with </w:t>
      </w:r>
      <w:hyperlink r:id="rId20" w:history="1">
        <w:r>
          <w:rPr>
            <w:rStyle w:val="Hyperlink"/>
            <w:rFonts w:ascii="Arial" w:hAnsi="Arial" w:cs="Arial"/>
            <w:sz w:val="24"/>
            <w:szCs w:val="24"/>
          </w:rPr>
          <w:t>FPM, Part I, 3.C.3</w:t>
        </w:r>
      </w:hyperlink>
      <w:r>
        <w:rPr>
          <w:rStyle w:val="Hyperlink"/>
          <w:rFonts w:ascii="Arial" w:hAnsi="Arial" w:cs="Arial"/>
          <w:sz w:val="24"/>
          <w:szCs w:val="24"/>
        </w:rPr>
        <w:t>, to include a review of any deducted fees.</w:t>
      </w:r>
      <w:r w:rsidR="007A2E6B">
        <w:rPr>
          <w:rStyle w:val="Hyperlink"/>
          <w:rFonts w:ascii="Arial" w:hAnsi="Arial" w:cs="Arial"/>
          <w:sz w:val="24"/>
          <w:szCs w:val="24"/>
        </w:rPr>
        <w:t xml:space="preserve"> </w:t>
      </w:r>
      <w:r>
        <w:rPr>
          <w:rFonts w:ascii="Arial" w:hAnsi="Arial" w:cs="Arial"/>
          <w:sz w:val="24"/>
          <w:szCs w:val="24"/>
        </w:rPr>
        <w:t xml:space="preserve">If it is clear that a VA-appointed fiduciary is deducting the SSA fee exclusively from the VA benefit funds (i.e., the fiduciary maintains separate accounts for each benefit), the hub employee must review the SSA account to ensure that a duplicate or additional fee is not being deducted from that account. The same review should be applied for a VA fee being exclusively deducted from an SSA rep payee account, etc. If there is any question as to whether the fees are appropriate, the hub must follow the guidance in </w:t>
      </w:r>
      <w:hyperlink r:id="rId21" w:anchor="3f" w:history="1">
        <w:r>
          <w:rPr>
            <w:rStyle w:val="Hyperlink"/>
            <w:rFonts w:ascii="Arial" w:hAnsi="Arial" w:cs="Arial"/>
            <w:sz w:val="24"/>
            <w:szCs w:val="24"/>
          </w:rPr>
          <w:t>FPM, Part I, 3.C.3.f</w:t>
        </w:r>
      </w:hyperlink>
      <w:r>
        <w:rPr>
          <w:rFonts w:ascii="Arial" w:hAnsi="Arial" w:cs="Arial"/>
          <w:sz w:val="24"/>
          <w:szCs w:val="24"/>
        </w:rPr>
        <w:t>.</w:t>
      </w:r>
    </w:p>
    <w:p w14:paraId="77744B23" w14:textId="77777777" w:rsidR="0075772B" w:rsidRDefault="0075772B" w:rsidP="00480EF5">
      <w:pPr>
        <w:spacing w:before="0" w:after="0"/>
        <w:rPr>
          <w:rStyle w:val="Hyperlink"/>
        </w:rPr>
      </w:pPr>
    </w:p>
    <w:p w14:paraId="43737886" w14:textId="77777777" w:rsidR="0075772B" w:rsidRDefault="0075772B" w:rsidP="00480EF5">
      <w:pPr>
        <w:spacing w:before="0" w:after="0"/>
      </w:pPr>
      <w:r>
        <w:rPr>
          <w:rFonts w:ascii="Arial" w:hAnsi="Arial" w:cs="Arial"/>
          <w:sz w:val="24"/>
          <w:szCs w:val="24"/>
        </w:rPr>
        <w:t xml:space="preserve">With regard to the authorization of a VA fiduciary fee, per </w:t>
      </w:r>
      <w:hyperlink r:id="rId22" w:history="1">
        <w:r>
          <w:rPr>
            <w:rStyle w:val="Hyperlink"/>
            <w:rFonts w:ascii="Arial" w:hAnsi="Arial" w:cs="Arial"/>
            <w:sz w:val="24"/>
            <w:szCs w:val="24"/>
          </w:rPr>
          <w:t>38 U.S.C. 5502(a)(2)</w:t>
        </w:r>
      </w:hyperlink>
      <w:r>
        <w:rPr>
          <w:rFonts w:ascii="Arial" w:hAnsi="Arial" w:cs="Arial"/>
          <w:sz w:val="24"/>
          <w:szCs w:val="24"/>
        </w:rPr>
        <w:t>, a commission may not be authorized for a fiduciary who receives any other form of remuneration or payment in connection with rendering fiduciary services for benefits under Title 38. Because SSA benefits are not benefits received under Title 38, the hub may authorize a VA fiduciary fee when appropriate, even when the fiduciary is receiving a fee for managing SSA benefits.</w:t>
      </w:r>
    </w:p>
    <w:p w14:paraId="3FE37B6E" w14:textId="77777777" w:rsidR="0075772B" w:rsidRDefault="0075772B" w:rsidP="00480EF5">
      <w:pPr>
        <w:spacing w:before="0" w:after="0"/>
        <w:rPr>
          <w:rStyle w:val="Hyperlink"/>
        </w:rPr>
      </w:pPr>
    </w:p>
    <w:p w14:paraId="6C6D09B3" w14:textId="0D618119" w:rsidR="0075772B" w:rsidRDefault="00E604EC" w:rsidP="007A2E6B">
      <w:pPr>
        <w:spacing w:before="0" w:after="0"/>
      </w:pPr>
      <w:r>
        <w:rPr>
          <w:rFonts w:ascii="Arial" w:hAnsi="Arial" w:cs="Arial"/>
          <w:sz w:val="24"/>
          <w:szCs w:val="24"/>
        </w:rPr>
        <w:t>P&amp;F Service</w:t>
      </w:r>
      <w:r w:rsidR="0075772B">
        <w:rPr>
          <w:rFonts w:ascii="Arial" w:hAnsi="Arial" w:cs="Arial"/>
          <w:sz w:val="24"/>
          <w:szCs w:val="24"/>
        </w:rPr>
        <w:t xml:space="preserve"> is currently reviewing the FPM to determine how the procedures for fee review and authorization can be </w:t>
      </w:r>
      <w:r>
        <w:rPr>
          <w:rFonts w:ascii="Arial" w:hAnsi="Arial" w:cs="Arial"/>
          <w:sz w:val="24"/>
          <w:szCs w:val="24"/>
        </w:rPr>
        <w:t>improved</w:t>
      </w:r>
      <w:r w:rsidR="0075772B">
        <w:rPr>
          <w:rFonts w:ascii="Arial" w:hAnsi="Arial" w:cs="Arial"/>
          <w:sz w:val="24"/>
          <w:szCs w:val="24"/>
        </w:rPr>
        <w:t xml:space="preserve">. If a manual change is implemented, </w:t>
      </w:r>
      <w:r>
        <w:rPr>
          <w:rFonts w:ascii="Arial" w:hAnsi="Arial" w:cs="Arial"/>
          <w:sz w:val="24"/>
          <w:szCs w:val="24"/>
        </w:rPr>
        <w:t>the field</w:t>
      </w:r>
      <w:r w:rsidR="0075772B">
        <w:rPr>
          <w:rFonts w:ascii="Arial" w:hAnsi="Arial" w:cs="Arial"/>
          <w:sz w:val="24"/>
          <w:szCs w:val="24"/>
        </w:rPr>
        <w:t xml:space="preserve"> will be notified via the Compensation Service Calendar email blast. To subscribe to this email blast, visit the </w:t>
      </w:r>
      <w:hyperlink r:id="rId23" w:history="1">
        <w:r w:rsidR="0075772B">
          <w:rPr>
            <w:rStyle w:val="Hyperlink"/>
            <w:rFonts w:ascii="Arial" w:hAnsi="Arial" w:cs="Arial"/>
            <w:sz w:val="24"/>
            <w:szCs w:val="24"/>
          </w:rPr>
          <w:t>Calendar Subscriptions</w:t>
        </w:r>
      </w:hyperlink>
      <w:r w:rsidR="0075772B">
        <w:rPr>
          <w:rFonts w:ascii="Arial" w:hAnsi="Arial" w:cs="Arial"/>
          <w:sz w:val="24"/>
          <w:szCs w:val="24"/>
        </w:rPr>
        <w:t xml:space="preserve"> website.</w:t>
      </w:r>
    </w:p>
    <w:p w14:paraId="7901DDD4" w14:textId="77777777" w:rsidR="00FA6A19" w:rsidRPr="00DC4360" w:rsidRDefault="00FA6A19" w:rsidP="00FA6A19">
      <w:pPr>
        <w:pStyle w:val="Heading1"/>
        <w:rPr>
          <w:color w:val="B2A1C7" w:themeColor="accent4" w:themeTint="99"/>
        </w:rPr>
      </w:pPr>
      <w:bookmarkStart w:id="8" w:name="_Hlk21606964"/>
      <w:r w:rsidRPr="00DC4360">
        <w:rPr>
          <w:color w:val="B2A1C7" w:themeColor="accent4" w:themeTint="99"/>
        </w:rPr>
        <w:t>Post-Call Follow Up</w:t>
      </w:r>
    </w:p>
    <w:p w14:paraId="57A7F4BE" w14:textId="77777777" w:rsidR="00FA6A19" w:rsidRDefault="00FA6A19" w:rsidP="00FA6A19">
      <w:pPr>
        <w:jc w:val="center"/>
        <w:rPr>
          <w:b/>
          <w:bCs/>
          <w:i/>
          <w:iCs/>
          <w:color w:val="B2A1C7" w:themeColor="accent4" w:themeTint="99"/>
          <w:sz w:val="28"/>
          <w:szCs w:val="28"/>
        </w:rPr>
      </w:pPr>
    </w:p>
    <w:p w14:paraId="6164F80F" w14:textId="1527106A" w:rsidR="00FA6A19" w:rsidRDefault="00FA6A19" w:rsidP="00FA6A19">
      <w:pPr>
        <w:rPr>
          <w:b/>
          <w:bCs/>
          <w:sz w:val="24"/>
          <w:szCs w:val="24"/>
        </w:rPr>
      </w:pPr>
      <w:r w:rsidRPr="00BA35FA">
        <w:rPr>
          <w:b/>
          <w:bCs/>
          <w:sz w:val="24"/>
          <w:szCs w:val="24"/>
        </w:rPr>
        <w:t>Quality Call Recording</w:t>
      </w:r>
      <w:r w:rsidR="00C40E25">
        <w:rPr>
          <w:b/>
          <w:bCs/>
          <w:sz w:val="24"/>
          <w:szCs w:val="24"/>
        </w:rPr>
        <w:t xml:space="preserve"> and Bulletins</w:t>
      </w:r>
      <w:r w:rsidRPr="00BA35FA">
        <w:rPr>
          <w:b/>
          <w:bCs/>
          <w:sz w:val="24"/>
          <w:szCs w:val="24"/>
        </w:rPr>
        <w:t>:</w:t>
      </w:r>
    </w:p>
    <w:p w14:paraId="798D4BE2" w14:textId="4F5D980A" w:rsidR="00FA6A19" w:rsidRDefault="00FA6A19" w:rsidP="00FA6A19">
      <w:pPr>
        <w:rPr>
          <w:sz w:val="24"/>
          <w:szCs w:val="24"/>
        </w:rPr>
      </w:pPr>
      <w:r w:rsidRPr="00BA35FA">
        <w:rPr>
          <w:sz w:val="24"/>
          <w:szCs w:val="24"/>
        </w:rPr>
        <w:t>A</w:t>
      </w:r>
      <w:r>
        <w:rPr>
          <w:sz w:val="24"/>
          <w:szCs w:val="24"/>
        </w:rPr>
        <w:t xml:space="preserve"> recording </w:t>
      </w:r>
      <w:r w:rsidR="00C40E25">
        <w:rPr>
          <w:sz w:val="24"/>
          <w:szCs w:val="24"/>
        </w:rPr>
        <w:t>and bulletin for</w:t>
      </w:r>
      <w:r>
        <w:rPr>
          <w:sz w:val="24"/>
          <w:szCs w:val="24"/>
        </w:rPr>
        <w:t xml:space="preserve"> the June 2023 Fiduciary Quality Call</w:t>
      </w:r>
      <w:r w:rsidR="00C40E25">
        <w:rPr>
          <w:sz w:val="24"/>
          <w:szCs w:val="24"/>
        </w:rPr>
        <w:t>, will be available once finalized.</w:t>
      </w:r>
    </w:p>
    <w:p w14:paraId="142ABFCB" w14:textId="77777777" w:rsidR="007A2E6B" w:rsidRDefault="007A2E6B" w:rsidP="00FA6A19">
      <w:pPr>
        <w:rPr>
          <w:sz w:val="24"/>
          <w:szCs w:val="24"/>
        </w:rPr>
      </w:pPr>
    </w:p>
    <w:p w14:paraId="26EEB93D" w14:textId="3889A925" w:rsidR="00FA6A19" w:rsidRPr="00BA35FA" w:rsidRDefault="00FA6A19" w:rsidP="00FA6A19">
      <w:pPr>
        <w:rPr>
          <w:b/>
          <w:bCs/>
          <w:sz w:val="24"/>
          <w:szCs w:val="24"/>
        </w:rPr>
      </w:pPr>
      <w:r w:rsidRPr="00BA35FA">
        <w:rPr>
          <w:b/>
          <w:bCs/>
          <w:sz w:val="24"/>
          <w:szCs w:val="24"/>
        </w:rPr>
        <w:t>TMS Course:</w:t>
      </w:r>
    </w:p>
    <w:p w14:paraId="2F4519E6" w14:textId="5107BA66" w:rsidR="00FA6A19" w:rsidRDefault="00FA6A19" w:rsidP="00FA6A19">
      <w:pPr>
        <w:rPr>
          <w:sz w:val="24"/>
          <w:szCs w:val="24"/>
        </w:rPr>
      </w:pPr>
      <w:r w:rsidRPr="00BA35FA">
        <w:rPr>
          <w:sz w:val="24"/>
          <w:szCs w:val="24"/>
        </w:rPr>
        <w:t xml:space="preserve">Available content from the Quality Call (bulletin, recording, etc.) will be available in TMS. The TMS # for the </w:t>
      </w:r>
      <w:r>
        <w:rPr>
          <w:sz w:val="24"/>
          <w:szCs w:val="24"/>
        </w:rPr>
        <w:t>June 2023</w:t>
      </w:r>
      <w:r w:rsidRPr="00BA35FA">
        <w:rPr>
          <w:sz w:val="24"/>
          <w:szCs w:val="24"/>
        </w:rPr>
        <w:t xml:space="preserve"> Pension and Fiduciary Quality Call is </w:t>
      </w:r>
      <w:r>
        <w:rPr>
          <w:sz w:val="24"/>
          <w:szCs w:val="24"/>
        </w:rPr>
        <w:t>VA 4645451</w:t>
      </w:r>
      <w:r w:rsidRPr="00AF32B7">
        <w:rPr>
          <w:sz w:val="24"/>
          <w:szCs w:val="24"/>
        </w:rPr>
        <w:t xml:space="preserve"> </w:t>
      </w:r>
      <w:r w:rsidRPr="00BA35FA">
        <w:rPr>
          <w:sz w:val="24"/>
          <w:szCs w:val="24"/>
        </w:rPr>
        <w:t xml:space="preserve">(Pension and Fiduciary Service Quality Call – Fiduciary </w:t>
      </w:r>
      <w:r>
        <w:rPr>
          <w:sz w:val="24"/>
          <w:szCs w:val="24"/>
        </w:rPr>
        <w:t>June 2023</w:t>
      </w:r>
      <w:r w:rsidRPr="00BA35FA">
        <w:rPr>
          <w:sz w:val="24"/>
          <w:szCs w:val="24"/>
        </w:rPr>
        <w:t>)</w:t>
      </w:r>
      <w:r>
        <w:rPr>
          <w:sz w:val="24"/>
          <w:szCs w:val="24"/>
        </w:rPr>
        <w:t>.</w:t>
      </w:r>
    </w:p>
    <w:p w14:paraId="08FF6400" w14:textId="42F9EF23" w:rsidR="00FA6A19" w:rsidRPr="00D60069" w:rsidRDefault="00FA6A19" w:rsidP="00FA6A19"/>
    <w:p w14:paraId="7734C11C" w14:textId="77777777" w:rsidR="00C40E25" w:rsidRPr="004B1C80" w:rsidRDefault="00C40E25" w:rsidP="00C40E25">
      <w:pPr>
        <w:pStyle w:val="Heading4"/>
        <w:rPr>
          <w:sz w:val="24"/>
          <w:szCs w:val="24"/>
        </w:rPr>
      </w:pPr>
      <w:r w:rsidRPr="004B1C80">
        <w:rPr>
          <w:sz w:val="24"/>
          <w:szCs w:val="24"/>
        </w:rPr>
        <w:t>P&amp;F Quality Mailbox:</w:t>
      </w:r>
    </w:p>
    <w:p w14:paraId="3DE133CD" w14:textId="77777777" w:rsidR="00C40E25" w:rsidRDefault="00C40E25" w:rsidP="00C40E25">
      <w:pPr>
        <w:rPr>
          <w:rStyle w:val="Hyperlink"/>
          <w:sz w:val="24"/>
          <w:szCs w:val="24"/>
        </w:rPr>
      </w:pPr>
      <w:r w:rsidRPr="004B1C80">
        <w:rPr>
          <w:sz w:val="24"/>
          <w:szCs w:val="24"/>
        </w:rPr>
        <w:t xml:space="preserve">We will solicit for agenda topic(s) for each future Quality Call.  If you have a specific topic suggestion, please feel free to email it to the Pension and Fiduciary (P&amp;F) Quality mailbox at </w:t>
      </w:r>
      <w:hyperlink r:id="rId24" w:history="1">
        <w:r w:rsidRPr="004B1C80">
          <w:rPr>
            <w:rStyle w:val="Hyperlink"/>
            <w:sz w:val="24"/>
            <w:szCs w:val="24"/>
          </w:rPr>
          <w:t>PFTNGQUALOVRST.VBACO@va.gov</w:t>
        </w:r>
      </w:hyperlink>
    </w:p>
    <w:p w14:paraId="038D1738" w14:textId="77777777" w:rsidR="00C40E25" w:rsidRDefault="00C40E25" w:rsidP="00C40E25">
      <w:pPr>
        <w:rPr>
          <w:rStyle w:val="Hyperlink"/>
          <w:sz w:val="24"/>
          <w:szCs w:val="24"/>
        </w:rPr>
      </w:pPr>
    </w:p>
    <w:p w14:paraId="56C0675B" w14:textId="77777777" w:rsidR="00C40E25" w:rsidRPr="00366576" w:rsidRDefault="00C40E25" w:rsidP="00C40E25">
      <w:pPr>
        <w:pStyle w:val="Heading4"/>
        <w:spacing w:before="0" w:after="0"/>
        <w:rPr>
          <w:rStyle w:val="Hyperlink"/>
          <w:b w:val="0"/>
          <w:bCs/>
          <w:sz w:val="24"/>
          <w:szCs w:val="24"/>
        </w:rPr>
      </w:pPr>
      <w:r w:rsidRPr="00366576">
        <w:rPr>
          <w:b w:val="0"/>
          <w:bCs/>
          <w:sz w:val="24"/>
          <w:szCs w:val="24"/>
        </w:rPr>
        <w:lastRenderedPageBreak/>
        <w:t xml:space="preserve">For specific policy and procedures related topics, please </w:t>
      </w:r>
      <w:r>
        <w:rPr>
          <w:b w:val="0"/>
          <w:bCs/>
          <w:sz w:val="24"/>
          <w:szCs w:val="24"/>
        </w:rPr>
        <w:t xml:space="preserve">send inquiries through the </w:t>
      </w:r>
      <w:hyperlink r:id="rId25" w:history="1">
        <w:r w:rsidRPr="00CE547D">
          <w:rPr>
            <w:rStyle w:val="Hyperlink"/>
            <w:b w:val="0"/>
            <w:bCs/>
            <w:sz w:val="24"/>
            <w:szCs w:val="24"/>
          </w:rPr>
          <w:t>P&amp;F Service Field Inquiry Tool (FIT</w:t>
        </w:r>
      </w:hyperlink>
      <w:r>
        <w:rPr>
          <w:b w:val="0"/>
          <w:bCs/>
          <w:sz w:val="24"/>
          <w:szCs w:val="24"/>
        </w:rPr>
        <w:t>)</w:t>
      </w:r>
      <w:r w:rsidRPr="00CE547D">
        <w:rPr>
          <w:b w:val="0"/>
          <w:bCs/>
          <w:sz w:val="24"/>
          <w:szCs w:val="24"/>
        </w:rPr>
        <w:t>.</w:t>
      </w:r>
    </w:p>
    <w:p w14:paraId="2E49E7C0" w14:textId="77777777" w:rsidR="00C40E25" w:rsidRDefault="00C40E25" w:rsidP="00C40E25">
      <w:pPr>
        <w:pStyle w:val="Heading4"/>
        <w:spacing w:before="0"/>
      </w:pPr>
    </w:p>
    <w:p w14:paraId="719C071E" w14:textId="77777777" w:rsidR="00C40E25" w:rsidRDefault="00C40E25" w:rsidP="00C40E25">
      <w:pPr>
        <w:pStyle w:val="Heading4"/>
        <w:spacing w:before="0"/>
        <w:rPr>
          <w:b w:val="0"/>
          <w:sz w:val="24"/>
          <w:szCs w:val="24"/>
        </w:rPr>
      </w:pPr>
      <w:r w:rsidRPr="00E56143">
        <w:rPr>
          <w:b w:val="0"/>
          <w:sz w:val="24"/>
          <w:szCs w:val="24"/>
        </w:rPr>
        <w:t xml:space="preserve">The next Quality Call is tentatively scheduled for </w:t>
      </w:r>
      <w:r>
        <w:rPr>
          <w:b w:val="0"/>
          <w:sz w:val="24"/>
          <w:szCs w:val="24"/>
        </w:rPr>
        <w:t>August</w:t>
      </w:r>
      <w:r w:rsidRPr="00E56143">
        <w:rPr>
          <w:b w:val="0"/>
          <w:sz w:val="24"/>
          <w:szCs w:val="24"/>
        </w:rPr>
        <w:t xml:space="preserve"> 2023.</w:t>
      </w:r>
    </w:p>
    <w:p w14:paraId="4E136F1C" w14:textId="77777777" w:rsidR="00FA6A19" w:rsidRPr="004B1C80" w:rsidRDefault="00FA6A19" w:rsidP="004B1C80">
      <w:pPr>
        <w:pStyle w:val="Heading4"/>
        <w:spacing w:before="0"/>
        <w:rPr>
          <w:b w:val="0"/>
          <w:sz w:val="24"/>
          <w:szCs w:val="24"/>
        </w:rPr>
      </w:pPr>
    </w:p>
    <w:bookmarkEnd w:id="8"/>
    <w:p w14:paraId="00B4A3C4" w14:textId="74732F75" w:rsidR="00F15EBC" w:rsidRDefault="00F15EBC" w:rsidP="00F15EBC"/>
    <w:p w14:paraId="1F1A8223" w14:textId="77777777" w:rsidR="00F15EBC" w:rsidRPr="00D60069" w:rsidRDefault="00F15EBC"/>
    <w:sectPr w:rsidR="00F15EBC" w:rsidRPr="00D60069">
      <w:footerReference w:type="default" r:id="rId26"/>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DE92" w14:textId="77777777" w:rsidR="001500E3" w:rsidRDefault="001500E3">
      <w:pPr>
        <w:spacing w:before="0" w:after="0"/>
      </w:pPr>
      <w:r>
        <w:separator/>
      </w:r>
    </w:p>
  </w:endnote>
  <w:endnote w:type="continuationSeparator" w:id="0">
    <w:p w14:paraId="0D8F8450" w14:textId="77777777" w:rsidR="001500E3" w:rsidRDefault="001500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6814"/>
      <w:docPartObj>
        <w:docPartGallery w:val="Page Numbers (Bottom of Page)"/>
        <w:docPartUnique/>
      </w:docPartObj>
    </w:sdtPr>
    <w:sdtEndPr>
      <w:rPr>
        <w:noProof/>
      </w:rPr>
    </w:sdtEndPr>
    <w:sdtContent>
      <w:p w14:paraId="0378161C" w14:textId="380DA2A2" w:rsidR="002B2D13" w:rsidRDefault="006344A8">
        <w:pPr>
          <w:pStyle w:val="Footer"/>
        </w:pPr>
        <w:r>
          <w:fldChar w:fldCharType="begin"/>
        </w:r>
        <w:r>
          <w:instrText xml:space="preserve"> PAGE   \* MERGEFORMAT </w:instrText>
        </w:r>
        <w:r>
          <w:fldChar w:fldCharType="separate"/>
        </w:r>
        <w:r w:rsidR="003D5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CC66" w14:textId="77777777" w:rsidR="001500E3" w:rsidRDefault="001500E3">
      <w:pPr>
        <w:spacing w:before="0" w:after="0"/>
      </w:pPr>
      <w:r>
        <w:separator/>
      </w:r>
    </w:p>
  </w:footnote>
  <w:footnote w:type="continuationSeparator" w:id="0">
    <w:p w14:paraId="53426CD3" w14:textId="77777777" w:rsidR="001500E3" w:rsidRDefault="001500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FE494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208E5C2"/>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1EC641A"/>
    <w:multiLevelType w:val="hybridMultilevel"/>
    <w:tmpl w:val="678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33DA"/>
    <w:multiLevelType w:val="hybridMultilevel"/>
    <w:tmpl w:val="D91E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041BF"/>
    <w:multiLevelType w:val="hybridMultilevel"/>
    <w:tmpl w:val="3A08B87A"/>
    <w:lvl w:ilvl="0" w:tplc="42529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983CCF"/>
    <w:multiLevelType w:val="hybridMultilevel"/>
    <w:tmpl w:val="1FAC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C2746"/>
    <w:multiLevelType w:val="hybridMultilevel"/>
    <w:tmpl w:val="D23C08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3585249">
    <w:abstractNumId w:val="7"/>
  </w:num>
  <w:num w:numId="2" w16cid:durableId="1264921223">
    <w:abstractNumId w:val="8"/>
  </w:num>
  <w:num w:numId="3" w16cid:durableId="1366322607">
    <w:abstractNumId w:val="1"/>
  </w:num>
  <w:num w:numId="4" w16cid:durableId="905994054">
    <w:abstractNumId w:val="0"/>
  </w:num>
  <w:num w:numId="5" w16cid:durableId="756562584">
    <w:abstractNumId w:val="1"/>
    <w:lvlOverride w:ilvl="0">
      <w:startOverride w:val="1"/>
    </w:lvlOverride>
  </w:num>
  <w:num w:numId="6" w16cid:durableId="1283534086">
    <w:abstractNumId w:val="1"/>
    <w:lvlOverride w:ilvl="0">
      <w:startOverride w:val="1"/>
    </w:lvlOverride>
  </w:num>
  <w:num w:numId="7" w16cid:durableId="210849043">
    <w:abstractNumId w:val="1"/>
  </w:num>
  <w:num w:numId="8" w16cid:durableId="2099713405">
    <w:abstractNumId w:val="1"/>
  </w:num>
  <w:num w:numId="9" w16cid:durableId="166672443">
    <w:abstractNumId w:val="1"/>
  </w:num>
  <w:num w:numId="10" w16cid:durableId="189689463">
    <w:abstractNumId w:val="1"/>
  </w:num>
  <w:num w:numId="11" w16cid:durableId="1359694385">
    <w:abstractNumId w:val="1"/>
  </w:num>
  <w:num w:numId="12" w16cid:durableId="2030183569">
    <w:abstractNumId w:val="1"/>
  </w:num>
  <w:num w:numId="13" w16cid:durableId="1672945565">
    <w:abstractNumId w:val="1"/>
  </w:num>
  <w:num w:numId="14" w16cid:durableId="1047802715">
    <w:abstractNumId w:val="1"/>
  </w:num>
  <w:num w:numId="15" w16cid:durableId="81344633">
    <w:abstractNumId w:val="1"/>
  </w:num>
  <w:num w:numId="16" w16cid:durableId="2117089974">
    <w:abstractNumId w:val="1"/>
  </w:num>
  <w:num w:numId="17" w16cid:durableId="747533550">
    <w:abstractNumId w:val="1"/>
  </w:num>
  <w:num w:numId="18" w16cid:durableId="1174296814">
    <w:abstractNumId w:val="1"/>
  </w:num>
  <w:num w:numId="19" w16cid:durableId="1936748165">
    <w:abstractNumId w:val="1"/>
  </w:num>
  <w:num w:numId="20" w16cid:durableId="1408380507">
    <w:abstractNumId w:val="1"/>
  </w:num>
  <w:num w:numId="21" w16cid:durableId="1674533115">
    <w:abstractNumId w:val="1"/>
  </w:num>
  <w:num w:numId="22" w16cid:durableId="953902884">
    <w:abstractNumId w:val="1"/>
  </w:num>
  <w:num w:numId="23" w16cid:durableId="315843260">
    <w:abstractNumId w:val="3"/>
  </w:num>
  <w:num w:numId="24" w16cid:durableId="188566988">
    <w:abstractNumId w:val="6"/>
  </w:num>
  <w:num w:numId="25" w16cid:durableId="1689796378">
    <w:abstractNumId w:val="2"/>
  </w:num>
  <w:num w:numId="26" w16cid:durableId="2024434462">
    <w:abstractNumId w:val="5"/>
  </w:num>
  <w:num w:numId="27" w16cid:durableId="1682127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00"/>
    <w:rsid w:val="00011A4B"/>
    <w:rsid w:val="000472E7"/>
    <w:rsid w:val="00047521"/>
    <w:rsid w:val="00074E40"/>
    <w:rsid w:val="00075FC0"/>
    <w:rsid w:val="000D431A"/>
    <w:rsid w:val="000F3E4D"/>
    <w:rsid w:val="000F431D"/>
    <w:rsid w:val="00126A77"/>
    <w:rsid w:val="00130813"/>
    <w:rsid w:val="00142942"/>
    <w:rsid w:val="001479B9"/>
    <w:rsid w:val="001500E3"/>
    <w:rsid w:val="0015260F"/>
    <w:rsid w:val="001E0877"/>
    <w:rsid w:val="001F0513"/>
    <w:rsid w:val="00221FDF"/>
    <w:rsid w:val="00222A05"/>
    <w:rsid w:val="00233836"/>
    <w:rsid w:val="00233FE9"/>
    <w:rsid w:val="00266376"/>
    <w:rsid w:val="0027235C"/>
    <w:rsid w:val="002906D2"/>
    <w:rsid w:val="00292A1A"/>
    <w:rsid w:val="002B2D13"/>
    <w:rsid w:val="002C0EBF"/>
    <w:rsid w:val="002F7046"/>
    <w:rsid w:val="0031042A"/>
    <w:rsid w:val="0034721D"/>
    <w:rsid w:val="00372F24"/>
    <w:rsid w:val="003A261D"/>
    <w:rsid w:val="003C295F"/>
    <w:rsid w:val="003C7B19"/>
    <w:rsid w:val="003D5BF7"/>
    <w:rsid w:val="003D5D22"/>
    <w:rsid w:val="003F1B99"/>
    <w:rsid w:val="003F257D"/>
    <w:rsid w:val="00406094"/>
    <w:rsid w:val="004421F8"/>
    <w:rsid w:val="00480EF5"/>
    <w:rsid w:val="004A4900"/>
    <w:rsid w:val="004B1C80"/>
    <w:rsid w:val="004C6763"/>
    <w:rsid w:val="004C756C"/>
    <w:rsid w:val="004D3FEF"/>
    <w:rsid w:val="004F0B02"/>
    <w:rsid w:val="004F2C34"/>
    <w:rsid w:val="005027D2"/>
    <w:rsid w:val="005318E9"/>
    <w:rsid w:val="005537F7"/>
    <w:rsid w:val="005A7328"/>
    <w:rsid w:val="005D5687"/>
    <w:rsid w:val="005F7662"/>
    <w:rsid w:val="00611058"/>
    <w:rsid w:val="006122A8"/>
    <w:rsid w:val="006344A8"/>
    <w:rsid w:val="006628FF"/>
    <w:rsid w:val="00664A94"/>
    <w:rsid w:val="00676A12"/>
    <w:rsid w:val="006B014E"/>
    <w:rsid w:val="006C6E25"/>
    <w:rsid w:val="006F09DE"/>
    <w:rsid w:val="006F1642"/>
    <w:rsid w:val="00731C06"/>
    <w:rsid w:val="00734EEC"/>
    <w:rsid w:val="0075772B"/>
    <w:rsid w:val="00757B41"/>
    <w:rsid w:val="00793054"/>
    <w:rsid w:val="007A253C"/>
    <w:rsid w:val="007A2E6B"/>
    <w:rsid w:val="007B529C"/>
    <w:rsid w:val="007B7FFA"/>
    <w:rsid w:val="007D5F00"/>
    <w:rsid w:val="007E4418"/>
    <w:rsid w:val="007F04FA"/>
    <w:rsid w:val="00854FDA"/>
    <w:rsid w:val="00895A2A"/>
    <w:rsid w:val="008B0207"/>
    <w:rsid w:val="008B18B0"/>
    <w:rsid w:val="008D0BDD"/>
    <w:rsid w:val="0090195C"/>
    <w:rsid w:val="00912209"/>
    <w:rsid w:val="00914681"/>
    <w:rsid w:val="00916D29"/>
    <w:rsid w:val="00930B49"/>
    <w:rsid w:val="00944C93"/>
    <w:rsid w:val="009D0C6D"/>
    <w:rsid w:val="009D374D"/>
    <w:rsid w:val="009F6EDD"/>
    <w:rsid w:val="00A070BE"/>
    <w:rsid w:val="00A672FE"/>
    <w:rsid w:val="00A90537"/>
    <w:rsid w:val="00A933B8"/>
    <w:rsid w:val="00B17D95"/>
    <w:rsid w:val="00B26540"/>
    <w:rsid w:val="00B3734C"/>
    <w:rsid w:val="00B61D8B"/>
    <w:rsid w:val="00BD3B56"/>
    <w:rsid w:val="00C120C3"/>
    <w:rsid w:val="00C23FAF"/>
    <w:rsid w:val="00C40E25"/>
    <w:rsid w:val="00C65BD8"/>
    <w:rsid w:val="00C7076C"/>
    <w:rsid w:val="00CE40A0"/>
    <w:rsid w:val="00D11CFD"/>
    <w:rsid w:val="00D2128C"/>
    <w:rsid w:val="00D22D95"/>
    <w:rsid w:val="00D34264"/>
    <w:rsid w:val="00D4212C"/>
    <w:rsid w:val="00D60069"/>
    <w:rsid w:val="00D6038E"/>
    <w:rsid w:val="00D62E01"/>
    <w:rsid w:val="00D661EE"/>
    <w:rsid w:val="00D96B46"/>
    <w:rsid w:val="00D979B3"/>
    <w:rsid w:val="00DF4E73"/>
    <w:rsid w:val="00E048B4"/>
    <w:rsid w:val="00E134D2"/>
    <w:rsid w:val="00E45512"/>
    <w:rsid w:val="00E5176B"/>
    <w:rsid w:val="00E54C1A"/>
    <w:rsid w:val="00E56143"/>
    <w:rsid w:val="00E604EC"/>
    <w:rsid w:val="00E66249"/>
    <w:rsid w:val="00E80383"/>
    <w:rsid w:val="00EC295B"/>
    <w:rsid w:val="00EE1706"/>
    <w:rsid w:val="00F15EBC"/>
    <w:rsid w:val="00F31E9F"/>
    <w:rsid w:val="00F33EC9"/>
    <w:rsid w:val="00F434DD"/>
    <w:rsid w:val="00F5294F"/>
    <w:rsid w:val="00F61499"/>
    <w:rsid w:val="00F6224E"/>
    <w:rsid w:val="00F767DA"/>
    <w:rsid w:val="00F813B9"/>
    <w:rsid w:val="00F93BEF"/>
    <w:rsid w:val="00F96A26"/>
    <w:rsid w:val="00FA6A19"/>
    <w:rsid w:val="00FB16CB"/>
    <w:rsid w:val="00FB4C85"/>
    <w:rsid w:val="00FC579B"/>
    <w:rsid w:val="00FF16A7"/>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8948"/>
  <w15:docId w15:val="{ACEFD8FA-3FA5-458A-938B-06FC1F72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link w:val="Heading1Char"/>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E4418"/>
    <w:rPr>
      <w:sz w:val="16"/>
      <w:szCs w:val="16"/>
    </w:rPr>
  </w:style>
  <w:style w:type="paragraph" w:styleId="CommentText">
    <w:name w:val="annotation text"/>
    <w:basedOn w:val="Normal"/>
    <w:link w:val="CommentTextChar"/>
    <w:uiPriority w:val="99"/>
    <w:semiHidden/>
    <w:unhideWhenUsed/>
    <w:rsid w:val="007E4418"/>
    <w:rPr>
      <w:sz w:val="20"/>
      <w:szCs w:val="20"/>
    </w:rPr>
  </w:style>
  <w:style w:type="character" w:customStyle="1" w:styleId="CommentTextChar">
    <w:name w:val="Comment Text Char"/>
    <w:basedOn w:val="DefaultParagraphFont"/>
    <w:link w:val="CommentText"/>
    <w:uiPriority w:val="99"/>
    <w:semiHidden/>
    <w:rsid w:val="007E4418"/>
    <w:rPr>
      <w:sz w:val="20"/>
      <w:szCs w:val="20"/>
    </w:rPr>
  </w:style>
  <w:style w:type="paragraph" w:styleId="CommentSubject">
    <w:name w:val="annotation subject"/>
    <w:basedOn w:val="CommentText"/>
    <w:next w:val="CommentText"/>
    <w:link w:val="CommentSubjectChar"/>
    <w:uiPriority w:val="99"/>
    <w:semiHidden/>
    <w:unhideWhenUsed/>
    <w:rsid w:val="007E4418"/>
    <w:rPr>
      <w:b/>
      <w:bCs/>
    </w:rPr>
  </w:style>
  <w:style w:type="character" w:customStyle="1" w:styleId="CommentSubjectChar">
    <w:name w:val="Comment Subject Char"/>
    <w:basedOn w:val="CommentTextChar"/>
    <w:link w:val="CommentSubject"/>
    <w:uiPriority w:val="99"/>
    <w:semiHidden/>
    <w:rsid w:val="007E4418"/>
    <w:rPr>
      <w:b/>
      <w:bCs/>
      <w:sz w:val="20"/>
      <w:szCs w:val="20"/>
    </w:rPr>
  </w:style>
  <w:style w:type="character" w:styleId="Hyperlink">
    <w:name w:val="Hyperlink"/>
    <w:basedOn w:val="DefaultParagraphFont"/>
    <w:uiPriority w:val="99"/>
    <w:unhideWhenUsed/>
    <w:rsid w:val="007B529C"/>
    <w:rPr>
      <w:color w:val="0000FF" w:themeColor="hyperlink"/>
      <w:u w:val="single"/>
    </w:rPr>
  </w:style>
  <w:style w:type="character" w:styleId="UnresolvedMention">
    <w:name w:val="Unresolved Mention"/>
    <w:basedOn w:val="DefaultParagraphFont"/>
    <w:uiPriority w:val="99"/>
    <w:semiHidden/>
    <w:unhideWhenUsed/>
    <w:rsid w:val="007B529C"/>
    <w:rPr>
      <w:color w:val="605E5C"/>
      <w:shd w:val="clear" w:color="auto" w:fill="E1DFDD"/>
    </w:rPr>
  </w:style>
  <w:style w:type="character" w:styleId="FollowedHyperlink">
    <w:name w:val="FollowedHyperlink"/>
    <w:basedOn w:val="DefaultParagraphFont"/>
    <w:uiPriority w:val="99"/>
    <w:semiHidden/>
    <w:unhideWhenUsed/>
    <w:rsid w:val="00EE1706"/>
    <w:rPr>
      <w:color w:val="800080" w:themeColor="followedHyperlink"/>
      <w:u w:val="single"/>
    </w:rPr>
  </w:style>
  <w:style w:type="paragraph" w:styleId="Revision">
    <w:name w:val="Revision"/>
    <w:hidden/>
    <w:uiPriority w:val="99"/>
    <w:semiHidden/>
    <w:rsid w:val="004A4900"/>
    <w:pPr>
      <w:spacing w:before="0" w:after="0"/>
    </w:pPr>
  </w:style>
  <w:style w:type="paragraph" w:styleId="NormalWeb">
    <w:name w:val="Normal (Web)"/>
    <w:basedOn w:val="Normal"/>
    <w:uiPriority w:val="99"/>
    <w:unhideWhenUsed/>
    <w:rsid w:val="0075772B"/>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unhideWhenUsed/>
    <w:qFormat/>
    <w:rsid w:val="000472E7"/>
    <w:pPr>
      <w:ind w:left="720"/>
      <w:contextualSpacing/>
    </w:pPr>
  </w:style>
  <w:style w:type="paragraph" w:customStyle="1" w:styleId="Default">
    <w:name w:val="Default"/>
    <w:rsid w:val="00912209"/>
    <w:pPr>
      <w:autoSpaceDE w:val="0"/>
      <w:autoSpaceDN w:val="0"/>
      <w:adjustRightInd w:val="0"/>
      <w:spacing w:before="0"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A6A19"/>
    <w:rPr>
      <w:rFonts w:asciiTheme="majorHAnsi" w:eastAsiaTheme="majorEastAsia" w:hAnsiTheme="majorHAnsi" w:cs="Arial"/>
      <w:b/>
      <w:bCs/>
      <w:i/>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603">
      <w:bodyDiv w:val="1"/>
      <w:marLeft w:val="0"/>
      <w:marRight w:val="0"/>
      <w:marTop w:val="0"/>
      <w:marBottom w:val="0"/>
      <w:divBdr>
        <w:top w:val="none" w:sz="0" w:space="0" w:color="auto"/>
        <w:left w:val="none" w:sz="0" w:space="0" w:color="auto"/>
        <w:bottom w:val="none" w:sz="0" w:space="0" w:color="auto"/>
        <w:right w:val="none" w:sz="0" w:space="0" w:color="auto"/>
      </w:divBdr>
    </w:div>
    <w:div w:id="293871520">
      <w:bodyDiv w:val="1"/>
      <w:marLeft w:val="0"/>
      <w:marRight w:val="0"/>
      <w:marTop w:val="0"/>
      <w:marBottom w:val="0"/>
      <w:divBdr>
        <w:top w:val="none" w:sz="0" w:space="0" w:color="auto"/>
        <w:left w:val="none" w:sz="0" w:space="0" w:color="auto"/>
        <w:bottom w:val="none" w:sz="0" w:space="0" w:color="auto"/>
        <w:right w:val="none" w:sz="0" w:space="0" w:color="auto"/>
      </w:divBdr>
    </w:div>
    <w:div w:id="1548681859">
      <w:bodyDiv w:val="1"/>
      <w:marLeft w:val="0"/>
      <w:marRight w:val="0"/>
      <w:marTop w:val="0"/>
      <w:marBottom w:val="0"/>
      <w:divBdr>
        <w:top w:val="none" w:sz="0" w:space="0" w:color="auto"/>
        <w:left w:val="none" w:sz="0" w:space="0" w:color="auto"/>
        <w:bottom w:val="none" w:sz="0" w:space="0" w:color="auto"/>
        <w:right w:val="none" w:sz="0" w:space="0" w:color="auto"/>
      </w:divBdr>
    </w:div>
    <w:div w:id="1634140596">
      <w:bodyDiv w:val="1"/>
      <w:marLeft w:val="0"/>
      <w:marRight w:val="0"/>
      <w:marTop w:val="0"/>
      <w:marBottom w:val="0"/>
      <w:divBdr>
        <w:top w:val="none" w:sz="0" w:space="0" w:color="auto"/>
        <w:left w:val="none" w:sz="0" w:space="0" w:color="auto"/>
        <w:bottom w:val="none" w:sz="0" w:space="0" w:color="auto"/>
        <w:right w:val="none" w:sz="0" w:space="0" w:color="auto"/>
      </w:divBdr>
    </w:div>
    <w:div w:id="1862237547">
      <w:bodyDiv w:val="1"/>
      <w:marLeft w:val="0"/>
      <w:marRight w:val="0"/>
      <w:marTop w:val="0"/>
      <w:marBottom w:val="0"/>
      <w:divBdr>
        <w:top w:val="none" w:sz="0" w:space="0" w:color="auto"/>
        <w:left w:val="none" w:sz="0" w:space="0" w:color="auto"/>
        <w:bottom w:val="none" w:sz="0" w:space="0" w:color="auto"/>
        <w:right w:val="none" w:sz="0" w:space="0" w:color="auto"/>
      </w:divBdr>
    </w:div>
    <w:div w:id="1924759175">
      <w:bodyDiv w:val="1"/>
      <w:marLeft w:val="0"/>
      <w:marRight w:val="0"/>
      <w:marTop w:val="0"/>
      <w:marBottom w:val="0"/>
      <w:divBdr>
        <w:top w:val="none" w:sz="0" w:space="0" w:color="auto"/>
        <w:left w:val="none" w:sz="0" w:space="0" w:color="auto"/>
        <w:bottom w:val="none" w:sz="0" w:space="0" w:color="auto"/>
        <w:right w:val="none" w:sz="0" w:space="0" w:color="auto"/>
      </w:divBdr>
    </w:div>
    <w:div w:id="20919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view.officeapps.live.com/op/view.aspx?src=https%3A%2F%2Fvba-media1.vbatraining.org%2FVBA_Learning_Catalog%2FFiduciary%2FFiduciary_FY23_NTC.xlsx&amp;wdOrigin=BROWSELIN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aww.vrm.km.va.gov/system/templates/selfservice/va_kanew/help/agent/locale/en-US/portal/554400000001030/content/554400000153957/FPM-Part-I-Chapter-3-Section-C-Audits" TargetMode="External"/><Relationship Id="rId7" Type="http://schemas.openxmlformats.org/officeDocument/2006/relationships/endnotes" Target="endnotes.xml"/><Relationship Id="rId12" Type="http://schemas.openxmlformats.org/officeDocument/2006/relationships/hyperlink" Target="https://va.my.salesforce.com/sfc/p/t00000004X38/a/t00000025VTx/COBAo1gIIYgV.2zuATPnf0OIVzUbq7kCT42VMgHs39g" TargetMode="External"/><Relationship Id="rId17" Type="http://schemas.openxmlformats.org/officeDocument/2006/relationships/hyperlink" Target="https://vaww.vrm.km.va.gov/system/templates/selfservice/va_kanew/help/agent/locale/en-US/portal/554400000001030/content/554400000153952/FPM-Part-I-Chapter-2-Section-D-Follow-Up-Field-Examinations" TargetMode="External"/><Relationship Id="rId25" Type="http://schemas.openxmlformats.org/officeDocument/2006/relationships/hyperlink" Target="https://gcc02.safelinks.protection.outlook.com/?url=https%3A%2F%2Fapps.gov.powerapps.us%2Fplay%2Fe%2Fdefault-e95f1b23-abaf-45ee-821d-b7ab251ab3bf%2Fa%2F0a333bae-1e5d-446f-b2d1-c25be963c99d%3FtenantId%3De95f1b23-abaf-45ee-821d-b7ab251ab3bf%26source%3Dportal&amp;data=05%7C01%7C%7C7e57527ccb104c4cf7e908daee8a90c7%7Ce95f1b23abaf45ee821db7ab251ab3bf%7C0%7C0%7C638084576146818115%7CUnknown%7CTWFpbGZsb3d8eyJWIjoiMC4wLjAwMDAiLCJQIjoiV2luMzIiLCJBTiI6Ik1haWwiLCJXVCI6Mn0%3D%7C3000%7C%7C%7C&amp;sdata=QmlXA%2BnoE6ops2TJVkdEaKfE2nNzs23U4R2EoE%2BHLHI%3D&amp;reserved=0" TargetMode="Externa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0/content/554400000153952/FPM-Part-I-Chapter-2-Section-D-Follow-Up-Field-Examinations" TargetMode="External"/><Relationship Id="rId20" Type="http://schemas.openxmlformats.org/officeDocument/2006/relationships/hyperlink" Target="https://vaww.vrm.km.va.gov/system/templates/selfservice/va_kanew/help/agent/locale/en-US/portal/554400000001030/content/554400000153957/FPM-Part-I-Chapter-3-Section-C-Aud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rm.km.va.gov/system/templates/selfservice/va_kanew/help/agent/locale/en-US/portal/554400000001030/topic/554400000023676/Chapter-6-Fund-Usage-Oversight" TargetMode="External"/><Relationship Id="rId24" Type="http://schemas.openxmlformats.org/officeDocument/2006/relationships/hyperlink" Target="mailto:PFTNGQUALOVRST.VBACO@va.gov" TargetMode="External"/><Relationship Id="rId5" Type="http://schemas.openxmlformats.org/officeDocument/2006/relationships/webSettings" Target="webSettings.xml"/><Relationship Id="rId15" Type="http://schemas.openxmlformats.org/officeDocument/2006/relationships/hyperlink" Target="https://va.my.salesforce.com/sfc/p/t00000004X38/a/t00000025VTx/COBAo1gIIYgV.2zuATPnf0OIVzUbq7kCT42VMgHs39g" TargetMode="External"/><Relationship Id="rId23" Type="http://schemas.openxmlformats.org/officeDocument/2006/relationships/hyperlink" Target="http://vbacoweb03.dva.va.gov/bl/21/Calendar/cal_Subscribe.asp" TargetMode="External"/><Relationship Id="rId28" Type="http://schemas.openxmlformats.org/officeDocument/2006/relationships/glossaryDocument" Target="glossary/document.xml"/><Relationship Id="rId10" Type="http://schemas.openxmlformats.org/officeDocument/2006/relationships/hyperlink" Target="https://vaww.vrm.km.va.gov/system/templates/selfservice/va_kanew/help/agent/locale/en-US/portal/554400000001030/topic/554400000018934/Chapter-3-Accounting" TargetMode="External"/><Relationship Id="rId19" Type="http://schemas.openxmlformats.org/officeDocument/2006/relationships/hyperlink" Target="https://vaww.vrm.km.va.gov/system/templates/selfservice/va_kanew/help/agent/locale/en-US/portal/554400000001030/content/554400000153968/FPM-Part-II-Chapter-2-Section-A-Accounts-and-Investments" TargetMode="External"/><Relationship Id="rId4" Type="http://schemas.openxmlformats.org/officeDocument/2006/relationships/settings" Target="settings.xml"/><Relationship Id="rId9" Type="http://schemas.openxmlformats.org/officeDocument/2006/relationships/hyperlink" Target="https://vaww.vrm.km.va.gov/system/templates/selfservice/va_kanew/help/agent/locale/en-US/portal/554400000001030/topic/554400000018933/Chapter-2-Field-Examinations" TargetMode="External"/><Relationship Id="rId14" Type="http://schemas.openxmlformats.org/officeDocument/2006/relationships/image" Target="cid:image001.png@01D9832E.33C39410" TargetMode="External"/><Relationship Id="rId22" Type="http://schemas.openxmlformats.org/officeDocument/2006/relationships/hyperlink" Target="https://www.law.cornell.edu/uscode/text/38/550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COYL\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E57C5D5E449D1A227C0884E237AD8"/>
        <w:category>
          <w:name w:val="General"/>
          <w:gallery w:val="placeholder"/>
        </w:category>
        <w:types>
          <w:type w:val="bbPlcHdr"/>
        </w:types>
        <w:behaviors>
          <w:behavior w:val="content"/>
        </w:behaviors>
        <w:guid w:val="{09008CE1-9DCF-4300-8643-5394F1432026}"/>
      </w:docPartPr>
      <w:docPartBody>
        <w:p w:rsidR="00F91AC9" w:rsidRDefault="0050150A">
          <w:pPr>
            <w:pStyle w:val="20DE57C5D5E449D1A227C0884E237AD8"/>
          </w:pPr>
          <w:r>
            <w:t>Agenda item:</w:t>
          </w:r>
        </w:p>
      </w:docPartBody>
    </w:docPart>
    <w:docPart>
      <w:docPartPr>
        <w:name w:val="351F97E736274FF0994F1CE60D68DE77"/>
        <w:category>
          <w:name w:val="General"/>
          <w:gallery w:val="placeholder"/>
        </w:category>
        <w:types>
          <w:type w:val="bbPlcHdr"/>
        </w:types>
        <w:behaviors>
          <w:behavior w:val="content"/>
        </w:behaviors>
        <w:guid w:val="{39FE9B49-D436-4B92-9650-7F2267C8D06E}"/>
      </w:docPartPr>
      <w:docPartBody>
        <w:p w:rsidR="00F91AC9" w:rsidRDefault="0050150A">
          <w:pPr>
            <w:pStyle w:val="351F97E736274FF0994F1CE60D68DE77"/>
          </w:pPr>
          <w:r>
            <w:t>Presenter:</w:t>
          </w:r>
        </w:p>
      </w:docPartBody>
    </w:docPart>
    <w:docPart>
      <w:docPartPr>
        <w:name w:val="BEEE93B5055349CDA16253D1263663B8"/>
        <w:category>
          <w:name w:val="General"/>
          <w:gallery w:val="placeholder"/>
        </w:category>
        <w:types>
          <w:type w:val="bbPlcHdr"/>
        </w:types>
        <w:behaviors>
          <w:behavior w:val="content"/>
        </w:behaviors>
        <w:guid w:val="{6B625FD9-9BA0-4429-B5EF-B0EF4AADC695}"/>
      </w:docPartPr>
      <w:docPartBody>
        <w:p w:rsidR="00F91AC9" w:rsidRDefault="0050150A">
          <w:pPr>
            <w:pStyle w:val="BEEE93B5055349CDA16253D1263663B8"/>
          </w:pPr>
          <w:r>
            <w:t>Agenda item:</w:t>
          </w:r>
        </w:p>
      </w:docPartBody>
    </w:docPart>
    <w:docPart>
      <w:docPartPr>
        <w:name w:val="EE2DA83037A34D638D4ED63942E9D9E4"/>
        <w:category>
          <w:name w:val="General"/>
          <w:gallery w:val="placeholder"/>
        </w:category>
        <w:types>
          <w:type w:val="bbPlcHdr"/>
        </w:types>
        <w:behaviors>
          <w:behavior w:val="content"/>
        </w:behaviors>
        <w:guid w:val="{46D50C73-5137-4064-9B41-B7454747B0D4}"/>
      </w:docPartPr>
      <w:docPartBody>
        <w:p w:rsidR="00F91AC9" w:rsidRDefault="0050150A">
          <w:pPr>
            <w:pStyle w:val="EE2DA83037A34D638D4ED63942E9D9E4"/>
          </w:pPr>
          <w:r>
            <w:t>Presenter:</w:t>
          </w:r>
        </w:p>
      </w:docPartBody>
    </w:docPart>
    <w:docPart>
      <w:docPartPr>
        <w:name w:val="5C526D49C19E4A4DA765D72573DF8370"/>
        <w:category>
          <w:name w:val="General"/>
          <w:gallery w:val="placeholder"/>
        </w:category>
        <w:types>
          <w:type w:val="bbPlcHdr"/>
        </w:types>
        <w:behaviors>
          <w:behavior w:val="content"/>
        </w:behaviors>
        <w:guid w:val="{C9E0606B-E1D8-4A40-A157-D6E8C5A2776C}"/>
      </w:docPartPr>
      <w:docPartBody>
        <w:p w:rsidR="00F91AC9" w:rsidRDefault="0050150A">
          <w:pPr>
            <w:pStyle w:val="5C526D49C19E4A4DA765D72573DF8370"/>
          </w:pPr>
          <w:r>
            <w:t>Agenda item:</w:t>
          </w:r>
        </w:p>
      </w:docPartBody>
    </w:docPart>
    <w:docPart>
      <w:docPartPr>
        <w:name w:val="02EA8C92C8104148B1800799423752F6"/>
        <w:category>
          <w:name w:val="General"/>
          <w:gallery w:val="placeholder"/>
        </w:category>
        <w:types>
          <w:type w:val="bbPlcHdr"/>
        </w:types>
        <w:behaviors>
          <w:behavior w:val="content"/>
        </w:behaviors>
        <w:guid w:val="{B141B2E8-AC88-4736-871B-B7A512A3FD7C}"/>
      </w:docPartPr>
      <w:docPartBody>
        <w:p w:rsidR="00F91AC9" w:rsidRDefault="0050150A">
          <w:pPr>
            <w:pStyle w:val="02EA8C92C8104148B1800799423752F6"/>
          </w:pPr>
          <w:r>
            <w:t>Presenter:</w:t>
          </w:r>
        </w:p>
      </w:docPartBody>
    </w:docPart>
    <w:docPart>
      <w:docPartPr>
        <w:name w:val="63F8F156A0BA49FD94B529EB45F4DDD9"/>
        <w:category>
          <w:name w:val="General"/>
          <w:gallery w:val="placeholder"/>
        </w:category>
        <w:types>
          <w:type w:val="bbPlcHdr"/>
        </w:types>
        <w:behaviors>
          <w:behavior w:val="content"/>
        </w:behaviors>
        <w:guid w:val="{BCC2497A-6995-4963-9177-CBBDCE096C32}"/>
      </w:docPartPr>
      <w:docPartBody>
        <w:p w:rsidR="00CD1B07" w:rsidRDefault="00C66D9E" w:rsidP="00C66D9E">
          <w:pPr>
            <w:pStyle w:val="63F8F156A0BA49FD94B529EB45F4DDD9"/>
          </w:pPr>
          <w:r>
            <w:t>Agenda item:</w:t>
          </w:r>
        </w:p>
      </w:docPartBody>
    </w:docPart>
    <w:docPart>
      <w:docPartPr>
        <w:name w:val="B9AD265B8BA14DF9BFC87494C85D00AA"/>
        <w:category>
          <w:name w:val="General"/>
          <w:gallery w:val="placeholder"/>
        </w:category>
        <w:types>
          <w:type w:val="bbPlcHdr"/>
        </w:types>
        <w:behaviors>
          <w:behavior w:val="content"/>
        </w:behaviors>
        <w:guid w:val="{6A55160E-50DD-4E9E-89E5-0A8072C981B8}"/>
      </w:docPartPr>
      <w:docPartBody>
        <w:p w:rsidR="00CD1B07" w:rsidRDefault="00C66D9E" w:rsidP="00C66D9E">
          <w:pPr>
            <w:pStyle w:val="B9AD265B8BA14DF9BFC87494C85D00AA"/>
          </w:pPr>
          <w:r>
            <w:t>Presenter:</w:t>
          </w:r>
        </w:p>
      </w:docPartBody>
    </w:docPart>
    <w:docPart>
      <w:docPartPr>
        <w:name w:val="D2F682D7EEDC4D41BE88C703B1C57A15"/>
        <w:category>
          <w:name w:val="General"/>
          <w:gallery w:val="placeholder"/>
        </w:category>
        <w:types>
          <w:type w:val="bbPlcHdr"/>
        </w:types>
        <w:behaviors>
          <w:behavior w:val="content"/>
        </w:behaviors>
        <w:guid w:val="{6F1B56B0-ECF1-43D8-8106-FE0135283E9A}"/>
      </w:docPartPr>
      <w:docPartBody>
        <w:p w:rsidR="00CD1B07" w:rsidRDefault="00C66D9E" w:rsidP="00C66D9E">
          <w:pPr>
            <w:pStyle w:val="D2F682D7EEDC4D41BE88C703B1C57A15"/>
          </w:pPr>
          <w:r>
            <w:t>Agenda item:</w:t>
          </w:r>
        </w:p>
      </w:docPartBody>
    </w:docPart>
    <w:docPart>
      <w:docPartPr>
        <w:name w:val="3220624657EA4639A46999FC96D43AE9"/>
        <w:category>
          <w:name w:val="General"/>
          <w:gallery w:val="placeholder"/>
        </w:category>
        <w:types>
          <w:type w:val="bbPlcHdr"/>
        </w:types>
        <w:behaviors>
          <w:behavior w:val="content"/>
        </w:behaviors>
        <w:guid w:val="{7C762472-488C-4A6A-887E-7273F636B3C7}"/>
      </w:docPartPr>
      <w:docPartBody>
        <w:p w:rsidR="00CD1B07" w:rsidRDefault="00C66D9E" w:rsidP="00C66D9E">
          <w:pPr>
            <w:pStyle w:val="3220624657EA4639A46999FC96D43AE9"/>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6"/>
    <w:rsid w:val="000653D6"/>
    <w:rsid w:val="000B4699"/>
    <w:rsid w:val="00174C71"/>
    <w:rsid w:val="00222BEA"/>
    <w:rsid w:val="003472E4"/>
    <w:rsid w:val="003B4E38"/>
    <w:rsid w:val="003C1106"/>
    <w:rsid w:val="00440F09"/>
    <w:rsid w:val="0050150A"/>
    <w:rsid w:val="00573C4E"/>
    <w:rsid w:val="007F6A1E"/>
    <w:rsid w:val="00827BCB"/>
    <w:rsid w:val="008C34E8"/>
    <w:rsid w:val="009A11DC"/>
    <w:rsid w:val="00A8444B"/>
    <w:rsid w:val="00C66D9E"/>
    <w:rsid w:val="00CD1B07"/>
    <w:rsid w:val="00CF7EE1"/>
    <w:rsid w:val="00D3354A"/>
    <w:rsid w:val="00D64E74"/>
    <w:rsid w:val="00D9187D"/>
    <w:rsid w:val="00ED13C6"/>
    <w:rsid w:val="00F9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DE57C5D5E449D1A227C0884E237AD8">
    <w:name w:val="20DE57C5D5E449D1A227C0884E237AD8"/>
  </w:style>
  <w:style w:type="paragraph" w:customStyle="1" w:styleId="351F97E736274FF0994F1CE60D68DE77">
    <w:name w:val="351F97E736274FF0994F1CE60D68DE77"/>
  </w:style>
  <w:style w:type="paragraph" w:customStyle="1" w:styleId="BEEE93B5055349CDA16253D1263663B8">
    <w:name w:val="BEEE93B5055349CDA16253D1263663B8"/>
  </w:style>
  <w:style w:type="paragraph" w:customStyle="1" w:styleId="EE2DA83037A34D638D4ED63942E9D9E4">
    <w:name w:val="EE2DA83037A34D638D4ED63942E9D9E4"/>
  </w:style>
  <w:style w:type="paragraph" w:customStyle="1" w:styleId="5C526D49C19E4A4DA765D72573DF8370">
    <w:name w:val="5C526D49C19E4A4DA765D72573DF8370"/>
  </w:style>
  <w:style w:type="paragraph" w:customStyle="1" w:styleId="02EA8C92C8104148B1800799423752F6">
    <w:name w:val="02EA8C92C8104148B1800799423752F6"/>
  </w:style>
  <w:style w:type="paragraph" w:customStyle="1" w:styleId="63F8F156A0BA49FD94B529EB45F4DDD9">
    <w:name w:val="63F8F156A0BA49FD94B529EB45F4DDD9"/>
    <w:rsid w:val="00C66D9E"/>
  </w:style>
  <w:style w:type="paragraph" w:customStyle="1" w:styleId="B9AD265B8BA14DF9BFC87494C85D00AA">
    <w:name w:val="B9AD265B8BA14DF9BFC87494C85D00AA"/>
    <w:rsid w:val="00C66D9E"/>
  </w:style>
  <w:style w:type="paragraph" w:customStyle="1" w:styleId="D2F682D7EEDC4D41BE88C703B1C57A15">
    <w:name w:val="D2F682D7EEDC4D41BE88C703B1C57A15"/>
    <w:rsid w:val="00C66D9E"/>
  </w:style>
  <w:style w:type="paragraph" w:customStyle="1" w:styleId="3220624657EA4639A46999FC96D43AE9">
    <w:name w:val="3220624657EA4639A46999FC96D43AE9"/>
    <w:rsid w:val="00C6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1313E-AA84-4234-AE2B-79E862DF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10</TotalTime>
  <Pages>9</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June 2023 Fiduciary Quality Call Bulletin</vt:lpstr>
    </vt:vector>
  </TitlesOfParts>
  <Company>Veterans Benefits Administration</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Fiduciary Quality Call Bulletin</dc:title>
  <dc:subject/>
  <dc:creator>Department of Veterans Affairs, Veterans Benefits Administration, Pension and Fiduciary Service, STAFF</dc:creator>
  <cp:keywords/>
  <dc:description/>
  <cp:lastModifiedBy>Kathy Poole</cp:lastModifiedBy>
  <cp:revision>3</cp:revision>
  <cp:lastPrinted>2019-10-25T18:09:00Z</cp:lastPrinted>
  <dcterms:created xsi:type="dcterms:W3CDTF">2023-06-27T13:28:00Z</dcterms:created>
  <dcterms:modified xsi:type="dcterms:W3CDTF">2023-06-27T13:58:00Z</dcterms:modified>
  <cp:category>NTC Curriculum</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