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E28D" w14:textId="0F99506F" w:rsidR="00290A0E" w:rsidRDefault="00F10231" w:rsidP="00290A0E">
      <w:pPr>
        <w:spacing w:after="0"/>
        <w:jc w:val="center"/>
        <w:rPr>
          <w:rFonts w:ascii="Arial" w:eastAsia="Helvetica" w:hAnsi="Arial" w:cs="Arial"/>
          <w:b/>
          <w:sz w:val="28"/>
          <w:szCs w:val="20"/>
        </w:rPr>
      </w:pPr>
      <w:r>
        <w:rPr>
          <w:noProof/>
        </w:rPr>
        <w:drawing>
          <wp:anchor distT="0" distB="0" distL="114300" distR="114300" simplePos="0" relativeHeight="251659264" behindDoc="0" locked="0" layoutInCell="1" allowOverlap="1" wp14:anchorId="1DD474FF" wp14:editId="07AF79E2">
            <wp:simplePos x="0" y="0"/>
            <wp:positionH relativeFrom="margin">
              <wp:align>left</wp:align>
            </wp:positionH>
            <wp:positionV relativeFrom="paragraph">
              <wp:posOffset>-13970</wp:posOffset>
            </wp:positionV>
            <wp:extent cx="1950720" cy="584259"/>
            <wp:effectExtent l="0" t="0" r="0" b="6350"/>
            <wp:wrapNone/>
            <wp:docPr id="1" name="Picture 1">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48536" t="79948" r="15227"/>
                    <a:stretch>
                      <a:fillRect/>
                    </a:stretch>
                  </pic:blipFill>
                  <pic:spPr bwMode="auto">
                    <a:xfrm>
                      <a:off x="0" y="0"/>
                      <a:ext cx="1950720" cy="584259"/>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r w:rsidR="00290A0E">
        <w:tab/>
      </w:r>
    </w:p>
    <w:p w14:paraId="7D11C2D2" w14:textId="77777777" w:rsidR="00290A0E" w:rsidRDefault="00290A0E" w:rsidP="00290A0E">
      <w:pPr>
        <w:spacing w:after="0"/>
        <w:rPr>
          <w:rFonts w:ascii="Arial" w:eastAsia="Helvetica" w:hAnsi="Arial" w:cs="Arial"/>
          <w:b/>
          <w:sz w:val="28"/>
          <w:szCs w:val="20"/>
        </w:rPr>
      </w:pPr>
    </w:p>
    <w:p w14:paraId="435DAE87" w14:textId="77777777" w:rsidR="00F10231" w:rsidRPr="00F10231" w:rsidRDefault="00F10231" w:rsidP="00F10231">
      <w:pPr>
        <w:spacing w:after="0"/>
        <w:rPr>
          <w:rFonts w:ascii="Arial" w:eastAsia="Helvetica" w:hAnsi="Arial" w:cs="Arial"/>
          <w:b/>
          <w:sz w:val="20"/>
          <w:szCs w:val="20"/>
        </w:rPr>
      </w:pPr>
    </w:p>
    <w:p w14:paraId="2D6BDB9A" w14:textId="71E3987C" w:rsidR="00290A0E" w:rsidRPr="00A43E46" w:rsidRDefault="00290A0E" w:rsidP="00F10231">
      <w:pPr>
        <w:spacing w:after="0"/>
        <w:rPr>
          <w:rFonts w:ascii="Arial" w:eastAsia="Helvetica" w:hAnsi="Arial" w:cs="Arial"/>
          <w:b/>
          <w:sz w:val="52"/>
          <w:szCs w:val="52"/>
        </w:rPr>
      </w:pPr>
      <w:r w:rsidRPr="00A43E46">
        <w:rPr>
          <w:rFonts w:ascii="Arial" w:eastAsia="Helvetica" w:hAnsi="Arial" w:cs="Arial"/>
          <w:b/>
          <w:sz w:val="52"/>
          <w:szCs w:val="52"/>
        </w:rPr>
        <w:t>Pension and Fiduciary (P&amp;F) Service</w:t>
      </w:r>
    </w:p>
    <w:p w14:paraId="43B35C89" w14:textId="77777777" w:rsidR="007D5F00" w:rsidRDefault="007D5F00"/>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14:paraId="44BA1CAA" w14:textId="77777777" w:rsidTr="001E0877">
        <w:tc>
          <w:tcPr>
            <w:tcW w:w="7650" w:type="dxa"/>
          </w:tcPr>
          <w:p w14:paraId="52F1DEFE" w14:textId="6F69E6E2" w:rsidR="002B2D13" w:rsidRPr="00A43E46" w:rsidRDefault="0063741D">
            <w:pPr>
              <w:pStyle w:val="Title"/>
              <w:rPr>
                <w:sz w:val="44"/>
                <w:szCs w:val="44"/>
              </w:rPr>
            </w:pPr>
            <w:r w:rsidRPr="00A43E46">
              <w:rPr>
                <w:sz w:val="44"/>
                <w:szCs w:val="44"/>
              </w:rPr>
              <w:t>Fiduciary</w:t>
            </w:r>
            <w:r w:rsidR="007D5F00" w:rsidRPr="00A43E46">
              <w:rPr>
                <w:sz w:val="44"/>
                <w:szCs w:val="44"/>
              </w:rPr>
              <w:t xml:space="preserve"> Quality Call</w:t>
            </w:r>
          </w:p>
        </w:tc>
        <w:tc>
          <w:tcPr>
            <w:tcW w:w="2574" w:type="dxa"/>
            <w:vAlign w:val="bottom"/>
          </w:tcPr>
          <w:p w14:paraId="24048D58" w14:textId="5FD35069" w:rsidR="00D62E01" w:rsidRPr="00D60069" w:rsidRDefault="00000000">
            <w:pPr>
              <w:pStyle w:val="Heading3"/>
            </w:pPr>
            <w:sdt>
              <w:sdtPr>
                <w:id w:val="2006626827"/>
                <w:placeholder>
                  <w:docPart w:val="0E5DDF16B8D840B4B01294AF94A69C40"/>
                </w:placeholder>
                <w:temporary/>
                <w:showingPlcHdr/>
                <w15:appearance w15:val="hidden"/>
              </w:sdtPr>
              <w:sdtContent>
                <w:r w:rsidR="00D62E01" w:rsidRPr="00D60069">
                  <w:t>Date</w:t>
                </w:r>
              </w:sdtContent>
            </w:sdt>
            <w:r w:rsidR="007D5F00">
              <w:t xml:space="preserve">: </w:t>
            </w:r>
            <w:r w:rsidR="004D7B23">
              <w:t>April</w:t>
            </w:r>
            <w:r w:rsidR="000D431A">
              <w:t xml:space="preserve"> </w:t>
            </w:r>
            <w:r w:rsidR="004D7B23">
              <w:t>27</w:t>
            </w:r>
            <w:r w:rsidR="000D431A">
              <w:t xml:space="preserve">, </w:t>
            </w:r>
            <w:r w:rsidR="004D7B23">
              <w:t>2023</w:t>
            </w:r>
          </w:p>
          <w:p w14:paraId="5DAF1EFE" w14:textId="23755A13" w:rsidR="00D62E01" w:rsidRPr="00D60069" w:rsidRDefault="007D5F00">
            <w:pPr>
              <w:pStyle w:val="Heading3"/>
            </w:pPr>
            <w:r w:rsidRPr="00DE3A23">
              <w:t xml:space="preserve">TMS: # VA </w:t>
            </w:r>
            <w:bookmarkStart w:id="0" w:name="_Hlk133928265"/>
            <w:r w:rsidR="00A03506">
              <w:t>4643266</w:t>
            </w:r>
            <w:bookmarkEnd w:id="0"/>
          </w:p>
          <w:p w14:paraId="2244CEB1" w14:textId="77777777" w:rsidR="002B2D13" w:rsidRPr="00D60069" w:rsidRDefault="002B2D13" w:rsidP="00D62E01">
            <w:pPr>
              <w:pStyle w:val="Heading3"/>
            </w:pPr>
          </w:p>
        </w:tc>
      </w:tr>
    </w:tbl>
    <w:tbl>
      <w:tblPr>
        <w:tblW w:w="9050" w:type="pct"/>
        <w:tblCellMar>
          <w:top w:w="14" w:type="dxa"/>
          <w:left w:w="0" w:type="dxa"/>
          <w:bottom w:w="14" w:type="dxa"/>
          <w:right w:w="0" w:type="dxa"/>
        </w:tblCellMar>
        <w:tblLook w:val="0000" w:firstRow="0" w:lastRow="0" w:firstColumn="0" w:lastColumn="0" w:noHBand="0" w:noVBand="0"/>
        <w:tblDescription w:val="Layout table"/>
      </w:tblPr>
      <w:tblGrid>
        <w:gridCol w:w="10260"/>
        <w:gridCol w:w="8245"/>
      </w:tblGrid>
      <w:tr w:rsidR="00F96A26" w:rsidRPr="00D60069" w14:paraId="11430F0D" w14:textId="77777777" w:rsidTr="00EE1706">
        <w:tc>
          <w:tcPr>
            <w:tcW w:w="10260" w:type="dxa"/>
          </w:tcPr>
          <w:p w14:paraId="3F7A1F59" w14:textId="5E6CD1CB" w:rsidR="00EE1706" w:rsidRPr="00075FC0" w:rsidRDefault="00EE1706" w:rsidP="00EE1706">
            <w:pPr>
              <w:pStyle w:val="Heading1"/>
              <w:rPr>
                <w:color w:val="8064A2" w:themeColor="accent4"/>
              </w:rPr>
            </w:pPr>
            <w:r w:rsidRPr="00075FC0">
              <w:rPr>
                <w:color w:val="8064A2" w:themeColor="accent4"/>
              </w:rPr>
              <w:t>AGENDA</w:t>
            </w:r>
            <w:r>
              <w:rPr>
                <w:color w:val="8064A2" w:themeColor="accent4"/>
              </w:rPr>
              <w:t xml:space="preserve"> TOPICS</w:t>
            </w:r>
          </w:p>
          <w:p w14:paraId="2E226181" w14:textId="77777777" w:rsidR="00EE1706" w:rsidRDefault="00EE1706" w:rsidP="00D34264"/>
          <w:p w14:paraId="40BBF538" w14:textId="69DEF3A6" w:rsidR="00222A05" w:rsidRDefault="00000000" w:rsidP="00D34264">
            <w:pPr>
              <w:rPr>
                <w:sz w:val="22"/>
                <w:szCs w:val="22"/>
              </w:rPr>
            </w:pPr>
            <w:hyperlink w:anchor="ONE_" w:history="1">
              <w:r w:rsidR="008E706D" w:rsidRPr="008E706D">
                <w:rPr>
                  <w:rStyle w:val="Hyperlink"/>
                  <w:sz w:val="22"/>
                  <w:szCs w:val="22"/>
                </w:rPr>
                <w:t xml:space="preserve">ITEM 1:  </w:t>
              </w:r>
              <w:r w:rsidR="004D7B23">
                <w:rPr>
                  <w:rStyle w:val="Hyperlink"/>
                  <w:sz w:val="22"/>
                  <w:szCs w:val="22"/>
                </w:rPr>
                <w:t>FIDUCIARY QUALITY ERROR TREND ANALYSIS</w:t>
              </w:r>
            </w:hyperlink>
          </w:p>
          <w:p w14:paraId="337F9C12" w14:textId="2320DCA8" w:rsidR="008E706D" w:rsidRDefault="00000000" w:rsidP="00D34264">
            <w:pPr>
              <w:rPr>
                <w:sz w:val="22"/>
                <w:szCs w:val="22"/>
              </w:rPr>
            </w:pPr>
            <w:hyperlink w:anchor="TWO_" w:history="1">
              <w:r w:rsidR="004D7B23" w:rsidRPr="008E706D">
                <w:rPr>
                  <w:rStyle w:val="Hyperlink"/>
                  <w:sz w:val="22"/>
                  <w:szCs w:val="22"/>
                </w:rPr>
                <w:t xml:space="preserve">ITEM 2:  </w:t>
              </w:r>
              <w:r w:rsidR="004D7B23">
                <w:rPr>
                  <w:rStyle w:val="Hyperlink"/>
                  <w:sz w:val="22"/>
                  <w:szCs w:val="22"/>
                </w:rPr>
                <w:t>FIDUCIARY QUALITY ERROR TREND – CASE STUDY</w:t>
              </w:r>
            </w:hyperlink>
          </w:p>
          <w:p w14:paraId="5EE5F0B7" w14:textId="58A4A2DB" w:rsidR="008E706D" w:rsidRDefault="00000000" w:rsidP="00D34264">
            <w:pPr>
              <w:rPr>
                <w:sz w:val="22"/>
                <w:szCs w:val="22"/>
              </w:rPr>
            </w:pPr>
            <w:hyperlink w:anchor="FOUR_" w:history="1">
              <w:r w:rsidR="004D7B23" w:rsidRPr="008E706D">
                <w:rPr>
                  <w:rStyle w:val="Hyperlink"/>
                  <w:sz w:val="22"/>
                  <w:szCs w:val="22"/>
                </w:rPr>
                <w:t xml:space="preserve">ITEM </w:t>
              </w:r>
              <w:r w:rsidR="00992463">
                <w:rPr>
                  <w:rStyle w:val="Hyperlink"/>
                  <w:sz w:val="22"/>
                  <w:szCs w:val="22"/>
                </w:rPr>
                <w:t>3</w:t>
              </w:r>
              <w:r w:rsidR="004D7B23" w:rsidRPr="008E706D">
                <w:rPr>
                  <w:rStyle w:val="Hyperlink"/>
                  <w:sz w:val="22"/>
                  <w:szCs w:val="22"/>
                </w:rPr>
                <w:t xml:space="preserve">:  </w:t>
              </w:r>
              <w:r w:rsidR="004D7B23">
                <w:rPr>
                  <w:rStyle w:val="Hyperlink"/>
                  <w:sz w:val="22"/>
                  <w:szCs w:val="22"/>
                </w:rPr>
                <w:t>INTERACTIVE DISCUSSION ON PROMULGATION</w:t>
              </w:r>
            </w:hyperlink>
          </w:p>
          <w:p w14:paraId="42DD5B55" w14:textId="3C9DCC90" w:rsidR="008E706D" w:rsidRPr="00EE1706" w:rsidRDefault="00000000" w:rsidP="00D34264">
            <w:pPr>
              <w:rPr>
                <w:sz w:val="22"/>
                <w:szCs w:val="22"/>
              </w:rPr>
            </w:pPr>
            <w:hyperlink w:anchor="CLOSING_" w:history="1">
              <w:r w:rsidR="008E706D" w:rsidRPr="008E706D">
                <w:rPr>
                  <w:rStyle w:val="Hyperlink"/>
                  <w:sz w:val="22"/>
                  <w:szCs w:val="22"/>
                </w:rPr>
                <w:t>CLOSING, QUESTIONS, NEXT QUALITY CALL</w:t>
              </w:r>
            </w:hyperlink>
          </w:p>
        </w:tc>
        <w:tc>
          <w:tcPr>
            <w:tcW w:w="8245" w:type="dxa"/>
          </w:tcPr>
          <w:p w14:paraId="4105A977" w14:textId="77777777" w:rsidR="00F96A26" w:rsidRPr="00D60069" w:rsidRDefault="00F96A26" w:rsidP="00D62E01"/>
        </w:tc>
      </w:tr>
    </w:tbl>
    <w:p w14:paraId="54A530E0" w14:textId="77777777" w:rsidR="002B2D13" w:rsidRPr="00075FC0" w:rsidRDefault="007D5F00">
      <w:pPr>
        <w:pStyle w:val="Heading1"/>
        <w:rPr>
          <w:color w:val="8064A2" w:themeColor="accent4"/>
        </w:rPr>
      </w:pPr>
      <w:r w:rsidRPr="00075FC0">
        <w:rPr>
          <w:color w:val="8064A2" w:themeColor="accent4"/>
        </w:rPr>
        <w:t>AGENDA</w:t>
      </w:r>
      <w:r w:rsidR="005537F7">
        <w:rPr>
          <w:color w:val="8064A2" w:themeColor="accent4"/>
        </w:rPr>
        <w:t xml:space="preserve"> ITEMS</w:t>
      </w:r>
    </w:p>
    <w:tbl>
      <w:tblPr>
        <w:tblW w:w="4772" w:type="pct"/>
        <w:tblCellMar>
          <w:left w:w="0" w:type="dxa"/>
          <w:right w:w="0" w:type="dxa"/>
        </w:tblCellMar>
        <w:tblLook w:val="0000" w:firstRow="0" w:lastRow="0" w:firstColumn="0" w:lastColumn="0" w:noHBand="0" w:noVBand="0"/>
        <w:tblDescription w:val="Layout table"/>
      </w:tblPr>
      <w:tblGrid>
        <w:gridCol w:w="1546"/>
        <w:gridCol w:w="4744"/>
        <w:gridCol w:w="1263"/>
        <w:gridCol w:w="2205"/>
      </w:tblGrid>
      <w:tr w:rsidR="002B2D13" w:rsidRPr="00D60069" w14:paraId="6A9A53A7" w14:textId="77777777" w:rsidTr="00B9358A">
        <w:trPr>
          <w:trHeight w:val="790"/>
        </w:trPr>
        <w:tc>
          <w:tcPr>
            <w:tcW w:w="1546" w:type="dxa"/>
          </w:tcPr>
          <w:p w14:paraId="6050E255" w14:textId="77777777" w:rsidR="002B2D13" w:rsidRPr="00075FC0" w:rsidRDefault="00000000">
            <w:pPr>
              <w:pStyle w:val="Heading2"/>
              <w:rPr>
                <w:color w:val="8064A2" w:themeColor="accent4"/>
              </w:rPr>
            </w:pPr>
            <w:sdt>
              <w:sdtPr>
                <w:rPr>
                  <w:color w:val="8064A2" w:themeColor="accent4"/>
                </w:rPr>
                <w:id w:val="90904773"/>
                <w:placeholder>
                  <w:docPart w:val="20DE57C5D5E449D1A227C0884E237AD8"/>
                </w:placeholder>
                <w:temporary/>
                <w:showingPlcHdr/>
                <w15:appearance w15:val="hidden"/>
              </w:sdtPr>
              <w:sdtContent>
                <w:r w:rsidR="006344A8" w:rsidRPr="007E4418">
                  <w:rPr>
                    <w:color w:val="8064A2" w:themeColor="accent4"/>
                    <w:sz w:val="24"/>
                    <w:szCs w:val="24"/>
                  </w:rPr>
                  <w:t>Agenda item:</w:t>
                </w:r>
              </w:sdtContent>
            </w:sdt>
          </w:p>
        </w:tc>
        <w:tc>
          <w:tcPr>
            <w:tcW w:w="4744" w:type="dxa"/>
          </w:tcPr>
          <w:p w14:paraId="1A07B25E" w14:textId="1D06BB36" w:rsidR="002B2D13" w:rsidRPr="00075FC0" w:rsidRDefault="00B9358A" w:rsidP="00B9358A">
            <w:pPr>
              <w:jc w:val="center"/>
              <w:rPr>
                <w:color w:val="8064A2" w:themeColor="accent4"/>
                <w:sz w:val="24"/>
                <w:szCs w:val="24"/>
              </w:rPr>
            </w:pPr>
            <w:bookmarkStart w:id="1" w:name="ONE_"/>
            <w:bookmarkEnd w:id="1"/>
            <w:r>
              <w:rPr>
                <w:color w:val="8064A2" w:themeColor="accent4"/>
                <w:sz w:val="24"/>
                <w:szCs w:val="24"/>
              </w:rPr>
              <w:t>Fiduciary Quality Error Trend Analysis</w:t>
            </w:r>
          </w:p>
        </w:tc>
        <w:tc>
          <w:tcPr>
            <w:tcW w:w="1263" w:type="dxa"/>
          </w:tcPr>
          <w:p w14:paraId="345291AC" w14:textId="77777777" w:rsidR="002B2D13" w:rsidRPr="00075FC0" w:rsidRDefault="00000000">
            <w:pPr>
              <w:pStyle w:val="Heading2"/>
              <w:rPr>
                <w:color w:val="8064A2" w:themeColor="accent4"/>
              </w:rPr>
            </w:pPr>
            <w:sdt>
              <w:sdtPr>
                <w:rPr>
                  <w:color w:val="8064A2" w:themeColor="accent4"/>
                </w:rPr>
                <w:id w:val="1737199064"/>
                <w:placeholder>
                  <w:docPart w:val="351F97E736274FF0994F1CE60D68DE77"/>
                </w:placeholder>
                <w:temporary/>
                <w:showingPlcHdr/>
                <w15:appearance w15:val="hidden"/>
              </w:sdtPr>
              <w:sdtContent>
                <w:r w:rsidR="006344A8" w:rsidRPr="00075FC0">
                  <w:rPr>
                    <w:color w:val="8064A2" w:themeColor="accent4"/>
                    <w:sz w:val="24"/>
                    <w:szCs w:val="24"/>
                  </w:rPr>
                  <w:t>Presenter:</w:t>
                </w:r>
              </w:sdtContent>
            </w:sdt>
          </w:p>
        </w:tc>
        <w:tc>
          <w:tcPr>
            <w:tcW w:w="2205" w:type="dxa"/>
          </w:tcPr>
          <w:p w14:paraId="5EAB3EF0" w14:textId="217EE161" w:rsidR="002B2D13" w:rsidRPr="00075FC0" w:rsidRDefault="00B9358A" w:rsidP="00B9358A">
            <w:pPr>
              <w:rPr>
                <w:color w:val="8064A2" w:themeColor="accent4"/>
                <w:sz w:val="24"/>
                <w:szCs w:val="24"/>
              </w:rPr>
            </w:pPr>
            <w:r>
              <w:rPr>
                <w:color w:val="8064A2" w:themeColor="accent4"/>
                <w:sz w:val="24"/>
                <w:szCs w:val="24"/>
              </w:rPr>
              <w:t>Alvin Hill, Analyst</w:t>
            </w:r>
          </w:p>
        </w:tc>
      </w:tr>
    </w:tbl>
    <w:p w14:paraId="3D881F09" w14:textId="77777777" w:rsidR="002B2D13" w:rsidRPr="00075FC0" w:rsidRDefault="00075FC0">
      <w:pPr>
        <w:pStyle w:val="Heading4"/>
        <w:rPr>
          <w:color w:val="548DD4" w:themeColor="text2" w:themeTint="99"/>
          <w:sz w:val="24"/>
          <w:szCs w:val="24"/>
        </w:rPr>
      </w:pPr>
      <w:r w:rsidRPr="00075FC0">
        <w:rPr>
          <w:color w:val="548DD4" w:themeColor="text2" w:themeTint="99"/>
          <w:sz w:val="24"/>
          <w:szCs w:val="24"/>
        </w:rPr>
        <w:t>Target Audience:</w:t>
      </w:r>
    </w:p>
    <w:p w14:paraId="2A659B55" w14:textId="77777777" w:rsidR="004D7B23" w:rsidRDefault="004D7B23" w:rsidP="004D7B23">
      <w:pPr>
        <w:pStyle w:val="Heading4"/>
        <w:rPr>
          <w:b w:val="0"/>
          <w:color w:val="4F81BD" w:themeColor="accent1"/>
          <w:sz w:val="24"/>
          <w:szCs w:val="24"/>
        </w:rPr>
      </w:pPr>
      <w:bookmarkStart w:id="2" w:name="_Hlk126846705"/>
      <w:r w:rsidRPr="00AE267F">
        <w:rPr>
          <w:b w:val="0"/>
          <w:color w:val="4F81BD" w:themeColor="accent1"/>
          <w:sz w:val="24"/>
          <w:szCs w:val="24"/>
        </w:rPr>
        <w:t>Quality Review Team (QRT) Program Specialists and Coaches/Assistant Coaches</w:t>
      </w:r>
    </w:p>
    <w:bookmarkEnd w:id="2"/>
    <w:p w14:paraId="79894D9C" w14:textId="158BD5DE" w:rsidR="002B2D13" w:rsidRPr="00E207C4" w:rsidRDefault="005537F7">
      <w:pPr>
        <w:pStyle w:val="Heading4"/>
        <w:rPr>
          <w:b w:val="0"/>
          <w:bCs/>
          <w:sz w:val="24"/>
          <w:szCs w:val="24"/>
        </w:rPr>
      </w:pPr>
      <w:r>
        <w:rPr>
          <w:sz w:val="24"/>
          <w:szCs w:val="24"/>
        </w:rPr>
        <w:t>Discussion</w:t>
      </w:r>
      <w:r w:rsidR="00075FC0" w:rsidRPr="00075FC0">
        <w:rPr>
          <w:sz w:val="24"/>
          <w:szCs w:val="24"/>
        </w:rPr>
        <w:t>:</w:t>
      </w:r>
      <w:r w:rsidR="005916F2">
        <w:rPr>
          <w:sz w:val="24"/>
          <w:szCs w:val="24"/>
        </w:rPr>
        <w:t xml:space="preserve"> </w:t>
      </w:r>
      <w:r w:rsidR="005916F2" w:rsidRPr="00E207C4">
        <w:rPr>
          <w:b w:val="0"/>
          <w:bCs/>
          <w:sz w:val="24"/>
          <w:szCs w:val="24"/>
        </w:rPr>
        <w:t>The quality errors identified amongst the fiduciary hubs were discussed by the analyst</w:t>
      </w:r>
      <w:r w:rsidR="00E207C4" w:rsidRPr="00E207C4">
        <w:rPr>
          <w:b w:val="0"/>
          <w:bCs/>
          <w:sz w:val="24"/>
          <w:szCs w:val="24"/>
        </w:rPr>
        <w:t>.</w:t>
      </w:r>
    </w:p>
    <w:p w14:paraId="022D57EB" w14:textId="152CD43A" w:rsidR="007914AB" w:rsidRDefault="007914AB" w:rsidP="007914AB">
      <w:pPr>
        <w:rPr>
          <w:rFonts w:ascii="Arial" w:hAnsi="Arial" w:cs="Arial"/>
          <w:sz w:val="24"/>
          <w:szCs w:val="24"/>
        </w:rPr>
      </w:pPr>
      <w:r>
        <w:rPr>
          <w:rFonts w:ascii="Arial" w:hAnsi="Arial" w:cs="Arial"/>
          <w:sz w:val="24"/>
          <w:szCs w:val="24"/>
        </w:rPr>
        <w:t>The February 2023 and March 2023 STAR reviews resulted in 56 errors. Overall, there were 13 critical errors found in 12 unique cases that impact individual hub and overall national quality. The remaining 43 errors are non-critical and do not impact national quality. Although the non-critical errors do not impact quality, the errors do provide relevant insight into quality error trends of fiduciary actions.</w:t>
      </w:r>
    </w:p>
    <w:p w14:paraId="73D67488" w14:textId="77777777" w:rsidR="007914AB" w:rsidRDefault="007914AB" w:rsidP="007914AB">
      <w:pPr>
        <w:rPr>
          <w:rFonts w:ascii="Arial" w:hAnsi="Arial" w:cs="Arial"/>
          <w:sz w:val="24"/>
          <w:szCs w:val="24"/>
        </w:rPr>
      </w:pPr>
    </w:p>
    <w:p w14:paraId="209271B2" w14:textId="77777777" w:rsidR="007914AB" w:rsidRPr="00F068BE" w:rsidRDefault="007914AB" w:rsidP="007914AB">
      <w:pPr>
        <w:spacing w:after="0"/>
        <w:rPr>
          <w:rFonts w:ascii="Arial" w:hAnsi="Arial" w:cs="Arial"/>
          <w:b/>
          <w:bCs/>
          <w:sz w:val="24"/>
          <w:szCs w:val="24"/>
          <w:u w:val="single"/>
        </w:rPr>
      </w:pPr>
      <w:r w:rsidRPr="00F068BE">
        <w:rPr>
          <w:rFonts w:ascii="Arial" w:hAnsi="Arial" w:cs="Arial"/>
          <w:b/>
          <w:bCs/>
          <w:sz w:val="24"/>
          <w:szCs w:val="24"/>
          <w:u w:val="single"/>
        </w:rPr>
        <w:t>Field Examinations</w:t>
      </w:r>
    </w:p>
    <w:p w14:paraId="2D206A4C" w14:textId="77777777" w:rsidR="007914AB" w:rsidRDefault="007914AB" w:rsidP="007914AB">
      <w:pPr>
        <w:spacing w:after="0"/>
        <w:rPr>
          <w:rFonts w:ascii="Arial" w:hAnsi="Arial" w:cs="Arial"/>
          <w:sz w:val="24"/>
          <w:szCs w:val="24"/>
        </w:rPr>
      </w:pPr>
    </w:p>
    <w:p w14:paraId="4F9AABAB" w14:textId="05417FD8" w:rsidR="007914AB" w:rsidRDefault="007914AB" w:rsidP="007914AB">
      <w:pPr>
        <w:spacing w:after="0"/>
        <w:rPr>
          <w:rFonts w:ascii="Arial" w:hAnsi="Arial" w:cs="Arial"/>
          <w:sz w:val="24"/>
          <w:szCs w:val="24"/>
        </w:rPr>
      </w:pPr>
      <w:r>
        <w:rPr>
          <w:rFonts w:ascii="Arial" w:hAnsi="Arial" w:cs="Arial"/>
          <w:sz w:val="24"/>
          <w:szCs w:val="24"/>
        </w:rPr>
        <w:t>There was a total of nine field examination errors cited on eight unique cases with one critical error impacting national fiduciary quality. Overall, field examination accuracy continues to demonstrate national fiduciary hub proficiency with completing field examinations.</w:t>
      </w:r>
    </w:p>
    <w:p w14:paraId="7BB89297" w14:textId="77777777" w:rsidR="007914AB" w:rsidRDefault="007914AB" w:rsidP="007914AB">
      <w:pPr>
        <w:spacing w:after="0"/>
        <w:rPr>
          <w:rFonts w:ascii="Arial" w:hAnsi="Arial" w:cs="Arial"/>
          <w:sz w:val="24"/>
          <w:szCs w:val="24"/>
        </w:rPr>
      </w:pPr>
    </w:p>
    <w:p w14:paraId="36E861CA" w14:textId="77777777" w:rsidR="002E4242" w:rsidRDefault="002E4242">
      <w:pPr>
        <w:rPr>
          <w:rFonts w:ascii="Arial" w:hAnsi="Arial" w:cs="Arial"/>
          <w:b/>
          <w:bCs/>
          <w:sz w:val="24"/>
          <w:szCs w:val="24"/>
          <w:u w:val="single"/>
        </w:rPr>
      </w:pPr>
      <w:r>
        <w:rPr>
          <w:rFonts w:ascii="Arial" w:hAnsi="Arial" w:cs="Arial"/>
          <w:b/>
          <w:bCs/>
          <w:sz w:val="24"/>
          <w:szCs w:val="24"/>
          <w:u w:val="single"/>
        </w:rPr>
        <w:br w:type="page"/>
      </w:r>
    </w:p>
    <w:p w14:paraId="72DC9207" w14:textId="6B80EADC" w:rsidR="007914AB" w:rsidRPr="00F068BE" w:rsidRDefault="007914AB" w:rsidP="007914AB">
      <w:pPr>
        <w:spacing w:after="0"/>
        <w:rPr>
          <w:rFonts w:ascii="Arial" w:hAnsi="Arial" w:cs="Arial"/>
          <w:b/>
          <w:bCs/>
          <w:sz w:val="24"/>
          <w:szCs w:val="24"/>
          <w:u w:val="single"/>
        </w:rPr>
      </w:pPr>
      <w:r w:rsidRPr="00F068BE">
        <w:rPr>
          <w:rFonts w:ascii="Arial" w:hAnsi="Arial" w:cs="Arial"/>
          <w:b/>
          <w:bCs/>
          <w:sz w:val="24"/>
          <w:szCs w:val="24"/>
          <w:u w:val="single"/>
        </w:rPr>
        <w:lastRenderedPageBreak/>
        <w:t>Accounting/Fund Usage Review</w:t>
      </w:r>
      <w:r w:rsidR="002B3ED1">
        <w:rPr>
          <w:rFonts w:ascii="Arial" w:hAnsi="Arial" w:cs="Arial"/>
          <w:b/>
          <w:bCs/>
          <w:sz w:val="24"/>
          <w:szCs w:val="24"/>
          <w:u w:val="single"/>
        </w:rPr>
        <w:t xml:space="preserve"> </w:t>
      </w:r>
    </w:p>
    <w:p w14:paraId="12DB1B65" w14:textId="77777777" w:rsidR="007914AB" w:rsidRDefault="007914AB" w:rsidP="007914AB">
      <w:pPr>
        <w:spacing w:after="0"/>
        <w:rPr>
          <w:rFonts w:ascii="Arial" w:hAnsi="Arial" w:cs="Arial"/>
          <w:sz w:val="24"/>
          <w:szCs w:val="24"/>
        </w:rPr>
      </w:pPr>
    </w:p>
    <w:p w14:paraId="7AB6A71D" w14:textId="77777777" w:rsidR="007914AB" w:rsidRDefault="007914AB" w:rsidP="007914AB">
      <w:pPr>
        <w:spacing w:after="0"/>
        <w:rPr>
          <w:rFonts w:ascii="Arial" w:hAnsi="Arial" w:cs="Arial"/>
          <w:sz w:val="24"/>
          <w:szCs w:val="24"/>
        </w:rPr>
      </w:pPr>
      <w:r>
        <w:rPr>
          <w:rFonts w:ascii="Arial" w:hAnsi="Arial" w:cs="Arial"/>
          <w:sz w:val="24"/>
          <w:szCs w:val="24"/>
        </w:rPr>
        <w:t xml:space="preserve">There were nine critical accounting error types found during the review period with three of the nine being equally cited as the most often errors, NFAQR13a, NFAQR13b and NFAQR21c. </w:t>
      </w:r>
    </w:p>
    <w:p w14:paraId="4C35F0EE" w14:textId="77777777" w:rsidR="007914AB" w:rsidRDefault="007914AB" w:rsidP="007914AB">
      <w:pPr>
        <w:spacing w:after="0"/>
        <w:rPr>
          <w:rFonts w:ascii="Arial" w:hAnsi="Arial" w:cs="Arial"/>
          <w:sz w:val="24"/>
          <w:szCs w:val="24"/>
        </w:rPr>
      </w:pPr>
    </w:p>
    <w:p w14:paraId="4C68BBCB" w14:textId="0BFC4945" w:rsidR="007914AB" w:rsidRDefault="007914AB" w:rsidP="007914AB">
      <w:pPr>
        <w:spacing w:after="0"/>
        <w:rPr>
          <w:rFonts w:ascii="Arial" w:hAnsi="Arial" w:cs="Arial"/>
          <w:sz w:val="24"/>
          <w:szCs w:val="24"/>
        </w:rPr>
      </w:pPr>
      <w:r>
        <w:rPr>
          <w:rFonts w:ascii="Arial" w:hAnsi="Arial" w:cs="Arial"/>
          <w:sz w:val="24"/>
          <w:szCs w:val="24"/>
        </w:rPr>
        <w:t xml:space="preserve">The most common critical errors cited during the review </w:t>
      </w:r>
      <w:proofErr w:type="gramStart"/>
      <w:r>
        <w:rPr>
          <w:rFonts w:ascii="Arial" w:hAnsi="Arial" w:cs="Arial"/>
          <w:sz w:val="24"/>
          <w:szCs w:val="24"/>
        </w:rPr>
        <w:t>period,</w:t>
      </w:r>
      <w:proofErr w:type="gramEnd"/>
      <w:r>
        <w:rPr>
          <w:rFonts w:ascii="Arial" w:hAnsi="Arial" w:cs="Arial"/>
          <w:sz w:val="24"/>
          <w:szCs w:val="24"/>
        </w:rPr>
        <w:t xml:space="preserve"> resulted from missing accounting forms, financial statements, credit reports and the hub not requesting additional or corrected fund usage review information.</w:t>
      </w:r>
    </w:p>
    <w:p w14:paraId="68938919" w14:textId="77777777" w:rsidR="002E4242" w:rsidRDefault="002E4242" w:rsidP="007914AB">
      <w:pPr>
        <w:spacing w:after="0"/>
        <w:rPr>
          <w:rFonts w:ascii="Arial" w:hAnsi="Arial" w:cs="Arial"/>
          <w:sz w:val="24"/>
          <w:szCs w:val="24"/>
        </w:rPr>
      </w:pPr>
    </w:p>
    <w:p w14:paraId="68F932B6" w14:textId="4CCEE572" w:rsidR="007914AB" w:rsidRDefault="00D429B5" w:rsidP="007914AB">
      <w:pPr>
        <w:spacing w:after="0"/>
        <w:jc w:val="center"/>
        <w:rPr>
          <w:rFonts w:ascii="Arial" w:hAnsi="Arial" w:cs="Arial"/>
          <w:sz w:val="24"/>
          <w:szCs w:val="24"/>
        </w:rPr>
      </w:pPr>
      <w:r>
        <w:rPr>
          <w:noProof/>
        </w:rPr>
        <w:drawing>
          <wp:inline distT="0" distB="0" distL="0" distR="0" wp14:anchorId="615E62FC" wp14:editId="1456462D">
            <wp:extent cx="4580255" cy="2751455"/>
            <wp:effectExtent l="0" t="0" r="1079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80255" cy="2751455"/>
                    </a:xfrm>
                    <a:prstGeom prst="rect">
                      <a:avLst/>
                    </a:prstGeom>
                    <a:noFill/>
                    <a:ln>
                      <a:noFill/>
                    </a:ln>
                  </pic:spPr>
                </pic:pic>
              </a:graphicData>
            </a:graphic>
          </wp:inline>
        </w:drawing>
      </w:r>
    </w:p>
    <w:p w14:paraId="225B3D62" w14:textId="77777777" w:rsidR="007914AB" w:rsidRPr="002D4172" w:rsidRDefault="007914AB" w:rsidP="007914AB">
      <w:pPr>
        <w:pStyle w:val="Heading1"/>
        <w:spacing w:after="0"/>
        <w:rPr>
          <w:rFonts w:eastAsiaTheme="minorHAnsi"/>
          <w:b w:val="0"/>
          <w:bCs w:val="0"/>
          <w:sz w:val="24"/>
          <w:szCs w:val="24"/>
        </w:rPr>
      </w:pPr>
      <w:r w:rsidRPr="002D4172">
        <w:rPr>
          <w:rFonts w:eastAsiaTheme="minorHAnsi"/>
          <w:b w:val="0"/>
          <w:sz w:val="24"/>
          <w:szCs w:val="24"/>
        </w:rPr>
        <w:t>The most common non-critical error cited during the review period, NFAQR22b, was found in eight case reviews. This error is the result of not uploading required documentation to the VBMS eFolder.</w:t>
      </w:r>
    </w:p>
    <w:p w14:paraId="214E9D76" w14:textId="77777777" w:rsidR="007914AB" w:rsidRDefault="007914AB" w:rsidP="007914AB">
      <w:pPr>
        <w:spacing w:after="0"/>
        <w:rPr>
          <w:rFonts w:ascii="Arial" w:hAnsi="Arial" w:cs="Arial"/>
          <w:sz w:val="24"/>
          <w:szCs w:val="24"/>
        </w:rPr>
      </w:pPr>
    </w:p>
    <w:p w14:paraId="5FFB8EEF" w14:textId="77777777" w:rsidR="007914AB" w:rsidRDefault="007914AB" w:rsidP="007914AB">
      <w:pPr>
        <w:spacing w:after="0"/>
        <w:jc w:val="center"/>
        <w:rPr>
          <w:rFonts w:ascii="Arial" w:hAnsi="Arial" w:cs="Arial"/>
          <w:sz w:val="24"/>
          <w:szCs w:val="24"/>
        </w:rPr>
      </w:pPr>
      <w:r>
        <w:rPr>
          <w:noProof/>
        </w:rPr>
        <w:drawing>
          <wp:inline distT="0" distB="0" distL="0" distR="0" wp14:anchorId="4836F5D0" wp14:editId="7F811A07">
            <wp:extent cx="4695825" cy="281686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825" cy="2816860"/>
                    </a:xfrm>
                    <a:prstGeom prst="rect">
                      <a:avLst/>
                    </a:prstGeom>
                    <a:noFill/>
                  </pic:spPr>
                </pic:pic>
              </a:graphicData>
            </a:graphic>
          </wp:inline>
        </w:drawing>
      </w:r>
    </w:p>
    <w:p w14:paraId="50A74336" w14:textId="77777777" w:rsidR="007914AB" w:rsidRPr="00F068BE" w:rsidRDefault="007914AB" w:rsidP="007914AB">
      <w:pPr>
        <w:spacing w:after="0"/>
        <w:jc w:val="center"/>
        <w:rPr>
          <w:rFonts w:ascii="Arial" w:hAnsi="Arial" w:cs="Arial"/>
          <w:sz w:val="24"/>
          <w:szCs w:val="24"/>
        </w:rPr>
      </w:pPr>
    </w:p>
    <w:tbl>
      <w:tblPr>
        <w:tblStyle w:val="GridTable1Light"/>
        <w:tblpPr w:leftFromText="180" w:rightFromText="180" w:vertAnchor="text" w:horzAnchor="margin" w:tblpY="-30"/>
        <w:tblW w:w="50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681"/>
        <w:gridCol w:w="4431"/>
        <w:gridCol w:w="1257"/>
      </w:tblGrid>
      <w:tr w:rsidR="00D62D8F" w:rsidRPr="00D60069" w14:paraId="6D5780DF" w14:textId="77777777" w:rsidTr="00D62D8F">
        <w:trPr>
          <w:tblHeader/>
        </w:trPr>
        <w:tc>
          <w:tcPr>
            <w:tcW w:w="4676" w:type="dxa"/>
            <w:vAlign w:val="bottom"/>
          </w:tcPr>
          <w:p w14:paraId="448D8110" w14:textId="77777777" w:rsidR="00D62D8F" w:rsidRPr="005537F7" w:rsidRDefault="00D62D8F" w:rsidP="00D62D8F">
            <w:pPr>
              <w:pStyle w:val="Heading2"/>
              <w:spacing w:after="80"/>
              <w:rPr>
                <w:sz w:val="24"/>
                <w:szCs w:val="24"/>
              </w:rPr>
            </w:pPr>
            <w:r w:rsidRPr="005537F7">
              <w:rPr>
                <w:sz w:val="24"/>
                <w:szCs w:val="24"/>
              </w:rPr>
              <w:lastRenderedPageBreak/>
              <w:t>References/Contacts</w:t>
            </w:r>
          </w:p>
        </w:tc>
        <w:tc>
          <w:tcPr>
            <w:tcW w:w="4427" w:type="dxa"/>
            <w:vAlign w:val="bottom"/>
          </w:tcPr>
          <w:p w14:paraId="039D20DA" w14:textId="77777777" w:rsidR="00D62D8F" w:rsidRPr="00D60069" w:rsidRDefault="00D62D8F" w:rsidP="00D62D8F">
            <w:pPr>
              <w:pStyle w:val="Heading2"/>
              <w:spacing w:after="80"/>
            </w:pPr>
          </w:p>
        </w:tc>
        <w:tc>
          <w:tcPr>
            <w:tcW w:w="1256" w:type="dxa"/>
            <w:vAlign w:val="bottom"/>
          </w:tcPr>
          <w:p w14:paraId="3E01FD19" w14:textId="77777777" w:rsidR="00D62D8F" w:rsidRPr="00D60069" w:rsidRDefault="00D62D8F" w:rsidP="00D62D8F">
            <w:pPr>
              <w:pStyle w:val="Heading2"/>
              <w:spacing w:after="80"/>
            </w:pPr>
          </w:p>
        </w:tc>
      </w:tr>
      <w:tr w:rsidR="00D62D8F" w:rsidRPr="00D60069" w14:paraId="4DBAC25F" w14:textId="77777777" w:rsidTr="00D62D8F">
        <w:tc>
          <w:tcPr>
            <w:tcW w:w="4676" w:type="dxa"/>
          </w:tcPr>
          <w:p w14:paraId="50F7CE37" w14:textId="77777777" w:rsidR="00D62D8F" w:rsidRPr="00D62D8F" w:rsidRDefault="00D62D8F" w:rsidP="00D62D8F">
            <w:pPr>
              <w:pStyle w:val="ListBullet"/>
              <w:spacing w:before="0"/>
              <w:rPr>
                <w:sz w:val="24"/>
                <w:szCs w:val="24"/>
              </w:rPr>
            </w:pPr>
            <w:r w:rsidRPr="00D62D8F">
              <w:rPr>
                <w:rStyle w:val="ui-provider"/>
                <w:sz w:val="24"/>
                <w:szCs w:val="24"/>
              </w:rPr>
              <w:t>FPM Part 1 Chapter 3</w:t>
            </w:r>
          </w:p>
        </w:tc>
        <w:tc>
          <w:tcPr>
            <w:tcW w:w="5683" w:type="dxa"/>
            <w:gridSpan w:val="2"/>
          </w:tcPr>
          <w:p w14:paraId="4DAF00B3" w14:textId="7701BAB0" w:rsidR="00D62D8F" w:rsidRPr="00D60069" w:rsidRDefault="00D62D8F" w:rsidP="00D62D8F">
            <w:pPr>
              <w:spacing w:before="0"/>
            </w:pPr>
          </w:p>
        </w:tc>
      </w:tr>
      <w:tr w:rsidR="00D62D8F" w:rsidRPr="00D60069" w14:paraId="4767F621" w14:textId="77777777" w:rsidTr="00D62D8F">
        <w:tc>
          <w:tcPr>
            <w:tcW w:w="4676" w:type="dxa"/>
          </w:tcPr>
          <w:p w14:paraId="10BF8D35" w14:textId="77777777" w:rsidR="00D62D8F" w:rsidRPr="00D62D8F" w:rsidRDefault="00D62D8F" w:rsidP="00D62D8F">
            <w:pPr>
              <w:pStyle w:val="ListBullet"/>
              <w:spacing w:before="0"/>
              <w:rPr>
                <w:rStyle w:val="ui-provider"/>
                <w:sz w:val="24"/>
                <w:szCs w:val="24"/>
              </w:rPr>
            </w:pPr>
            <w:r w:rsidRPr="00D62D8F">
              <w:rPr>
                <w:rStyle w:val="ui-provider"/>
                <w:sz w:val="24"/>
                <w:szCs w:val="24"/>
              </w:rPr>
              <w:t>FPM Part 1 Chapter 6</w:t>
            </w:r>
          </w:p>
        </w:tc>
        <w:tc>
          <w:tcPr>
            <w:tcW w:w="5683" w:type="dxa"/>
            <w:gridSpan w:val="2"/>
          </w:tcPr>
          <w:p w14:paraId="1F98E3CD" w14:textId="77777777" w:rsidR="00D62D8F" w:rsidRPr="00D60069" w:rsidRDefault="00D62D8F" w:rsidP="00D62D8F"/>
        </w:tc>
      </w:tr>
    </w:tbl>
    <w:p w14:paraId="19EFE7D9" w14:textId="77777777" w:rsidR="00F96A26" w:rsidRPr="00075FC0" w:rsidRDefault="00F96A26">
      <w:pPr>
        <w:rPr>
          <w:sz w:val="24"/>
          <w:szCs w:val="24"/>
        </w:rPr>
      </w:pP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D62E01" w:rsidRPr="000D431A" w14:paraId="4F7931C7" w14:textId="77777777" w:rsidTr="00D62E01">
        <w:tc>
          <w:tcPr>
            <w:tcW w:w="1620" w:type="dxa"/>
          </w:tcPr>
          <w:bookmarkStart w:id="3" w:name="_Hlk21598834"/>
          <w:p w14:paraId="3E261563" w14:textId="77777777" w:rsidR="00D62E01" w:rsidRPr="00075FC0" w:rsidRDefault="00000000" w:rsidP="006344A8">
            <w:pPr>
              <w:pStyle w:val="Heading2"/>
              <w:rPr>
                <w:color w:val="8064A2" w:themeColor="accent4"/>
              </w:rPr>
            </w:pPr>
            <w:sdt>
              <w:sdtPr>
                <w:rPr>
                  <w:color w:val="8064A2" w:themeColor="accent4"/>
                </w:rPr>
                <w:id w:val="113951409"/>
                <w:placeholder>
                  <w:docPart w:val="BEEE93B5055349CDA16253D1263663B8"/>
                </w:placeholder>
                <w:temporary/>
                <w:showingPlcHdr/>
                <w15:appearance w15:val="hidden"/>
              </w:sdtPr>
              <w:sdtContent>
                <w:r w:rsidR="00D62E01" w:rsidRPr="00075FC0">
                  <w:rPr>
                    <w:color w:val="8064A2" w:themeColor="accent4"/>
                    <w:sz w:val="24"/>
                    <w:szCs w:val="24"/>
                  </w:rPr>
                  <w:t>Agenda item:</w:t>
                </w:r>
              </w:sdtContent>
            </w:sdt>
          </w:p>
        </w:tc>
        <w:tc>
          <w:tcPr>
            <w:tcW w:w="4970" w:type="dxa"/>
          </w:tcPr>
          <w:p w14:paraId="560F39F3" w14:textId="5A9BE604" w:rsidR="00D62E01" w:rsidRPr="007E4418" w:rsidRDefault="00B9358A" w:rsidP="006344A8">
            <w:pPr>
              <w:rPr>
                <w:color w:val="8064A2" w:themeColor="accent4"/>
                <w:sz w:val="24"/>
                <w:szCs w:val="24"/>
              </w:rPr>
            </w:pPr>
            <w:bookmarkStart w:id="4" w:name="TWO_"/>
            <w:bookmarkEnd w:id="4"/>
            <w:r>
              <w:rPr>
                <w:color w:val="8064A2" w:themeColor="accent4"/>
                <w:sz w:val="24"/>
                <w:szCs w:val="24"/>
              </w:rPr>
              <w:t>Fiduciary Quality Error Trend – Case Study</w:t>
            </w:r>
          </w:p>
        </w:tc>
        <w:tc>
          <w:tcPr>
            <w:tcW w:w="1324" w:type="dxa"/>
          </w:tcPr>
          <w:p w14:paraId="212F07F4" w14:textId="77777777" w:rsidR="00D62E01" w:rsidRPr="00075FC0" w:rsidRDefault="00000000" w:rsidP="006344A8">
            <w:pPr>
              <w:pStyle w:val="Heading2"/>
              <w:rPr>
                <w:color w:val="8064A2" w:themeColor="accent4"/>
              </w:rPr>
            </w:pPr>
            <w:sdt>
              <w:sdtPr>
                <w:rPr>
                  <w:color w:val="8064A2" w:themeColor="accent4"/>
                </w:rPr>
                <w:id w:val="1072624145"/>
                <w:placeholder>
                  <w:docPart w:val="EE2DA83037A34D638D4ED63942E9D9E4"/>
                </w:placeholder>
                <w:temporary/>
                <w:showingPlcHdr/>
                <w15:appearance w15:val="hidden"/>
              </w:sdtPr>
              <w:sdtContent>
                <w:r w:rsidR="00D62E01" w:rsidRPr="00075FC0">
                  <w:rPr>
                    <w:color w:val="8064A2" w:themeColor="accent4"/>
                    <w:sz w:val="24"/>
                    <w:szCs w:val="24"/>
                  </w:rPr>
                  <w:t>Presenter:</w:t>
                </w:r>
              </w:sdtContent>
            </w:sdt>
          </w:p>
        </w:tc>
        <w:tc>
          <w:tcPr>
            <w:tcW w:w="2310" w:type="dxa"/>
          </w:tcPr>
          <w:p w14:paraId="2450EBF7" w14:textId="481F6AF1" w:rsidR="00D62E01" w:rsidRPr="007E4418" w:rsidRDefault="004D7B23" w:rsidP="006344A8">
            <w:pPr>
              <w:rPr>
                <w:color w:val="8064A2" w:themeColor="accent4"/>
                <w:sz w:val="24"/>
                <w:szCs w:val="24"/>
              </w:rPr>
            </w:pPr>
            <w:r>
              <w:rPr>
                <w:color w:val="8064A2" w:themeColor="accent4"/>
                <w:sz w:val="24"/>
                <w:szCs w:val="24"/>
              </w:rPr>
              <w:t xml:space="preserve">Nicole Weatherall, </w:t>
            </w:r>
            <w:r w:rsidR="00B9358A">
              <w:rPr>
                <w:color w:val="8064A2" w:themeColor="accent4"/>
                <w:sz w:val="24"/>
                <w:szCs w:val="24"/>
              </w:rPr>
              <w:t>A</w:t>
            </w:r>
            <w:r>
              <w:rPr>
                <w:color w:val="8064A2" w:themeColor="accent4"/>
                <w:sz w:val="24"/>
                <w:szCs w:val="24"/>
              </w:rPr>
              <w:t>nalyst</w:t>
            </w:r>
          </w:p>
        </w:tc>
      </w:tr>
    </w:tbl>
    <w:p w14:paraId="77779155" w14:textId="77777777" w:rsidR="00D62E01" w:rsidRPr="00075FC0" w:rsidRDefault="00075FC0" w:rsidP="00D62E01">
      <w:pPr>
        <w:pStyle w:val="Heading4"/>
        <w:rPr>
          <w:color w:val="548DD4" w:themeColor="text2" w:themeTint="99"/>
          <w:sz w:val="24"/>
          <w:szCs w:val="24"/>
        </w:rPr>
      </w:pPr>
      <w:r w:rsidRPr="00075FC0">
        <w:rPr>
          <w:color w:val="548DD4" w:themeColor="text2" w:themeTint="99"/>
          <w:sz w:val="24"/>
          <w:szCs w:val="24"/>
        </w:rPr>
        <w:t>Target Audience:</w:t>
      </w:r>
    </w:p>
    <w:p w14:paraId="4CAF90D3" w14:textId="77777777" w:rsidR="004D7B23" w:rsidRDefault="004D7B23" w:rsidP="008B2934">
      <w:pPr>
        <w:pStyle w:val="Heading4"/>
        <w:spacing w:before="0" w:after="0"/>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594F9F25" w14:textId="77777777" w:rsidR="008B2934" w:rsidRDefault="008B2934" w:rsidP="008B2934">
      <w:pPr>
        <w:pStyle w:val="Heading4"/>
        <w:spacing w:before="0" w:after="0"/>
        <w:rPr>
          <w:sz w:val="24"/>
          <w:szCs w:val="24"/>
        </w:rPr>
      </w:pPr>
    </w:p>
    <w:p w14:paraId="04465D55" w14:textId="1500D40C" w:rsidR="00D62E01" w:rsidRPr="005537F7" w:rsidRDefault="00B362B6" w:rsidP="008B2934">
      <w:pPr>
        <w:pStyle w:val="Heading4"/>
        <w:spacing w:before="0" w:after="0"/>
        <w:rPr>
          <w:sz w:val="24"/>
          <w:szCs w:val="24"/>
        </w:rPr>
      </w:pPr>
      <w:r w:rsidRPr="00625C8E">
        <w:rPr>
          <w:b w:val="0"/>
          <w:bCs/>
          <w:sz w:val="24"/>
          <w:szCs w:val="24"/>
        </w:rPr>
        <w:t>Below is the</w:t>
      </w:r>
      <w:r>
        <w:rPr>
          <w:sz w:val="24"/>
          <w:szCs w:val="24"/>
        </w:rPr>
        <w:t xml:space="preserve"> </w:t>
      </w:r>
      <w:r w:rsidR="005916F2" w:rsidRPr="005916F2">
        <w:rPr>
          <w:b w:val="0"/>
          <w:bCs/>
          <w:sz w:val="24"/>
          <w:szCs w:val="24"/>
        </w:rPr>
        <w:t xml:space="preserve">case study </w:t>
      </w:r>
      <w:r>
        <w:rPr>
          <w:b w:val="0"/>
          <w:bCs/>
          <w:sz w:val="24"/>
          <w:szCs w:val="24"/>
        </w:rPr>
        <w:t>presented</w:t>
      </w:r>
      <w:r w:rsidR="00625C8E">
        <w:rPr>
          <w:b w:val="0"/>
          <w:bCs/>
          <w:sz w:val="24"/>
          <w:szCs w:val="24"/>
        </w:rPr>
        <w:t xml:space="preserve"> on the call along </w:t>
      </w:r>
      <w:r>
        <w:rPr>
          <w:b w:val="0"/>
          <w:bCs/>
          <w:sz w:val="24"/>
          <w:szCs w:val="24"/>
        </w:rPr>
        <w:t xml:space="preserve">with </w:t>
      </w:r>
      <w:r w:rsidR="005916F2" w:rsidRPr="005916F2">
        <w:rPr>
          <w:b w:val="0"/>
          <w:bCs/>
          <w:sz w:val="24"/>
          <w:szCs w:val="24"/>
        </w:rPr>
        <w:t xml:space="preserve">the </w:t>
      </w:r>
      <w:r w:rsidR="00DB3632">
        <w:rPr>
          <w:b w:val="0"/>
          <w:bCs/>
          <w:sz w:val="24"/>
          <w:szCs w:val="24"/>
        </w:rPr>
        <w:t>F</w:t>
      </w:r>
      <w:r>
        <w:rPr>
          <w:b w:val="0"/>
          <w:bCs/>
          <w:sz w:val="24"/>
          <w:szCs w:val="24"/>
        </w:rPr>
        <w:t xml:space="preserve">iduciary </w:t>
      </w:r>
      <w:r w:rsidR="00DB3632">
        <w:rPr>
          <w:b w:val="0"/>
          <w:bCs/>
          <w:sz w:val="24"/>
          <w:szCs w:val="24"/>
        </w:rPr>
        <w:t>H</w:t>
      </w:r>
      <w:r>
        <w:rPr>
          <w:b w:val="0"/>
          <w:bCs/>
          <w:sz w:val="24"/>
          <w:szCs w:val="24"/>
        </w:rPr>
        <w:t xml:space="preserve">ub </w:t>
      </w:r>
      <w:r w:rsidR="005916F2" w:rsidRPr="005916F2">
        <w:rPr>
          <w:b w:val="0"/>
          <w:bCs/>
          <w:sz w:val="24"/>
          <w:szCs w:val="24"/>
        </w:rPr>
        <w:t xml:space="preserve">questions </w:t>
      </w:r>
      <w:r>
        <w:rPr>
          <w:b w:val="0"/>
          <w:bCs/>
          <w:sz w:val="24"/>
          <w:szCs w:val="24"/>
        </w:rPr>
        <w:t>and P&amp;F Service responses provided during the call.</w:t>
      </w:r>
    </w:p>
    <w:p w14:paraId="372C26FD" w14:textId="77777777" w:rsidR="008B2934" w:rsidRDefault="008B2934" w:rsidP="008B2934">
      <w:pPr>
        <w:spacing w:before="0" w:after="0"/>
        <w:jc w:val="center"/>
        <w:rPr>
          <w:b/>
          <w:bCs/>
          <w:sz w:val="24"/>
          <w:szCs w:val="24"/>
        </w:rPr>
      </w:pPr>
    </w:p>
    <w:p w14:paraId="617D9A1E" w14:textId="0C06F144" w:rsidR="00D429B5" w:rsidRDefault="002B3ED1" w:rsidP="008B2934">
      <w:pPr>
        <w:spacing w:before="0" w:after="0"/>
        <w:jc w:val="center"/>
        <w:rPr>
          <w:b/>
          <w:bCs/>
          <w:sz w:val="24"/>
          <w:szCs w:val="24"/>
        </w:rPr>
      </w:pPr>
      <w:r>
        <w:rPr>
          <w:b/>
          <w:bCs/>
          <w:sz w:val="24"/>
          <w:szCs w:val="24"/>
        </w:rPr>
        <w:t>Fund Usage Review (</w:t>
      </w:r>
      <w:r w:rsidR="00D429B5" w:rsidRPr="00D429B5">
        <w:rPr>
          <w:b/>
          <w:bCs/>
          <w:sz w:val="24"/>
          <w:szCs w:val="24"/>
        </w:rPr>
        <w:t>FUR</w:t>
      </w:r>
      <w:r>
        <w:rPr>
          <w:b/>
          <w:bCs/>
          <w:sz w:val="24"/>
          <w:szCs w:val="24"/>
        </w:rPr>
        <w:t>)</w:t>
      </w:r>
      <w:r w:rsidR="00D429B5" w:rsidRPr="00D429B5">
        <w:rPr>
          <w:b/>
          <w:bCs/>
          <w:sz w:val="24"/>
          <w:szCs w:val="24"/>
        </w:rPr>
        <w:t xml:space="preserve"> CASE STUDY</w:t>
      </w:r>
    </w:p>
    <w:p w14:paraId="49752239" w14:textId="77777777" w:rsidR="008B2934" w:rsidRPr="00D429B5" w:rsidRDefault="008B2934" w:rsidP="008B2934">
      <w:pPr>
        <w:spacing w:before="0" w:after="0"/>
        <w:jc w:val="center"/>
        <w:rPr>
          <w:b/>
          <w:bCs/>
          <w:sz w:val="24"/>
          <w:szCs w:val="24"/>
        </w:rPr>
      </w:pPr>
    </w:p>
    <w:p w14:paraId="52683FB8" w14:textId="220C04E3" w:rsidR="00D429B5" w:rsidRPr="00D429B5" w:rsidRDefault="00D429B5" w:rsidP="008B2934">
      <w:pPr>
        <w:spacing w:before="0" w:after="0"/>
        <w:rPr>
          <w:b/>
          <w:bCs/>
          <w:sz w:val="24"/>
          <w:szCs w:val="24"/>
        </w:rPr>
      </w:pPr>
      <w:r w:rsidRPr="00D429B5">
        <w:rPr>
          <w:b/>
          <w:bCs/>
          <w:sz w:val="24"/>
          <w:szCs w:val="24"/>
        </w:rPr>
        <w:t>Accounting Checklist 21c – Critical error</w:t>
      </w:r>
    </w:p>
    <w:p w14:paraId="24BF67CD" w14:textId="77777777" w:rsidR="008B2934" w:rsidRDefault="008B2934" w:rsidP="008B2934">
      <w:pPr>
        <w:spacing w:before="0" w:after="0"/>
        <w:rPr>
          <w:b/>
          <w:bCs/>
          <w:sz w:val="24"/>
          <w:szCs w:val="24"/>
        </w:rPr>
      </w:pPr>
    </w:p>
    <w:p w14:paraId="327C67D0" w14:textId="2DAEC4C4" w:rsidR="00D429B5" w:rsidRPr="00D429B5" w:rsidRDefault="00D429B5" w:rsidP="008B2934">
      <w:pPr>
        <w:spacing w:before="0" w:after="0"/>
        <w:rPr>
          <w:sz w:val="24"/>
          <w:szCs w:val="24"/>
        </w:rPr>
      </w:pPr>
      <w:r w:rsidRPr="00D429B5">
        <w:rPr>
          <w:b/>
          <w:bCs/>
          <w:sz w:val="24"/>
          <w:szCs w:val="24"/>
        </w:rPr>
        <w:t>Error Description:</w:t>
      </w:r>
      <w:r w:rsidRPr="00D429B5">
        <w:rPr>
          <w:sz w:val="24"/>
          <w:szCs w:val="24"/>
        </w:rPr>
        <w:t xml:space="preserve"> The Hub did not follow the guidance to request additional or corrected FUR information.          </w:t>
      </w:r>
    </w:p>
    <w:p w14:paraId="6E965529" w14:textId="77777777" w:rsidR="008B2934" w:rsidRDefault="008B2934" w:rsidP="008B2934">
      <w:pPr>
        <w:spacing w:before="0" w:after="0"/>
        <w:rPr>
          <w:b/>
          <w:bCs/>
          <w:sz w:val="24"/>
          <w:szCs w:val="24"/>
        </w:rPr>
      </w:pPr>
    </w:p>
    <w:p w14:paraId="3F2768E5" w14:textId="3AF687AC" w:rsidR="00D429B5" w:rsidRPr="00D429B5" w:rsidRDefault="00D429B5" w:rsidP="008B2934">
      <w:pPr>
        <w:spacing w:before="0" w:after="0"/>
        <w:rPr>
          <w:sz w:val="24"/>
          <w:szCs w:val="24"/>
        </w:rPr>
      </w:pPr>
      <w:r w:rsidRPr="00D429B5">
        <w:rPr>
          <w:b/>
          <w:bCs/>
          <w:sz w:val="24"/>
          <w:szCs w:val="24"/>
        </w:rPr>
        <w:t>Error Narrative:</w:t>
      </w:r>
      <w:r w:rsidRPr="00D429B5">
        <w:rPr>
          <w:sz w:val="24"/>
          <w:szCs w:val="24"/>
        </w:rPr>
        <w:t xml:space="preserve"> The fund usage due letter </w:t>
      </w:r>
      <w:r w:rsidR="002B3ED1">
        <w:rPr>
          <w:sz w:val="24"/>
          <w:szCs w:val="24"/>
        </w:rPr>
        <w:t>wa</w:t>
      </w:r>
      <w:r w:rsidRPr="00D429B5">
        <w:rPr>
          <w:sz w:val="24"/>
          <w:szCs w:val="24"/>
        </w:rPr>
        <w:t>s dated 07/25/2022 and the fiduciary submitted bank statements from 03/11/2022-06/12/2022. Per</w:t>
      </w:r>
      <w:r w:rsidR="00FC3F4D" w:rsidRPr="00FC3F4D">
        <w:rPr>
          <w:sz w:val="24"/>
          <w:szCs w:val="24"/>
        </w:rPr>
        <w:t xml:space="preserve"> </w:t>
      </w:r>
      <w:r w:rsidR="00FC3F4D" w:rsidRPr="00D429B5">
        <w:rPr>
          <w:sz w:val="24"/>
          <w:szCs w:val="24"/>
        </w:rPr>
        <w:t>FPM 1.6.B.2.b</w:t>
      </w:r>
      <w:r w:rsidRPr="00D429B5">
        <w:rPr>
          <w:sz w:val="24"/>
          <w:szCs w:val="24"/>
        </w:rPr>
        <w:t>, (</w:t>
      </w:r>
      <w:r w:rsidR="00FC3F4D">
        <w:rPr>
          <w:sz w:val="24"/>
          <w:szCs w:val="24"/>
        </w:rPr>
        <w:t>formerly</w:t>
      </w:r>
      <w:r w:rsidR="00FC3F4D" w:rsidRPr="00D429B5">
        <w:rPr>
          <w:sz w:val="24"/>
          <w:szCs w:val="24"/>
        </w:rPr>
        <w:t xml:space="preserve"> FPM II.1.C.4.p</w:t>
      </w:r>
      <w:r w:rsidRPr="00D429B5">
        <w:rPr>
          <w:sz w:val="24"/>
          <w:szCs w:val="24"/>
        </w:rPr>
        <w:t xml:space="preserve">) the dates do not need to be the period exactly preceding the date of that letter if they cover a consecutive three-month period that ends no earlier than one month prior to the date of the Fund Usage Due Letter. The hub must request the fiduciary submit the bank statements </w:t>
      </w:r>
      <w:proofErr w:type="gramStart"/>
      <w:r w:rsidRPr="00D429B5">
        <w:rPr>
          <w:sz w:val="24"/>
          <w:szCs w:val="24"/>
        </w:rPr>
        <w:t>through</w:t>
      </w:r>
      <w:proofErr w:type="gramEnd"/>
      <w:r w:rsidRPr="00D429B5">
        <w:rPr>
          <w:sz w:val="24"/>
          <w:szCs w:val="24"/>
        </w:rPr>
        <w:t xml:space="preserve"> at least 06/25/2022.</w:t>
      </w:r>
    </w:p>
    <w:p w14:paraId="0460DE01" w14:textId="77777777" w:rsidR="008B2934" w:rsidRDefault="008B2934" w:rsidP="008B2934">
      <w:pPr>
        <w:spacing w:before="0" w:after="0"/>
        <w:rPr>
          <w:b/>
          <w:bCs/>
          <w:sz w:val="24"/>
          <w:szCs w:val="24"/>
        </w:rPr>
      </w:pPr>
    </w:p>
    <w:p w14:paraId="55794925" w14:textId="1331707B" w:rsidR="00D429B5" w:rsidRDefault="00D429B5" w:rsidP="008B2934">
      <w:pPr>
        <w:spacing w:before="0" w:after="0"/>
        <w:rPr>
          <w:b/>
          <w:bCs/>
          <w:sz w:val="24"/>
          <w:szCs w:val="24"/>
        </w:rPr>
      </w:pPr>
      <w:r w:rsidRPr="00D429B5">
        <w:rPr>
          <w:b/>
          <w:bCs/>
          <w:sz w:val="24"/>
          <w:szCs w:val="24"/>
        </w:rPr>
        <w:t>Timeline of Events</w:t>
      </w:r>
    </w:p>
    <w:p w14:paraId="6AB4E749" w14:textId="77777777" w:rsidR="008B2934" w:rsidRPr="00D429B5" w:rsidRDefault="008B2934" w:rsidP="008B2934">
      <w:pPr>
        <w:spacing w:before="0" w:after="0"/>
        <w:rPr>
          <w:b/>
          <w:bCs/>
          <w:sz w:val="24"/>
          <w:szCs w:val="24"/>
        </w:rPr>
      </w:pPr>
    </w:p>
    <w:p w14:paraId="28F7E915" w14:textId="2E09A2FC" w:rsidR="00D429B5" w:rsidRPr="00D429B5" w:rsidRDefault="00D429B5" w:rsidP="008B2934">
      <w:pPr>
        <w:numPr>
          <w:ilvl w:val="0"/>
          <w:numId w:val="25"/>
        </w:numPr>
        <w:spacing w:before="0" w:after="0"/>
        <w:rPr>
          <w:sz w:val="24"/>
          <w:szCs w:val="24"/>
        </w:rPr>
      </w:pPr>
      <w:r w:rsidRPr="00D429B5">
        <w:rPr>
          <w:sz w:val="24"/>
          <w:szCs w:val="24"/>
        </w:rPr>
        <w:t>07/25/2022 – FUR Due Letter (</w:t>
      </w:r>
      <w:r w:rsidR="00A15A9C">
        <w:rPr>
          <w:sz w:val="24"/>
          <w:szCs w:val="24"/>
        </w:rPr>
        <w:t>I</w:t>
      </w:r>
      <w:r w:rsidR="00A15A9C" w:rsidRPr="00D429B5">
        <w:rPr>
          <w:sz w:val="24"/>
          <w:szCs w:val="24"/>
        </w:rPr>
        <w:t xml:space="preserve">ncorrect </w:t>
      </w:r>
      <w:r w:rsidRPr="00D429B5">
        <w:rPr>
          <w:sz w:val="24"/>
          <w:szCs w:val="24"/>
        </w:rPr>
        <w:t>due date of 07/20/2022 listed</w:t>
      </w:r>
      <w:r w:rsidR="00A15A9C">
        <w:rPr>
          <w:sz w:val="24"/>
          <w:szCs w:val="24"/>
        </w:rPr>
        <w:t xml:space="preserve">; instead, </w:t>
      </w:r>
      <w:r w:rsidRPr="00D429B5">
        <w:rPr>
          <w:sz w:val="24"/>
          <w:szCs w:val="24"/>
        </w:rPr>
        <w:t>08/24/2022</w:t>
      </w:r>
      <w:r w:rsidR="00A15A9C">
        <w:rPr>
          <w:sz w:val="24"/>
          <w:szCs w:val="24"/>
        </w:rPr>
        <w:t xml:space="preserve"> should have been used</w:t>
      </w:r>
      <w:r w:rsidRPr="00D429B5">
        <w:rPr>
          <w:sz w:val="24"/>
          <w:szCs w:val="24"/>
        </w:rPr>
        <w:t>)</w:t>
      </w:r>
    </w:p>
    <w:p w14:paraId="49B59FE6" w14:textId="77777777" w:rsidR="00D429B5" w:rsidRPr="00D429B5" w:rsidRDefault="00D429B5" w:rsidP="008B2934">
      <w:pPr>
        <w:numPr>
          <w:ilvl w:val="0"/>
          <w:numId w:val="25"/>
        </w:numPr>
        <w:spacing w:before="0" w:after="0"/>
        <w:rPr>
          <w:sz w:val="24"/>
          <w:szCs w:val="24"/>
        </w:rPr>
      </w:pPr>
      <w:r w:rsidRPr="00D429B5">
        <w:rPr>
          <w:sz w:val="24"/>
          <w:szCs w:val="24"/>
        </w:rPr>
        <w:t xml:space="preserve">08/31/2022 – FUR Past Due Call </w:t>
      </w:r>
    </w:p>
    <w:p w14:paraId="57C40927" w14:textId="6F86BBC2" w:rsidR="00D429B5" w:rsidRPr="00D429B5" w:rsidRDefault="00D429B5" w:rsidP="008B2934">
      <w:pPr>
        <w:numPr>
          <w:ilvl w:val="0"/>
          <w:numId w:val="25"/>
        </w:numPr>
        <w:spacing w:before="0" w:after="0"/>
        <w:rPr>
          <w:sz w:val="24"/>
          <w:szCs w:val="24"/>
        </w:rPr>
      </w:pPr>
      <w:r w:rsidRPr="00D429B5">
        <w:rPr>
          <w:sz w:val="24"/>
          <w:szCs w:val="24"/>
        </w:rPr>
        <w:t>09/01/2022 – FUR Past Due Letter (</w:t>
      </w:r>
      <w:r w:rsidR="00A15A9C">
        <w:rPr>
          <w:sz w:val="24"/>
          <w:szCs w:val="24"/>
        </w:rPr>
        <w:t xml:space="preserve">Cascading error, due to incorrect initial due date of </w:t>
      </w:r>
      <w:r w:rsidRPr="00D429B5">
        <w:rPr>
          <w:sz w:val="24"/>
          <w:szCs w:val="24"/>
        </w:rPr>
        <w:t xml:space="preserve">07/20/2022 </w:t>
      </w:r>
      <w:r w:rsidR="008E5C0E">
        <w:rPr>
          <w:sz w:val="24"/>
          <w:szCs w:val="24"/>
        </w:rPr>
        <w:t>used Additionally, the hub</w:t>
      </w:r>
      <w:r w:rsidRPr="00D429B5">
        <w:rPr>
          <w:sz w:val="24"/>
          <w:szCs w:val="24"/>
        </w:rPr>
        <w:t xml:space="preserve"> incorrectly requested financial statements for the three-month period prior to 07/20/2022 when </w:t>
      </w:r>
      <w:r w:rsidR="008E5C0E">
        <w:rPr>
          <w:sz w:val="24"/>
          <w:szCs w:val="24"/>
        </w:rPr>
        <w:t xml:space="preserve">it </w:t>
      </w:r>
      <w:r w:rsidRPr="00D429B5">
        <w:rPr>
          <w:sz w:val="24"/>
          <w:szCs w:val="24"/>
        </w:rPr>
        <w:t>should have been 07/25/2022)</w:t>
      </w:r>
    </w:p>
    <w:p w14:paraId="16A00BC4" w14:textId="035C1B2F" w:rsidR="00D429B5" w:rsidRPr="00D429B5" w:rsidRDefault="00D429B5" w:rsidP="002E4242">
      <w:pPr>
        <w:numPr>
          <w:ilvl w:val="0"/>
          <w:numId w:val="25"/>
        </w:numPr>
        <w:spacing w:before="0" w:after="0"/>
        <w:rPr>
          <w:sz w:val="24"/>
          <w:szCs w:val="24"/>
        </w:rPr>
      </w:pPr>
      <w:r w:rsidRPr="00D429B5">
        <w:rPr>
          <w:sz w:val="24"/>
          <w:szCs w:val="24"/>
        </w:rPr>
        <w:t>09/06/2022</w:t>
      </w:r>
      <w:r w:rsidR="002E4242">
        <w:rPr>
          <w:sz w:val="24"/>
          <w:szCs w:val="24"/>
        </w:rPr>
        <w:t xml:space="preserve"> </w:t>
      </w:r>
      <w:r w:rsidR="008E5C0E" w:rsidRPr="00D429B5">
        <w:rPr>
          <w:sz w:val="24"/>
          <w:szCs w:val="24"/>
        </w:rPr>
        <w:t xml:space="preserve">– </w:t>
      </w:r>
      <w:r w:rsidRPr="00D429B5">
        <w:rPr>
          <w:sz w:val="24"/>
          <w:szCs w:val="24"/>
        </w:rPr>
        <w:t>Financial statements received for 03/11/2022-</w:t>
      </w:r>
      <w:proofErr w:type="gramStart"/>
      <w:r w:rsidRPr="00D429B5">
        <w:rPr>
          <w:sz w:val="24"/>
          <w:szCs w:val="24"/>
        </w:rPr>
        <w:t>06/12/2022</w:t>
      </w:r>
      <w:proofErr w:type="gramEnd"/>
    </w:p>
    <w:p w14:paraId="14F01594" w14:textId="77777777" w:rsidR="00D429B5" w:rsidRPr="00D429B5" w:rsidRDefault="00D429B5" w:rsidP="002E4242">
      <w:pPr>
        <w:numPr>
          <w:ilvl w:val="0"/>
          <w:numId w:val="25"/>
        </w:numPr>
        <w:spacing w:before="0" w:after="0"/>
        <w:rPr>
          <w:sz w:val="24"/>
          <w:szCs w:val="24"/>
        </w:rPr>
      </w:pPr>
      <w:r w:rsidRPr="00D429B5">
        <w:rPr>
          <w:sz w:val="24"/>
          <w:szCs w:val="24"/>
        </w:rPr>
        <w:t xml:space="preserve">09/22/2022 – FUR Complete Letter </w:t>
      </w:r>
    </w:p>
    <w:p w14:paraId="59788B28" w14:textId="7EE5D9C2" w:rsidR="00D429B5" w:rsidRPr="00D429B5" w:rsidRDefault="00D429B5" w:rsidP="002E4242">
      <w:pPr>
        <w:numPr>
          <w:ilvl w:val="0"/>
          <w:numId w:val="25"/>
        </w:numPr>
        <w:spacing w:before="0" w:after="0"/>
        <w:rPr>
          <w:sz w:val="24"/>
          <w:szCs w:val="24"/>
        </w:rPr>
      </w:pPr>
      <w:r w:rsidRPr="00D429B5">
        <w:rPr>
          <w:sz w:val="24"/>
          <w:szCs w:val="24"/>
        </w:rPr>
        <w:t>11/01/2022</w:t>
      </w:r>
      <w:r w:rsidR="002E4242">
        <w:rPr>
          <w:sz w:val="24"/>
          <w:szCs w:val="24"/>
        </w:rPr>
        <w:t xml:space="preserve"> </w:t>
      </w:r>
      <w:r w:rsidR="008E5C0E" w:rsidRPr="00D429B5">
        <w:rPr>
          <w:sz w:val="24"/>
          <w:szCs w:val="24"/>
        </w:rPr>
        <w:t xml:space="preserve">– </w:t>
      </w:r>
      <w:r w:rsidRPr="00D429B5">
        <w:rPr>
          <w:sz w:val="24"/>
          <w:szCs w:val="24"/>
        </w:rPr>
        <w:t>FUR Additional Evidence Letter (after STAR error notification)</w:t>
      </w:r>
    </w:p>
    <w:p w14:paraId="007F66CF" w14:textId="19F8FCD2" w:rsidR="00D429B5" w:rsidRDefault="00D429B5" w:rsidP="002E4242">
      <w:pPr>
        <w:numPr>
          <w:ilvl w:val="0"/>
          <w:numId w:val="25"/>
        </w:numPr>
        <w:spacing w:before="0" w:after="0"/>
        <w:rPr>
          <w:sz w:val="24"/>
          <w:szCs w:val="24"/>
        </w:rPr>
      </w:pPr>
      <w:r w:rsidRPr="00D429B5">
        <w:rPr>
          <w:sz w:val="24"/>
          <w:szCs w:val="24"/>
        </w:rPr>
        <w:t>11/23/2022 – Financial statements received for 06/13/2022-10/10/2022) after STAR error notification)</w:t>
      </w:r>
    </w:p>
    <w:tbl>
      <w:tblPr>
        <w:tblStyle w:val="GridTable1Light"/>
        <w:tblW w:w="3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8079"/>
      </w:tblGrid>
      <w:tr w:rsidR="0002110C" w:rsidRPr="00D60069" w14:paraId="5BD96566" w14:textId="77777777" w:rsidTr="009A7C5A">
        <w:trPr>
          <w:trHeight w:val="830"/>
          <w:tblHeader/>
        </w:trPr>
        <w:tc>
          <w:tcPr>
            <w:tcW w:w="8072" w:type="dxa"/>
            <w:vAlign w:val="bottom"/>
          </w:tcPr>
          <w:p w14:paraId="5A4D2035" w14:textId="77777777" w:rsidR="0002110C" w:rsidRPr="005537F7" w:rsidRDefault="0002110C" w:rsidP="00637477">
            <w:pPr>
              <w:pStyle w:val="Heading2"/>
              <w:spacing w:after="80"/>
              <w:rPr>
                <w:sz w:val="24"/>
                <w:szCs w:val="24"/>
              </w:rPr>
            </w:pPr>
            <w:r w:rsidRPr="005537F7">
              <w:rPr>
                <w:sz w:val="24"/>
                <w:szCs w:val="24"/>
              </w:rPr>
              <w:t>References/Contacts</w:t>
            </w:r>
          </w:p>
        </w:tc>
      </w:tr>
      <w:tr w:rsidR="0002110C" w:rsidRPr="00D60069" w14:paraId="199AEB08" w14:textId="77777777" w:rsidTr="009A7C5A">
        <w:trPr>
          <w:trHeight w:val="498"/>
        </w:trPr>
        <w:tc>
          <w:tcPr>
            <w:tcW w:w="8072" w:type="dxa"/>
          </w:tcPr>
          <w:p w14:paraId="3E13D338" w14:textId="77777777" w:rsidR="0002110C" w:rsidRPr="00E54C1A" w:rsidRDefault="0002110C" w:rsidP="00637477">
            <w:pPr>
              <w:pStyle w:val="ListBullet"/>
              <w:spacing w:before="0"/>
              <w:rPr>
                <w:sz w:val="24"/>
                <w:szCs w:val="24"/>
              </w:rPr>
            </w:pPr>
            <w:r>
              <w:rPr>
                <w:sz w:val="24"/>
                <w:szCs w:val="24"/>
              </w:rPr>
              <w:t>FPM Part 1. Chapter 6</w:t>
            </w:r>
          </w:p>
        </w:tc>
      </w:tr>
    </w:tbl>
    <w:p w14:paraId="757ED870" w14:textId="33294D70" w:rsidR="009A7C5A" w:rsidRDefault="009A7C5A" w:rsidP="0002110C">
      <w:pPr>
        <w:rPr>
          <w:sz w:val="24"/>
          <w:szCs w:val="24"/>
        </w:rPr>
      </w:pPr>
    </w:p>
    <w:p w14:paraId="528C8BA4" w14:textId="77777777" w:rsidR="009A7C5A" w:rsidRDefault="009A7C5A" w:rsidP="0002110C">
      <w:pPr>
        <w:rPr>
          <w:sz w:val="24"/>
          <w:szCs w:val="24"/>
        </w:rPr>
      </w:pPr>
    </w:p>
    <w:p w14:paraId="4F76A40C" w14:textId="73546503" w:rsidR="009A7C5A" w:rsidRDefault="0002110C" w:rsidP="008B2934">
      <w:pPr>
        <w:spacing w:before="0" w:after="0"/>
        <w:rPr>
          <w:sz w:val="24"/>
          <w:szCs w:val="24"/>
        </w:rPr>
      </w:pPr>
      <w:r w:rsidRPr="006776D4">
        <w:rPr>
          <w:b/>
          <w:bCs/>
          <w:sz w:val="24"/>
          <w:szCs w:val="24"/>
        </w:rPr>
        <w:lastRenderedPageBreak/>
        <w:t>Question 1</w:t>
      </w:r>
      <w:r w:rsidR="008B2934">
        <w:rPr>
          <w:b/>
          <w:bCs/>
          <w:sz w:val="24"/>
          <w:szCs w:val="24"/>
        </w:rPr>
        <w:t xml:space="preserve">: </w:t>
      </w:r>
      <w:r>
        <w:rPr>
          <w:sz w:val="24"/>
          <w:szCs w:val="24"/>
        </w:rPr>
        <w:t>There is not a good reference in the manual concerning the dates covered for the letter, whether it should cover the dates on the bank statements or the required period.  Will the manual be updated to reflect this anytime soon</w:t>
      </w:r>
      <w:r w:rsidR="00323E98">
        <w:rPr>
          <w:sz w:val="24"/>
          <w:szCs w:val="24"/>
        </w:rPr>
        <w:t>?</w:t>
      </w:r>
    </w:p>
    <w:p w14:paraId="175191C9" w14:textId="77777777" w:rsidR="008B2934" w:rsidRDefault="008B2934" w:rsidP="008B2934">
      <w:pPr>
        <w:shd w:val="clear" w:color="auto" w:fill="FFFFFF"/>
        <w:spacing w:before="0" w:after="0"/>
        <w:rPr>
          <w:b/>
          <w:bCs/>
          <w:sz w:val="24"/>
          <w:szCs w:val="24"/>
        </w:rPr>
      </w:pPr>
    </w:p>
    <w:p w14:paraId="4563E0D2" w14:textId="28DFF168" w:rsidR="00992463" w:rsidRDefault="00EE7824" w:rsidP="008622B3">
      <w:pPr>
        <w:shd w:val="clear" w:color="auto" w:fill="FFFFFF"/>
        <w:spacing w:before="0" w:after="0"/>
        <w:rPr>
          <w:sz w:val="24"/>
          <w:szCs w:val="24"/>
        </w:rPr>
      </w:pPr>
      <w:r>
        <w:rPr>
          <w:rFonts w:cstheme="minorHAnsi"/>
          <w:b/>
          <w:bCs/>
          <w:color w:val="000000"/>
          <w:sz w:val="24"/>
          <w:szCs w:val="24"/>
        </w:rPr>
        <w:t xml:space="preserve">P&amp;F </w:t>
      </w:r>
      <w:r w:rsidR="008B2934" w:rsidRPr="0099415F">
        <w:rPr>
          <w:rFonts w:cstheme="minorHAnsi"/>
          <w:b/>
          <w:bCs/>
          <w:color w:val="000000"/>
          <w:sz w:val="24"/>
          <w:szCs w:val="24"/>
        </w:rPr>
        <w:t xml:space="preserve">Service </w:t>
      </w:r>
      <w:r w:rsidR="00323E98" w:rsidRPr="006776D4">
        <w:rPr>
          <w:b/>
          <w:bCs/>
          <w:sz w:val="24"/>
          <w:szCs w:val="24"/>
        </w:rPr>
        <w:t>Response</w:t>
      </w:r>
      <w:r w:rsidR="00173850">
        <w:rPr>
          <w:b/>
          <w:bCs/>
          <w:sz w:val="24"/>
          <w:szCs w:val="24"/>
        </w:rPr>
        <w:t xml:space="preserve">: </w:t>
      </w:r>
      <w:r w:rsidR="00323E98">
        <w:rPr>
          <w:sz w:val="24"/>
          <w:szCs w:val="24"/>
        </w:rPr>
        <w:t xml:space="preserve">Whether it is in the manual or not, we want to give the correct information to the fiduciary. </w:t>
      </w:r>
      <w:r w:rsidR="006B798B">
        <w:rPr>
          <w:sz w:val="24"/>
          <w:szCs w:val="24"/>
        </w:rPr>
        <w:t>I</w:t>
      </w:r>
      <w:r w:rsidR="00323E98">
        <w:rPr>
          <w:sz w:val="24"/>
          <w:szCs w:val="24"/>
        </w:rPr>
        <w:t>f they reviewed six months’ worth of statements, then they need to record those six months on the letters to the fiduciary showing that this is the information received and reviewed. Always include what you received and reviewed</w:t>
      </w:r>
      <w:r w:rsidR="004A6050">
        <w:rPr>
          <w:sz w:val="24"/>
          <w:szCs w:val="24"/>
        </w:rPr>
        <w:t>.</w:t>
      </w:r>
    </w:p>
    <w:p w14:paraId="323CF1D5" w14:textId="57F7CD88" w:rsidR="004A6050" w:rsidRDefault="004A6050" w:rsidP="008622B3">
      <w:pPr>
        <w:shd w:val="clear" w:color="auto" w:fill="FFFFFF"/>
        <w:spacing w:before="0" w:after="0"/>
        <w:rPr>
          <w:sz w:val="24"/>
          <w:szCs w:val="24"/>
        </w:rPr>
      </w:pPr>
    </w:p>
    <w:p w14:paraId="07C6A80B" w14:textId="77777777" w:rsidR="004A6050" w:rsidRPr="008622B3" w:rsidRDefault="004A6050" w:rsidP="008622B3">
      <w:pPr>
        <w:spacing w:before="0" w:after="0"/>
        <w:rPr>
          <w:rFonts w:ascii="Arial" w:hAnsi="Arial" w:cs="Arial"/>
          <w:sz w:val="24"/>
          <w:szCs w:val="24"/>
        </w:rPr>
      </w:pPr>
      <w:r w:rsidRPr="008622B3">
        <w:rPr>
          <w:b/>
          <w:bCs/>
          <w:sz w:val="24"/>
          <w:szCs w:val="24"/>
        </w:rPr>
        <w:t>P&amp;P Response</w:t>
      </w:r>
      <w:r w:rsidRPr="008622B3">
        <w:rPr>
          <w:sz w:val="24"/>
          <w:szCs w:val="24"/>
        </w:rPr>
        <w:t xml:space="preserve">: </w:t>
      </w:r>
      <w:r w:rsidRPr="008622B3">
        <w:rPr>
          <w:rFonts w:ascii="Arial" w:hAnsi="Arial" w:cs="Arial"/>
          <w:sz w:val="24"/>
          <w:szCs w:val="24"/>
        </w:rPr>
        <w:t xml:space="preserve">At minimum, the </w:t>
      </w:r>
      <w:r w:rsidRPr="008622B3">
        <w:rPr>
          <w:rFonts w:ascii="Arial" w:hAnsi="Arial" w:cs="Arial"/>
          <w:i/>
          <w:iCs/>
          <w:sz w:val="24"/>
          <w:szCs w:val="24"/>
        </w:rPr>
        <w:t>Fund Usage Review Complete</w:t>
      </w:r>
      <w:r w:rsidRPr="008622B3">
        <w:rPr>
          <w:rFonts w:ascii="Arial" w:hAnsi="Arial" w:cs="Arial"/>
          <w:sz w:val="24"/>
          <w:szCs w:val="24"/>
        </w:rPr>
        <w:t xml:space="preserve"> Letter must notify the fiduciary that the fiduciary hub (hub) has accepted and completed the review of their management of VA benefit funds for the prescribed fund usage review period shown on the </w:t>
      </w:r>
      <w:r w:rsidRPr="008622B3">
        <w:rPr>
          <w:rFonts w:ascii="Arial" w:hAnsi="Arial" w:cs="Arial"/>
          <w:i/>
          <w:iCs/>
          <w:sz w:val="24"/>
          <w:szCs w:val="24"/>
        </w:rPr>
        <w:t>Fund Usage Due Letter</w:t>
      </w:r>
      <w:r w:rsidRPr="008622B3">
        <w:rPr>
          <w:rFonts w:ascii="Arial" w:hAnsi="Arial" w:cs="Arial"/>
          <w:sz w:val="24"/>
          <w:szCs w:val="24"/>
        </w:rPr>
        <w:t xml:space="preserve">.  </w:t>
      </w:r>
    </w:p>
    <w:p w14:paraId="6B295077" w14:textId="77777777" w:rsidR="004A6050" w:rsidRPr="008622B3" w:rsidRDefault="004A6050" w:rsidP="008622B3">
      <w:pPr>
        <w:spacing w:before="0" w:after="0"/>
        <w:rPr>
          <w:rFonts w:ascii="Arial" w:hAnsi="Arial" w:cs="Arial"/>
          <w:sz w:val="24"/>
          <w:szCs w:val="24"/>
        </w:rPr>
      </w:pPr>
    </w:p>
    <w:p w14:paraId="2B00C4FB" w14:textId="77777777" w:rsidR="004A6050" w:rsidRDefault="004A6050" w:rsidP="008622B3">
      <w:pPr>
        <w:spacing w:before="0" w:after="0"/>
        <w:rPr>
          <w:rFonts w:ascii="Arial" w:hAnsi="Arial" w:cs="Arial"/>
          <w:sz w:val="24"/>
          <w:szCs w:val="24"/>
        </w:rPr>
      </w:pPr>
      <w:r w:rsidRPr="008622B3">
        <w:rPr>
          <w:rFonts w:ascii="Arial" w:hAnsi="Arial" w:cs="Arial"/>
          <w:sz w:val="24"/>
          <w:szCs w:val="24"/>
        </w:rPr>
        <w:t xml:space="preserve">As a best practice, the hub should notify the fiduciary of the full date range(s) of all documents that the fiduciary submitted in response to the most recent </w:t>
      </w:r>
      <w:r w:rsidRPr="008622B3">
        <w:rPr>
          <w:rFonts w:ascii="Arial" w:hAnsi="Arial" w:cs="Arial"/>
          <w:i/>
          <w:iCs/>
          <w:sz w:val="24"/>
          <w:szCs w:val="24"/>
        </w:rPr>
        <w:t>Fund Usage Due Letter</w:t>
      </w:r>
      <w:r w:rsidRPr="008622B3">
        <w:rPr>
          <w:rFonts w:ascii="Arial" w:hAnsi="Arial" w:cs="Arial"/>
          <w:sz w:val="24"/>
          <w:szCs w:val="24"/>
        </w:rPr>
        <w:t>, which includes the date range of the documents submitted outside of the fund usage review period.  Notifying the fiduciary of the full date range(s) of fund usage review documents supports effective communication between VA and the fiduciary.</w:t>
      </w:r>
    </w:p>
    <w:p w14:paraId="1E6804A3" w14:textId="77777777" w:rsidR="009A7C5A" w:rsidRDefault="009A7C5A" w:rsidP="008622B3">
      <w:pPr>
        <w:spacing w:before="0" w:after="0"/>
        <w:rPr>
          <w:sz w:val="24"/>
          <w:szCs w:val="24"/>
        </w:rPr>
      </w:pPr>
    </w:p>
    <w:p w14:paraId="39BAF4EF" w14:textId="78A05489" w:rsidR="009A7C5A" w:rsidRDefault="00A56FBC" w:rsidP="008622B3">
      <w:pPr>
        <w:spacing w:before="0" w:after="0"/>
        <w:rPr>
          <w:sz w:val="24"/>
          <w:szCs w:val="24"/>
        </w:rPr>
      </w:pPr>
      <w:r w:rsidRPr="006776D4">
        <w:rPr>
          <w:b/>
          <w:bCs/>
          <w:sz w:val="24"/>
          <w:szCs w:val="24"/>
        </w:rPr>
        <w:t>Question 2</w:t>
      </w:r>
      <w:r w:rsidR="008B2934">
        <w:rPr>
          <w:b/>
          <w:bCs/>
          <w:sz w:val="24"/>
          <w:szCs w:val="24"/>
        </w:rPr>
        <w:t xml:space="preserve">: </w:t>
      </w:r>
      <w:r>
        <w:rPr>
          <w:sz w:val="24"/>
          <w:szCs w:val="24"/>
        </w:rPr>
        <w:t xml:space="preserve">If we receive the bank statements outside of the window that we are reviewing, we </w:t>
      </w:r>
      <w:r w:rsidR="006776D4">
        <w:rPr>
          <w:sz w:val="24"/>
          <w:szCs w:val="24"/>
        </w:rPr>
        <w:t xml:space="preserve">are </w:t>
      </w:r>
      <w:r>
        <w:rPr>
          <w:sz w:val="24"/>
          <w:szCs w:val="24"/>
        </w:rPr>
        <w:t>not do</w:t>
      </w:r>
      <w:r w:rsidR="006776D4">
        <w:rPr>
          <w:sz w:val="24"/>
          <w:szCs w:val="24"/>
        </w:rPr>
        <w:t>ing</w:t>
      </w:r>
      <w:r>
        <w:rPr>
          <w:sz w:val="24"/>
          <w:szCs w:val="24"/>
        </w:rPr>
        <w:t xml:space="preserve"> a full review but just reviewing them for red flag indicators</w:t>
      </w:r>
      <w:r w:rsidR="006776D4">
        <w:rPr>
          <w:sz w:val="24"/>
          <w:szCs w:val="24"/>
        </w:rPr>
        <w:t>, is that</w:t>
      </w:r>
      <w:r>
        <w:rPr>
          <w:sz w:val="24"/>
          <w:szCs w:val="24"/>
        </w:rPr>
        <w:t xml:space="preserve"> correct</w:t>
      </w:r>
      <w:r w:rsidR="006776D4">
        <w:rPr>
          <w:sz w:val="24"/>
          <w:szCs w:val="24"/>
        </w:rPr>
        <w:t>?</w:t>
      </w:r>
    </w:p>
    <w:p w14:paraId="040DF2E3" w14:textId="77777777" w:rsidR="008B2934" w:rsidRDefault="008B2934" w:rsidP="008B2934">
      <w:pPr>
        <w:shd w:val="clear" w:color="auto" w:fill="FFFFFF"/>
        <w:spacing w:before="0" w:after="0"/>
        <w:rPr>
          <w:rFonts w:cstheme="minorHAnsi"/>
          <w:b/>
          <w:bCs/>
          <w:color w:val="000000"/>
          <w:sz w:val="24"/>
          <w:szCs w:val="24"/>
        </w:rPr>
      </w:pPr>
    </w:p>
    <w:p w14:paraId="79826379" w14:textId="0CCE260A" w:rsidR="006B798B" w:rsidRPr="00992463" w:rsidRDefault="008B2934" w:rsidP="008B2934">
      <w:pPr>
        <w:shd w:val="clear" w:color="auto" w:fill="FFFFFF"/>
        <w:spacing w:before="0" w:after="0"/>
        <w:rPr>
          <w:rFonts w:ascii="Arial" w:eastAsia="Calibri" w:hAnsi="Arial" w:cs="Arial"/>
          <w:color w:val="000000"/>
          <w:sz w:val="22"/>
          <w:szCs w:val="22"/>
        </w:rPr>
      </w:pPr>
      <w:r w:rsidRPr="0099415F">
        <w:rPr>
          <w:rFonts w:cstheme="minorHAnsi"/>
          <w:b/>
          <w:bCs/>
          <w:color w:val="000000"/>
          <w:sz w:val="24"/>
          <w:szCs w:val="24"/>
        </w:rPr>
        <w:t xml:space="preserve">P&amp;F Service </w:t>
      </w:r>
      <w:r w:rsidR="006776D4" w:rsidRPr="006776D4">
        <w:rPr>
          <w:b/>
          <w:bCs/>
          <w:sz w:val="24"/>
          <w:szCs w:val="24"/>
        </w:rPr>
        <w:t>Response</w:t>
      </w:r>
      <w:r>
        <w:rPr>
          <w:b/>
          <w:bCs/>
          <w:sz w:val="24"/>
          <w:szCs w:val="24"/>
        </w:rPr>
        <w:t xml:space="preserve">: </w:t>
      </w:r>
      <w:r w:rsidR="006776D4">
        <w:rPr>
          <w:sz w:val="24"/>
          <w:szCs w:val="24"/>
        </w:rPr>
        <w:t xml:space="preserve">That is correct. </w:t>
      </w:r>
      <w:r w:rsidR="009A7C5A" w:rsidRPr="009A7C5A">
        <w:rPr>
          <w:rFonts w:ascii="Arial" w:eastAsia="Calibri" w:hAnsi="Arial" w:cs="Arial"/>
          <w:sz w:val="22"/>
          <w:szCs w:val="22"/>
        </w:rPr>
        <w:t xml:space="preserve">FPM 1.6.B.2.a states, </w:t>
      </w:r>
      <w:r w:rsidR="0094417E">
        <w:rPr>
          <w:rFonts w:ascii="Arial" w:eastAsia="Calibri" w:hAnsi="Arial" w:cs="Arial"/>
          <w:sz w:val="22"/>
          <w:szCs w:val="22"/>
        </w:rPr>
        <w:t>“</w:t>
      </w:r>
      <w:r w:rsidR="009A7C5A" w:rsidRPr="009A7C5A">
        <w:rPr>
          <w:rFonts w:ascii="Arial" w:eastAsia="Calibri" w:hAnsi="Arial" w:cs="Arial"/>
          <w:sz w:val="22"/>
          <w:szCs w:val="22"/>
        </w:rPr>
        <w:t>when a fiduciary submits more information tha</w:t>
      </w:r>
      <w:r w:rsidR="005916F2">
        <w:rPr>
          <w:rFonts w:ascii="Arial" w:eastAsia="Calibri" w:hAnsi="Arial" w:cs="Arial"/>
          <w:sz w:val="22"/>
          <w:szCs w:val="22"/>
        </w:rPr>
        <w:t>n</w:t>
      </w:r>
      <w:r w:rsidR="009A7C5A" w:rsidRPr="009A7C5A">
        <w:rPr>
          <w:rFonts w:ascii="Arial" w:eastAsia="Calibri" w:hAnsi="Arial" w:cs="Arial"/>
          <w:sz w:val="22"/>
          <w:szCs w:val="22"/>
        </w:rPr>
        <w:t xml:space="preserve"> required for the fund usage review period, the hub must review the financial documents for red flag indicators of misuse</w:t>
      </w:r>
      <w:r w:rsidR="006B798B">
        <w:rPr>
          <w:rFonts w:ascii="Arial" w:eastAsia="Calibri" w:hAnsi="Arial" w:cs="Arial"/>
          <w:sz w:val="22"/>
          <w:szCs w:val="22"/>
        </w:rPr>
        <w:t>.</w:t>
      </w:r>
      <w:r w:rsidR="0094417E">
        <w:rPr>
          <w:rFonts w:ascii="Arial" w:eastAsia="Calibri" w:hAnsi="Arial" w:cs="Arial"/>
          <w:sz w:val="22"/>
          <w:szCs w:val="22"/>
        </w:rPr>
        <w:t>”</w:t>
      </w:r>
      <w:r w:rsidR="006B798B">
        <w:rPr>
          <w:rFonts w:ascii="Arial" w:eastAsia="Calibri" w:hAnsi="Arial" w:cs="Arial"/>
          <w:sz w:val="22"/>
          <w:szCs w:val="22"/>
        </w:rPr>
        <w:t xml:space="preserve"> </w:t>
      </w:r>
      <w:r w:rsidR="009A7C5A">
        <w:rPr>
          <w:sz w:val="24"/>
          <w:szCs w:val="24"/>
        </w:rPr>
        <w:t xml:space="preserve">Per the manual, that is all we are reviewing them for. </w:t>
      </w:r>
      <w:r w:rsidR="006776D4">
        <w:rPr>
          <w:sz w:val="24"/>
          <w:szCs w:val="24"/>
        </w:rPr>
        <w:t xml:space="preserve">If you have bank statements outside of the </w:t>
      </w:r>
      <w:proofErr w:type="gramStart"/>
      <w:r w:rsidR="009A7C5A">
        <w:rPr>
          <w:sz w:val="24"/>
          <w:szCs w:val="24"/>
        </w:rPr>
        <w:t>time period</w:t>
      </w:r>
      <w:proofErr w:type="gramEnd"/>
      <w:r w:rsidR="009A7C5A">
        <w:rPr>
          <w:sz w:val="24"/>
          <w:szCs w:val="24"/>
        </w:rPr>
        <w:t xml:space="preserve"> requested, you are only looking for Misuse Red Flag indicators. </w:t>
      </w:r>
    </w:p>
    <w:p w14:paraId="22BAE830" w14:textId="776A421D" w:rsidR="009A7C5A" w:rsidRDefault="009A7C5A" w:rsidP="008B2934">
      <w:pPr>
        <w:spacing w:before="0" w:after="0"/>
        <w:rPr>
          <w:sz w:val="24"/>
          <w:szCs w:val="24"/>
        </w:rPr>
      </w:pPr>
    </w:p>
    <w:p w14:paraId="42775A15" w14:textId="061E111E" w:rsidR="009A7C5A" w:rsidRDefault="009A7C5A" w:rsidP="008B2934">
      <w:pPr>
        <w:spacing w:before="0" w:after="0"/>
        <w:rPr>
          <w:sz w:val="24"/>
          <w:szCs w:val="24"/>
        </w:rPr>
      </w:pPr>
      <w:r w:rsidRPr="00992463">
        <w:rPr>
          <w:b/>
          <w:bCs/>
          <w:sz w:val="24"/>
          <w:szCs w:val="24"/>
        </w:rPr>
        <w:t>Question 3</w:t>
      </w:r>
      <w:r w:rsidR="008B2934">
        <w:rPr>
          <w:b/>
          <w:bCs/>
          <w:sz w:val="24"/>
          <w:szCs w:val="24"/>
        </w:rPr>
        <w:t xml:space="preserve">: </w:t>
      </w:r>
      <w:r w:rsidR="00D05063">
        <w:rPr>
          <w:sz w:val="24"/>
          <w:szCs w:val="24"/>
        </w:rPr>
        <w:t>If we have the bank statements and then receive additional statements that fall within that window of time and there is a $900.00 check on the statement, but we did not get a copy of the check</w:t>
      </w:r>
      <w:r w:rsidR="00F0526C">
        <w:rPr>
          <w:sz w:val="24"/>
          <w:szCs w:val="24"/>
        </w:rPr>
        <w:t>, w</w:t>
      </w:r>
      <w:r w:rsidR="00D05063">
        <w:rPr>
          <w:sz w:val="24"/>
          <w:szCs w:val="24"/>
        </w:rPr>
        <w:t xml:space="preserve">ould we need to have the copy of the $900.00 check before we can close the review successfully? </w:t>
      </w:r>
    </w:p>
    <w:p w14:paraId="747589B4" w14:textId="5C30AC75" w:rsidR="00D05063" w:rsidRDefault="00D05063" w:rsidP="008B2934">
      <w:pPr>
        <w:spacing w:before="0" w:after="0"/>
        <w:rPr>
          <w:sz w:val="24"/>
          <w:szCs w:val="24"/>
        </w:rPr>
      </w:pPr>
    </w:p>
    <w:p w14:paraId="2055EC86" w14:textId="76C52F12" w:rsidR="00AA5A8F" w:rsidRDefault="008B2934" w:rsidP="008B2934">
      <w:pPr>
        <w:spacing w:before="0" w:after="0"/>
        <w:rPr>
          <w:sz w:val="24"/>
          <w:szCs w:val="24"/>
        </w:rPr>
      </w:pPr>
      <w:r w:rsidRPr="00011E22">
        <w:rPr>
          <w:rFonts w:cstheme="minorHAnsi"/>
          <w:b/>
          <w:bCs/>
          <w:color w:val="000000"/>
          <w:sz w:val="24"/>
          <w:szCs w:val="24"/>
        </w:rPr>
        <w:t xml:space="preserve">P&amp;F Service </w:t>
      </w:r>
      <w:r w:rsidR="00D05063" w:rsidRPr="00011E22">
        <w:rPr>
          <w:b/>
          <w:bCs/>
          <w:sz w:val="24"/>
          <w:szCs w:val="24"/>
        </w:rPr>
        <w:t>Response</w:t>
      </w:r>
      <w:r w:rsidRPr="00011E22">
        <w:rPr>
          <w:b/>
          <w:bCs/>
          <w:sz w:val="24"/>
          <w:szCs w:val="24"/>
        </w:rPr>
        <w:t xml:space="preserve">: </w:t>
      </w:r>
      <w:r w:rsidR="00D05063" w:rsidRPr="00011E22">
        <w:rPr>
          <w:sz w:val="24"/>
          <w:szCs w:val="24"/>
        </w:rPr>
        <w:t xml:space="preserve">If </w:t>
      </w:r>
      <w:r w:rsidR="00BC4894" w:rsidRPr="00011E22">
        <w:rPr>
          <w:sz w:val="24"/>
          <w:szCs w:val="24"/>
        </w:rPr>
        <w:t xml:space="preserve">you are reviewing a transaction </w:t>
      </w:r>
      <w:r w:rsidR="00D05063" w:rsidRPr="00011E22">
        <w:rPr>
          <w:sz w:val="24"/>
          <w:szCs w:val="24"/>
        </w:rPr>
        <w:t xml:space="preserve">that falls within </w:t>
      </w:r>
      <w:r w:rsidR="00F0526C" w:rsidRPr="00011E22">
        <w:rPr>
          <w:sz w:val="24"/>
          <w:szCs w:val="24"/>
        </w:rPr>
        <w:t xml:space="preserve">the </w:t>
      </w:r>
      <w:proofErr w:type="gramStart"/>
      <w:r w:rsidR="00D05063" w:rsidRPr="00011E22">
        <w:rPr>
          <w:sz w:val="24"/>
          <w:szCs w:val="24"/>
        </w:rPr>
        <w:t>time period</w:t>
      </w:r>
      <w:proofErr w:type="gramEnd"/>
      <w:r w:rsidR="00F0526C" w:rsidRPr="00011E22">
        <w:rPr>
          <w:sz w:val="24"/>
          <w:szCs w:val="24"/>
        </w:rPr>
        <w:t xml:space="preserve"> </w:t>
      </w:r>
      <w:r w:rsidR="00AA5A8F" w:rsidRPr="00011E22">
        <w:rPr>
          <w:sz w:val="24"/>
          <w:szCs w:val="24"/>
        </w:rPr>
        <w:t xml:space="preserve">you need to get that check before </w:t>
      </w:r>
      <w:r w:rsidR="00BC4894" w:rsidRPr="00011E22">
        <w:rPr>
          <w:sz w:val="24"/>
          <w:szCs w:val="24"/>
        </w:rPr>
        <w:t xml:space="preserve">the accounting </w:t>
      </w:r>
      <w:proofErr w:type="gramStart"/>
      <w:r w:rsidR="00BC4894" w:rsidRPr="00011E22">
        <w:rPr>
          <w:sz w:val="24"/>
          <w:szCs w:val="24"/>
        </w:rPr>
        <w:t>or</w:t>
      </w:r>
      <w:r w:rsidR="0094417E">
        <w:rPr>
          <w:sz w:val="24"/>
          <w:szCs w:val="24"/>
        </w:rPr>
        <w:t>,</w:t>
      </w:r>
      <w:proofErr w:type="gramEnd"/>
      <w:r w:rsidR="00BC4894" w:rsidRPr="00011E22">
        <w:rPr>
          <w:sz w:val="24"/>
          <w:szCs w:val="24"/>
        </w:rPr>
        <w:t xml:space="preserve"> FUR</w:t>
      </w:r>
      <w:r w:rsidR="00AA5A8F" w:rsidRPr="00011E22">
        <w:rPr>
          <w:sz w:val="24"/>
          <w:szCs w:val="24"/>
        </w:rPr>
        <w:t xml:space="preserve"> can be approved.</w:t>
      </w:r>
    </w:p>
    <w:p w14:paraId="3DF59AD2" w14:textId="77777777" w:rsidR="00AA5A8F" w:rsidRDefault="00AA5A8F" w:rsidP="008B2934">
      <w:pPr>
        <w:spacing w:before="0" w:after="0"/>
        <w:rPr>
          <w:sz w:val="24"/>
          <w:szCs w:val="24"/>
        </w:rPr>
      </w:pPr>
    </w:p>
    <w:p w14:paraId="31992DDD" w14:textId="049DA4FE" w:rsidR="00AA5A8F" w:rsidRDefault="00AA5A8F" w:rsidP="008B2934">
      <w:pPr>
        <w:spacing w:before="0" w:after="0"/>
        <w:rPr>
          <w:sz w:val="24"/>
          <w:szCs w:val="24"/>
        </w:rPr>
      </w:pPr>
      <w:r w:rsidRPr="00992463">
        <w:rPr>
          <w:b/>
          <w:bCs/>
          <w:sz w:val="24"/>
          <w:szCs w:val="24"/>
        </w:rPr>
        <w:t>Question 4</w:t>
      </w:r>
      <w:r w:rsidR="008B2934">
        <w:rPr>
          <w:b/>
          <w:bCs/>
          <w:sz w:val="24"/>
          <w:szCs w:val="24"/>
        </w:rPr>
        <w:t xml:space="preserve">: </w:t>
      </w:r>
      <w:r>
        <w:rPr>
          <w:sz w:val="24"/>
          <w:szCs w:val="24"/>
        </w:rPr>
        <w:t xml:space="preserve">If you have the bank statements and receive additional months that have transactions </w:t>
      </w:r>
      <w:proofErr w:type="gramStart"/>
      <w:r>
        <w:rPr>
          <w:sz w:val="24"/>
          <w:szCs w:val="24"/>
        </w:rPr>
        <w:t>listed that</w:t>
      </w:r>
      <w:proofErr w:type="gramEnd"/>
      <w:r>
        <w:rPr>
          <w:sz w:val="24"/>
          <w:szCs w:val="24"/>
        </w:rPr>
        <w:t xml:space="preserve"> on them, we are responsible for gathering the additional information for the additional months before we can complete the review?</w:t>
      </w:r>
    </w:p>
    <w:p w14:paraId="650FACF4" w14:textId="77777777" w:rsidR="00AA5A8F" w:rsidRDefault="00AA5A8F" w:rsidP="008B2934">
      <w:pPr>
        <w:spacing w:before="0" w:after="0"/>
        <w:rPr>
          <w:sz w:val="24"/>
          <w:szCs w:val="24"/>
        </w:rPr>
      </w:pPr>
    </w:p>
    <w:p w14:paraId="77FF61D2" w14:textId="5030BAD1" w:rsidR="00992463" w:rsidRPr="00992463" w:rsidRDefault="008B2934" w:rsidP="008B2934">
      <w:pPr>
        <w:spacing w:before="0" w:after="0"/>
        <w:rPr>
          <w:sz w:val="24"/>
          <w:szCs w:val="24"/>
        </w:rPr>
      </w:pPr>
      <w:r w:rsidRPr="0099415F">
        <w:rPr>
          <w:rFonts w:cstheme="minorHAnsi"/>
          <w:b/>
          <w:bCs/>
          <w:color w:val="000000"/>
          <w:sz w:val="24"/>
          <w:szCs w:val="24"/>
        </w:rPr>
        <w:t xml:space="preserve">P&amp;F Service </w:t>
      </w:r>
      <w:r w:rsidR="00AA5A8F" w:rsidRPr="00992463">
        <w:rPr>
          <w:b/>
          <w:bCs/>
          <w:sz w:val="24"/>
          <w:szCs w:val="24"/>
        </w:rPr>
        <w:t>Response</w:t>
      </w:r>
      <w:r>
        <w:rPr>
          <w:b/>
          <w:bCs/>
          <w:sz w:val="24"/>
          <w:szCs w:val="24"/>
        </w:rPr>
        <w:t xml:space="preserve">: </w:t>
      </w:r>
      <w:r w:rsidR="00992463">
        <w:rPr>
          <w:sz w:val="24"/>
          <w:szCs w:val="24"/>
        </w:rPr>
        <w:t xml:space="preserve">All transactions and bank statements reviewed need to be included in the completion letter. </w:t>
      </w:r>
      <w:r w:rsidR="00992463" w:rsidRPr="00992463">
        <w:rPr>
          <w:sz w:val="24"/>
          <w:szCs w:val="24"/>
        </w:rPr>
        <w:t xml:space="preserve">The case review was based on an error cited </w:t>
      </w:r>
      <w:proofErr w:type="gramStart"/>
      <w:r w:rsidR="00992463" w:rsidRPr="00992463">
        <w:rPr>
          <w:sz w:val="24"/>
          <w:szCs w:val="24"/>
        </w:rPr>
        <w:t>on</w:t>
      </w:r>
      <w:proofErr w:type="gramEnd"/>
      <w:r w:rsidR="00992463" w:rsidRPr="00992463">
        <w:rPr>
          <w:sz w:val="24"/>
          <w:szCs w:val="24"/>
        </w:rPr>
        <w:t xml:space="preserve"> a fund usage review where the hub did not receive financial statements for the period up through at least one month prior to the date of the Fund Usage Due Letter dated July 25, 2022. Financial statements received were through June 12, 2022. Per FPM 1.6.B.2.b, financial documents must be received showing transactions at least through June 25, 2022, not just the month of June. FPM 1.6.B.2.b provides an example that clearly indicates the day of the month is just as important as the month itself.  </w:t>
      </w:r>
    </w:p>
    <w:p w14:paraId="1B589ECA" w14:textId="77777777" w:rsidR="00992463" w:rsidRPr="00992463" w:rsidRDefault="00992463" w:rsidP="008B2934">
      <w:pPr>
        <w:spacing w:before="0" w:after="0"/>
        <w:rPr>
          <w:sz w:val="24"/>
          <w:szCs w:val="24"/>
        </w:rPr>
      </w:pPr>
    </w:p>
    <w:p w14:paraId="5254FE43" w14:textId="4167B4A1" w:rsidR="00D05063" w:rsidRDefault="00992463" w:rsidP="008B2934">
      <w:pPr>
        <w:spacing w:before="0" w:after="0"/>
        <w:rPr>
          <w:sz w:val="24"/>
          <w:szCs w:val="24"/>
        </w:rPr>
      </w:pPr>
      <w:r w:rsidRPr="00992463">
        <w:rPr>
          <w:sz w:val="24"/>
          <w:szCs w:val="24"/>
        </w:rPr>
        <w:lastRenderedPageBreak/>
        <w:t>Example: If the Fund Usage Due Letter is dated November 1, 2020, the earliest three-month financial statement transaction period allowable is July 1, 2020, to October 1, 2020.  The statement transaction dates may be any consecutive three-month period between July 1, 2020, and December 1, 2020. The due date for submitting these financial statements is December 1, 2020.</w:t>
      </w:r>
    </w:p>
    <w:p w14:paraId="0BDA336A" w14:textId="77777777" w:rsidR="00A56FBC" w:rsidRPr="00D429B5" w:rsidRDefault="00A56FBC" w:rsidP="008B2934">
      <w:pPr>
        <w:spacing w:before="0" w:after="0"/>
        <w:rPr>
          <w:sz w:val="24"/>
          <w:szCs w:val="24"/>
        </w:rPr>
      </w:pP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F15EBC" w:rsidRPr="00D60069" w14:paraId="1C51ADAB" w14:textId="77777777" w:rsidTr="003A3841">
        <w:tc>
          <w:tcPr>
            <w:tcW w:w="1620" w:type="dxa"/>
          </w:tcPr>
          <w:bookmarkEnd w:id="3"/>
          <w:p w14:paraId="12626D14" w14:textId="77777777" w:rsidR="00F15EBC" w:rsidRPr="00075FC0" w:rsidRDefault="00000000" w:rsidP="003A3841">
            <w:pPr>
              <w:pStyle w:val="Heading2"/>
              <w:rPr>
                <w:color w:val="8064A2" w:themeColor="accent4"/>
              </w:rPr>
            </w:pPr>
            <w:sdt>
              <w:sdtPr>
                <w:rPr>
                  <w:color w:val="8064A2" w:themeColor="accent4"/>
                </w:rPr>
                <w:id w:val="1322472255"/>
                <w:placeholder>
                  <w:docPart w:val="63F8F156A0BA49FD94B529EB45F4DDD9"/>
                </w:placeholder>
                <w:temporary/>
                <w:showingPlcHdr/>
                <w15:appearance w15:val="hidden"/>
              </w:sdtPr>
              <w:sdtContent>
                <w:r w:rsidR="00F15EBC" w:rsidRPr="00075FC0">
                  <w:rPr>
                    <w:color w:val="8064A2" w:themeColor="accent4"/>
                    <w:sz w:val="24"/>
                    <w:szCs w:val="24"/>
                  </w:rPr>
                  <w:t>Agenda item:</w:t>
                </w:r>
              </w:sdtContent>
            </w:sdt>
          </w:p>
        </w:tc>
        <w:tc>
          <w:tcPr>
            <w:tcW w:w="4970" w:type="dxa"/>
          </w:tcPr>
          <w:p w14:paraId="64FF6032" w14:textId="16206311" w:rsidR="00F15EBC" w:rsidRPr="007E4418" w:rsidRDefault="00B43162" w:rsidP="003A3841">
            <w:pPr>
              <w:rPr>
                <w:color w:val="8064A2" w:themeColor="accent4"/>
                <w:sz w:val="24"/>
                <w:szCs w:val="24"/>
              </w:rPr>
            </w:pPr>
            <w:bookmarkStart w:id="5" w:name="FOUR_"/>
            <w:bookmarkEnd w:id="5"/>
            <w:r>
              <w:rPr>
                <w:rFonts w:asciiTheme="majorHAnsi" w:eastAsiaTheme="majorEastAsia" w:hAnsiTheme="majorHAnsi" w:cs="Arial"/>
                <w:bCs/>
                <w:iCs/>
                <w:color w:val="8064A2" w:themeColor="accent4"/>
                <w:sz w:val="24"/>
                <w:szCs w:val="24"/>
              </w:rPr>
              <w:t xml:space="preserve">Interactive Discussion </w:t>
            </w:r>
            <w:r w:rsidR="00515F55">
              <w:rPr>
                <w:rFonts w:asciiTheme="majorHAnsi" w:eastAsiaTheme="majorEastAsia" w:hAnsiTheme="majorHAnsi" w:cs="Arial"/>
                <w:bCs/>
                <w:iCs/>
                <w:color w:val="8064A2" w:themeColor="accent4"/>
                <w:sz w:val="24"/>
                <w:szCs w:val="24"/>
              </w:rPr>
              <w:t>on</w:t>
            </w:r>
            <w:r>
              <w:rPr>
                <w:rFonts w:asciiTheme="majorHAnsi" w:eastAsiaTheme="majorEastAsia" w:hAnsiTheme="majorHAnsi" w:cs="Arial"/>
                <w:bCs/>
                <w:iCs/>
                <w:color w:val="8064A2" w:themeColor="accent4"/>
                <w:sz w:val="24"/>
                <w:szCs w:val="24"/>
              </w:rPr>
              <w:t xml:space="preserve"> Promulgation</w:t>
            </w:r>
          </w:p>
        </w:tc>
        <w:tc>
          <w:tcPr>
            <w:tcW w:w="1324" w:type="dxa"/>
          </w:tcPr>
          <w:p w14:paraId="341A4664" w14:textId="77777777" w:rsidR="00F15EBC" w:rsidRPr="00075FC0" w:rsidRDefault="00000000" w:rsidP="003A3841">
            <w:pPr>
              <w:pStyle w:val="Heading2"/>
              <w:rPr>
                <w:color w:val="8064A2" w:themeColor="accent4"/>
              </w:rPr>
            </w:pPr>
            <w:sdt>
              <w:sdtPr>
                <w:rPr>
                  <w:color w:val="8064A2" w:themeColor="accent4"/>
                </w:rPr>
                <w:id w:val="-295382365"/>
                <w:placeholder>
                  <w:docPart w:val="B9AD265B8BA14DF9BFC87494C85D00AA"/>
                </w:placeholder>
                <w:temporary/>
                <w:showingPlcHdr/>
                <w15:appearance w15:val="hidden"/>
              </w:sdtPr>
              <w:sdtContent>
                <w:r w:rsidR="00F15EBC" w:rsidRPr="00075FC0">
                  <w:rPr>
                    <w:color w:val="8064A2" w:themeColor="accent4"/>
                    <w:sz w:val="24"/>
                    <w:szCs w:val="24"/>
                  </w:rPr>
                  <w:t>Presenter:</w:t>
                </w:r>
              </w:sdtContent>
            </w:sdt>
          </w:p>
        </w:tc>
        <w:tc>
          <w:tcPr>
            <w:tcW w:w="2310" w:type="dxa"/>
          </w:tcPr>
          <w:p w14:paraId="6F0B3734" w14:textId="647E83A2" w:rsidR="00F15EBC" w:rsidRPr="007E4418" w:rsidRDefault="00D97296" w:rsidP="003A3841">
            <w:pPr>
              <w:rPr>
                <w:color w:val="8064A2" w:themeColor="accent4"/>
                <w:sz w:val="24"/>
                <w:szCs w:val="24"/>
              </w:rPr>
            </w:pPr>
            <w:r>
              <w:rPr>
                <w:color w:val="8064A2" w:themeColor="accent4"/>
                <w:sz w:val="24"/>
                <w:szCs w:val="24"/>
              </w:rPr>
              <w:t>Glenda Russell, Analyst</w:t>
            </w:r>
          </w:p>
        </w:tc>
      </w:tr>
    </w:tbl>
    <w:p w14:paraId="048042A1" w14:textId="77777777" w:rsidR="00F15EBC" w:rsidRPr="00075FC0" w:rsidRDefault="00F15EBC" w:rsidP="00F15EBC">
      <w:pPr>
        <w:pStyle w:val="Heading4"/>
        <w:rPr>
          <w:color w:val="548DD4" w:themeColor="text2" w:themeTint="99"/>
          <w:sz w:val="24"/>
          <w:szCs w:val="24"/>
        </w:rPr>
      </w:pPr>
      <w:r w:rsidRPr="00075FC0">
        <w:rPr>
          <w:color w:val="548DD4" w:themeColor="text2" w:themeTint="99"/>
          <w:sz w:val="24"/>
          <w:szCs w:val="24"/>
        </w:rPr>
        <w:t>Target Audience:</w:t>
      </w:r>
    </w:p>
    <w:p w14:paraId="4691F1B1" w14:textId="77777777" w:rsidR="00E2063C" w:rsidRDefault="00E2063C" w:rsidP="00E2063C">
      <w:pPr>
        <w:pStyle w:val="Heading4"/>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676921DB" w14:textId="77777777" w:rsidR="00F15EBC" w:rsidRPr="005537F7" w:rsidRDefault="00F15EBC" w:rsidP="008B2934">
      <w:pPr>
        <w:pStyle w:val="Heading4"/>
        <w:spacing w:before="0" w:after="0"/>
        <w:rPr>
          <w:sz w:val="24"/>
          <w:szCs w:val="24"/>
        </w:rPr>
      </w:pPr>
      <w:r w:rsidRPr="005537F7">
        <w:rPr>
          <w:sz w:val="24"/>
          <w:szCs w:val="24"/>
        </w:rPr>
        <w:t>Discussion:</w:t>
      </w:r>
    </w:p>
    <w:p w14:paraId="519ED2BF" w14:textId="77777777" w:rsidR="008B2934" w:rsidRDefault="008B2934" w:rsidP="008B2934">
      <w:pPr>
        <w:spacing w:before="0" w:after="0"/>
        <w:rPr>
          <w:sz w:val="24"/>
          <w:szCs w:val="24"/>
        </w:rPr>
      </w:pPr>
    </w:p>
    <w:p w14:paraId="49837ADB" w14:textId="39356CE1" w:rsidR="00047521" w:rsidRDefault="00E2063C" w:rsidP="008B2934">
      <w:pPr>
        <w:spacing w:before="0" w:after="0"/>
        <w:rPr>
          <w:sz w:val="24"/>
          <w:szCs w:val="24"/>
        </w:rPr>
      </w:pPr>
      <w:r>
        <w:rPr>
          <w:sz w:val="24"/>
          <w:szCs w:val="24"/>
        </w:rPr>
        <w:t>P&amp;F Service engage</w:t>
      </w:r>
      <w:r w:rsidR="00BB3DF9">
        <w:rPr>
          <w:sz w:val="24"/>
          <w:szCs w:val="24"/>
        </w:rPr>
        <w:t>d</w:t>
      </w:r>
      <w:r>
        <w:rPr>
          <w:sz w:val="24"/>
          <w:szCs w:val="24"/>
        </w:rPr>
        <w:t xml:space="preserve"> in a discussion with the field regarding their </w:t>
      </w:r>
      <w:r w:rsidR="00B9358A">
        <w:rPr>
          <w:sz w:val="24"/>
          <w:szCs w:val="24"/>
        </w:rPr>
        <w:t>reflections and views</w:t>
      </w:r>
      <w:r>
        <w:rPr>
          <w:sz w:val="24"/>
          <w:szCs w:val="24"/>
        </w:rPr>
        <w:t xml:space="preserve"> on the promulgation reviews seen in their hubs and where oversight can benefit best with these cases.</w:t>
      </w:r>
    </w:p>
    <w:p w14:paraId="33419D18" w14:textId="77777777" w:rsidR="00F15EBC" w:rsidRPr="005537F7" w:rsidRDefault="00F15EBC" w:rsidP="008B2934">
      <w:pPr>
        <w:spacing w:before="0" w:after="0"/>
        <w:rPr>
          <w:sz w:val="24"/>
          <w:szCs w:val="24"/>
        </w:rPr>
      </w:pP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4641"/>
        <w:gridCol w:w="4152"/>
        <w:gridCol w:w="1431"/>
      </w:tblGrid>
      <w:tr w:rsidR="00F15EBC" w:rsidRPr="00D60069" w14:paraId="6B2BB114" w14:textId="77777777" w:rsidTr="003A3841">
        <w:trPr>
          <w:tblHeader/>
        </w:trPr>
        <w:tc>
          <w:tcPr>
            <w:tcW w:w="4641" w:type="dxa"/>
            <w:vAlign w:val="bottom"/>
          </w:tcPr>
          <w:p w14:paraId="77347124" w14:textId="77777777" w:rsidR="00F15EBC" w:rsidRPr="005537F7" w:rsidRDefault="00F15EBC" w:rsidP="003A3841">
            <w:pPr>
              <w:pStyle w:val="Heading2"/>
              <w:spacing w:after="80"/>
              <w:rPr>
                <w:sz w:val="24"/>
                <w:szCs w:val="24"/>
              </w:rPr>
            </w:pPr>
            <w:r w:rsidRPr="005537F7">
              <w:rPr>
                <w:sz w:val="24"/>
                <w:szCs w:val="24"/>
              </w:rPr>
              <w:t>References/Contacts</w:t>
            </w:r>
          </w:p>
        </w:tc>
        <w:tc>
          <w:tcPr>
            <w:tcW w:w="4152" w:type="dxa"/>
            <w:vAlign w:val="bottom"/>
          </w:tcPr>
          <w:p w14:paraId="31E56099" w14:textId="77777777" w:rsidR="00F15EBC" w:rsidRPr="00D60069" w:rsidRDefault="00F15EBC" w:rsidP="003A3841">
            <w:pPr>
              <w:pStyle w:val="Heading2"/>
              <w:spacing w:after="80"/>
            </w:pPr>
          </w:p>
        </w:tc>
        <w:tc>
          <w:tcPr>
            <w:tcW w:w="1431" w:type="dxa"/>
            <w:vAlign w:val="bottom"/>
          </w:tcPr>
          <w:p w14:paraId="47B7A46C" w14:textId="77777777" w:rsidR="00F15EBC" w:rsidRPr="00D60069" w:rsidRDefault="00F15EBC" w:rsidP="003A3841">
            <w:pPr>
              <w:pStyle w:val="Heading2"/>
              <w:spacing w:after="80"/>
            </w:pPr>
          </w:p>
        </w:tc>
      </w:tr>
      <w:tr w:rsidR="00E2063C" w:rsidRPr="00D60069" w14:paraId="37F46BD1" w14:textId="77777777" w:rsidTr="007B4A8D">
        <w:tc>
          <w:tcPr>
            <w:tcW w:w="8793" w:type="dxa"/>
            <w:gridSpan w:val="2"/>
          </w:tcPr>
          <w:p w14:paraId="4C01AAFB" w14:textId="7A8513F2" w:rsidR="00E2063C" w:rsidRPr="00E2063C" w:rsidRDefault="00E2063C" w:rsidP="00E2063C">
            <w:pPr>
              <w:pStyle w:val="ListParagraph"/>
              <w:numPr>
                <w:ilvl w:val="0"/>
                <w:numId w:val="23"/>
              </w:numPr>
              <w:spacing w:before="0"/>
              <w:rPr>
                <w:sz w:val="24"/>
                <w:szCs w:val="24"/>
              </w:rPr>
            </w:pPr>
            <w:r w:rsidRPr="00E2063C">
              <w:rPr>
                <w:sz w:val="24"/>
                <w:szCs w:val="24"/>
              </w:rPr>
              <w:t>I.1.B.7.</w:t>
            </w:r>
            <w:r>
              <w:rPr>
                <w:sz w:val="24"/>
                <w:szCs w:val="24"/>
              </w:rPr>
              <w:t>a.</w:t>
            </w:r>
            <w:r w:rsidRPr="00E2063C">
              <w:rPr>
                <w:sz w:val="24"/>
                <w:szCs w:val="24"/>
              </w:rPr>
              <w:t xml:space="preserve"> General FSR Responsibilities</w:t>
            </w:r>
          </w:p>
        </w:tc>
        <w:tc>
          <w:tcPr>
            <w:tcW w:w="1431" w:type="dxa"/>
          </w:tcPr>
          <w:p w14:paraId="7709399E" w14:textId="5EFC0BFF" w:rsidR="00E2063C" w:rsidRPr="00D60069" w:rsidRDefault="00E2063C" w:rsidP="00F31E9F">
            <w:pPr>
              <w:spacing w:after="80"/>
            </w:pPr>
          </w:p>
        </w:tc>
      </w:tr>
      <w:tr w:rsidR="00E2063C" w:rsidRPr="00D60069" w14:paraId="751F9EDD" w14:textId="77777777" w:rsidTr="007B4A8D">
        <w:tc>
          <w:tcPr>
            <w:tcW w:w="8793" w:type="dxa"/>
            <w:gridSpan w:val="2"/>
          </w:tcPr>
          <w:p w14:paraId="345CFDF9" w14:textId="23E9095E" w:rsidR="00E2063C" w:rsidRPr="00E2063C" w:rsidRDefault="00E2063C" w:rsidP="00E2063C">
            <w:pPr>
              <w:pStyle w:val="ListParagraph"/>
              <w:numPr>
                <w:ilvl w:val="0"/>
                <w:numId w:val="23"/>
              </w:numPr>
              <w:spacing w:before="0"/>
              <w:rPr>
                <w:sz w:val="24"/>
                <w:szCs w:val="24"/>
              </w:rPr>
            </w:pPr>
            <w:r w:rsidRPr="00E2063C">
              <w:rPr>
                <w:sz w:val="24"/>
                <w:szCs w:val="24"/>
              </w:rPr>
              <w:t>I.1.B.7.</w:t>
            </w:r>
            <w:r>
              <w:rPr>
                <w:sz w:val="24"/>
                <w:szCs w:val="24"/>
              </w:rPr>
              <w:t>b. Competency Determinations</w:t>
            </w:r>
          </w:p>
        </w:tc>
        <w:tc>
          <w:tcPr>
            <w:tcW w:w="1431" w:type="dxa"/>
          </w:tcPr>
          <w:p w14:paraId="6E8811CC" w14:textId="77777777" w:rsidR="00E2063C" w:rsidRPr="00D60069" w:rsidRDefault="00E2063C" w:rsidP="00F31E9F"/>
        </w:tc>
      </w:tr>
      <w:tr w:rsidR="00E2063C" w:rsidRPr="00D60069" w14:paraId="7E8DE59A" w14:textId="77777777" w:rsidTr="007B4A8D">
        <w:tc>
          <w:tcPr>
            <w:tcW w:w="8793" w:type="dxa"/>
            <w:gridSpan w:val="2"/>
          </w:tcPr>
          <w:p w14:paraId="5F1E24EE" w14:textId="474FF57C" w:rsidR="00E2063C" w:rsidRPr="00E2063C" w:rsidRDefault="00E2063C" w:rsidP="00E2063C">
            <w:pPr>
              <w:pStyle w:val="ListParagraph"/>
              <w:numPr>
                <w:ilvl w:val="0"/>
                <w:numId w:val="23"/>
              </w:numPr>
              <w:spacing w:before="0"/>
              <w:rPr>
                <w:sz w:val="24"/>
                <w:szCs w:val="24"/>
              </w:rPr>
            </w:pPr>
            <w:r w:rsidRPr="00E2063C">
              <w:rPr>
                <w:sz w:val="24"/>
                <w:szCs w:val="24"/>
              </w:rPr>
              <w:t>I.1.B.7.</w:t>
            </w:r>
            <w:r>
              <w:rPr>
                <w:sz w:val="24"/>
                <w:szCs w:val="24"/>
              </w:rPr>
              <w:t>c. Fiduciary Appointment Responsibilities</w:t>
            </w:r>
          </w:p>
        </w:tc>
        <w:tc>
          <w:tcPr>
            <w:tcW w:w="1431" w:type="dxa"/>
          </w:tcPr>
          <w:p w14:paraId="227BB2FA" w14:textId="77777777" w:rsidR="00E2063C" w:rsidRPr="00D60069" w:rsidRDefault="00E2063C" w:rsidP="00F31E9F"/>
        </w:tc>
      </w:tr>
      <w:tr w:rsidR="00E2063C" w:rsidRPr="00D60069" w14:paraId="6DD9D175" w14:textId="77777777" w:rsidTr="007B4A8D">
        <w:tc>
          <w:tcPr>
            <w:tcW w:w="8793" w:type="dxa"/>
            <w:gridSpan w:val="2"/>
          </w:tcPr>
          <w:p w14:paraId="35F337B8" w14:textId="073B1354" w:rsidR="00E2063C" w:rsidRPr="00E2063C" w:rsidRDefault="00E2063C" w:rsidP="00E2063C">
            <w:pPr>
              <w:pStyle w:val="ListParagraph"/>
              <w:numPr>
                <w:ilvl w:val="0"/>
                <w:numId w:val="23"/>
              </w:numPr>
              <w:spacing w:before="0"/>
              <w:rPr>
                <w:sz w:val="24"/>
                <w:szCs w:val="24"/>
              </w:rPr>
            </w:pPr>
            <w:r w:rsidRPr="00E2063C">
              <w:rPr>
                <w:sz w:val="24"/>
                <w:szCs w:val="24"/>
              </w:rPr>
              <w:t>I.1.B.7.</w:t>
            </w:r>
            <w:r>
              <w:rPr>
                <w:sz w:val="24"/>
                <w:szCs w:val="24"/>
              </w:rPr>
              <w:t>d. Award Action Responsibilities</w:t>
            </w:r>
          </w:p>
        </w:tc>
        <w:tc>
          <w:tcPr>
            <w:tcW w:w="1431" w:type="dxa"/>
          </w:tcPr>
          <w:p w14:paraId="4EAD6A74" w14:textId="77777777" w:rsidR="00E2063C" w:rsidRPr="00D60069" w:rsidRDefault="00E2063C" w:rsidP="00F31E9F"/>
        </w:tc>
      </w:tr>
      <w:tr w:rsidR="00E2063C" w:rsidRPr="00D60069" w14:paraId="5B08C931" w14:textId="77777777" w:rsidTr="007B4A8D">
        <w:tc>
          <w:tcPr>
            <w:tcW w:w="8793" w:type="dxa"/>
            <w:gridSpan w:val="2"/>
          </w:tcPr>
          <w:p w14:paraId="3759742B" w14:textId="77777777" w:rsidR="00E2063C" w:rsidRPr="00E2063C" w:rsidRDefault="00E2063C" w:rsidP="00E2063C">
            <w:pPr>
              <w:pStyle w:val="ListParagraph"/>
              <w:spacing w:before="0"/>
              <w:rPr>
                <w:sz w:val="24"/>
                <w:szCs w:val="24"/>
              </w:rPr>
            </w:pPr>
          </w:p>
        </w:tc>
        <w:tc>
          <w:tcPr>
            <w:tcW w:w="1431" w:type="dxa"/>
          </w:tcPr>
          <w:p w14:paraId="7DCA7573" w14:textId="77777777" w:rsidR="00E2063C" w:rsidRPr="00D60069" w:rsidRDefault="00E2063C" w:rsidP="00F31E9F"/>
        </w:tc>
      </w:tr>
    </w:tbl>
    <w:p w14:paraId="7A45FE47" w14:textId="77777777" w:rsidR="00B43162" w:rsidRPr="005537F7" w:rsidRDefault="00B43162" w:rsidP="00B43162">
      <w:pPr>
        <w:pStyle w:val="Heading1"/>
        <w:rPr>
          <w:color w:val="8064A2" w:themeColor="accent4"/>
        </w:rPr>
      </w:pPr>
      <w:r>
        <w:rPr>
          <w:color w:val="8064A2" w:themeColor="accent4"/>
        </w:rPr>
        <w:t>Q&amp;A</w:t>
      </w:r>
    </w:p>
    <w:p w14:paraId="6829D487" w14:textId="1C913894" w:rsidR="00F15EBC" w:rsidRPr="0099415F" w:rsidRDefault="00F15EBC">
      <w:pPr>
        <w:rPr>
          <w:rFonts w:cstheme="minorHAnsi"/>
          <w:sz w:val="24"/>
          <w:szCs w:val="24"/>
        </w:rPr>
      </w:pPr>
    </w:p>
    <w:p w14:paraId="15549FDC" w14:textId="23858C06" w:rsidR="00F66260" w:rsidRPr="0099415F" w:rsidRDefault="00F66260" w:rsidP="00F66260">
      <w:pPr>
        <w:pStyle w:val="NormalWeb"/>
        <w:rPr>
          <w:rFonts w:asciiTheme="minorHAnsi" w:hAnsiTheme="minorHAnsi" w:cstheme="minorHAnsi"/>
          <w:color w:val="000000"/>
          <w:sz w:val="24"/>
          <w:szCs w:val="24"/>
        </w:rPr>
      </w:pPr>
      <w:r w:rsidRPr="0099415F">
        <w:rPr>
          <w:rFonts w:asciiTheme="minorHAnsi" w:hAnsiTheme="minorHAnsi" w:cstheme="minorHAnsi"/>
          <w:b/>
          <w:bCs/>
          <w:color w:val="000000"/>
          <w:sz w:val="24"/>
          <w:szCs w:val="24"/>
        </w:rPr>
        <w:t xml:space="preserve">Question </w:t>
      </w:r>
      <w:r w:rsidR="008B2934">
        <w:rPr>
          <w:rFonts w:asciiTheme="minorHAnsi" w:hAnsiTheme="minorHAnsi" w:cstheme="minorHAnsi"/>
          <w:b/>
          <w:bCs/>
          <w:color w:val="000000"/>
          <w:sz w:val="24"/>
          <w:szCs w:val="24"/>
        </w:rPr>
        <w:t>1</w:t>
      </w:r>
      <w:r w:rsidRPr="0099415F">
        <w:rPr>
          <w:rFonts w:asciiTheme="minorHAnsi" w:hAnsiTheme="minorHAnsi" w:cstheme="minorHAnsi"/>
          <w:color w:val="000000"/>
          <w:sz w:val="24"/>
          <w:szCs w:val="24"/>
        </w:rPr>
        <w:t>: Is the LIE required to request the fiduciary to obtain documentation from the Social Security Administration about social security fees or can the accounting be approved/disapproved without such documentation?</w:t>
      </w:r>
    </w:p>
    <w:p w14:paraId="2BB3FD6C" w14:textId="4289606D" w:rsidR="00F66260" w:rsidRPr="0099415F" w:rsidRDefault="00F66260" w:rsidP="00F66260">
      <w:pPr>
        <w:pStyle w:val="NormalWeb"/>
        <w:rPr>
          <w:rFonts w:asciiTheme="minorHAnsi" w:hAnsiTheme="minorHAnsi" w:cstheme="minorHAnsi"/>
          <w:color w:val="000000"/>
          <w:sz w:val="24"/>
          <w:szCs w:val="24"/>
        </w:rPr>
      </w:pPr>
      <w:r w:rsidRPr="0099415F">
        <w:rPr>
          <w:rFonts w:asciiTheme="minorHAnsi" w:hAnsiTheme="minorHAnsi" w:cstheme="minorHAnsi"/>
          <w:b/>
          <w:bCs/>
          <w:color w:val="000000"/>
          <w:sz w:val="24"/>
          <w:szCs w:val="24"/>
        </w:rPr>
        <w:t>P&amp;F Service Response</w:t>
      </w:r>
      <w:r w:rsidRPr="0099415F">
        <w:rPr>
          <w:rFonts w:asciiTheme="minorHAnsi" w:hAnsiTheme="minorHAnsi" w:cstheme="minorHAnsi"/>
          <w:color w:val="000000"/>
          <w:sz w:val="24"/>
          <w:szCs w:val="24"/>
        </w:rPr>
        <w:t xml:space="preserve">: Generally, the LIE is not required to request documentation from the fiduciary about social security fees before an accounting can be approved or disapproved. Fees for services in connection with SSA funds is, in and of itself, not a questionable expense as outlined in FPM, Part I, 3.C.3.e. Documentation to support the authorization of this fee is not necessary unless there is reason to question the expense, such as when the expense is not consistently recurring or there are discrepancies in the information provided. </w:t>
      </w:r>
    </w:p>
    <w:p w14:paraId="6A857118" w14:textId="65B82F09" w:rsidR="00F66260" w:rsidRDefault="00F66260" w:rsidP="00F66260">
      <w:pPr>
        <w:pStyle w:val="NormalWeb"/>
        <w:rPr>
          <w:rFonts w:asciiTheme="minorHAnsi" w:hAnsiTheme="minorHAnsi" w:cstheme="minorHAnsi"/>
          <w:color w:val="000000"/>
          <w:sz w:val="24"/>
          <w:szCs w:val="24"/>
        </w:rPr>
      </w:pPr>
      <w:r w:rsidRPr="0099415F">
        <w:rPr>
          <w:rFonts w:asciiTheme="minorHAnsi" w:hAnsiTheme="minorHAnsi" w:cstheme="minorHAnsi"/>
          <w:color w:val="000000"/>
          <w:sz w:val="24"/>
          <w:szCs w:val="24"/>
        </w:rPr>
        <w:t xml:space="preserve">Validating expenses is done through use of financial institution documents as outlined in FPM, Part I, 3.C.3.h. If questionable, the LIE must contact the fiduciary, financial institutions, family members, and/or the beneficiary for additional information or obtain additional evidence to justify the expense per FPM, Part I, 3.C.3.f. This may or may not result in requesting documentation about the fees from SSA through the fiduciary, depending on the situation. It is important to note that fees in connection with services as a representative for SSA funds </w:t>
      </w:r>
      <w:proofErr w:type="gramStart"/>
      <w:r w:rsidRPr="0099415F">
        <w:rPr>
          <w:rFonts w:asciiTheme="minorHAnsi" w:hAnsiTheme="minorHAnsi" w:cstheme="minorHAnsi"/>
          <w:color w:val="000000"/>
          <w:sz w:val="24"/>
          <w:szCs w:val="24"/>
        </w:rPr>
        <w:t>is</w:t>
      </w:r>
      <w:proofErr w:type="gramEnd"/>
      <w:r w:rsidRPr="0099415F">
        <w:rPr>
          <w:rFonts w:asciiTheme="minorHAnsi" w:hAnsiTheme="minorHAnsi" w:cstheme="minorHAnsi"/>
          <w:color w:val="000000"/>
          <w:sz w:val="24"/>
          <w:szCs w:val="24"/>
        </w:rPr>
        <w:t xml:space="preserve"> not a valid expense of VA benefit funds. If a VA appointed fiduciary is also managing SSA funds for the same beneficiary but the SSA funds are being deducted exclusively from the VA benefit funds, the expense is to be denied without the need for any clarification or documentation.</w:t>
      </w:r>
    </w:p>
    <w:p w14:paraId="0CAF9D50" w14:textId="4144ED59" w:rsidR="00F66260" w:rsidRPr="0099415F" w:rsidRDefault="00F66260" w:rsidP="00F66260">
      <w:pPr>
        <w:pStyle w:val="NormalWeb"/>
        <w:rPr>
          <w:rFonts w:asciiTheme="minorHAnsi" w:hAnsiTheme="minorHAnsi" w:cstheme="minorHAnsi"/>
          <w:color w:val="000000"/>
          <w:sz w:val="24"/>
          <w:szCs w:val="24"/>
        </w:rPr>
      </w:pPr>
      <w:r w:rsidRPr="0099415F">
        <w:rPr>
          <w:rFonts w:asciiTheme="minorHAnsi" w:hAnsiTheme="minorHAnsi" w:cstheme="minorHAnsi"/>
          <w:b/>
          <w:bCs/>
          <w:color w:val="000000"/>
          <w:sz w:val="24"/>
          <w:szCs w:val="24"/>
        </w:rPr>
        <w:lastRenderedPageBreak/>
        <w:t xml:space="preserve">Question </w:t>
      </w:r>
      <w:r w:rsidR="008B2934">
        <w:rPr>
          <w:rFonts w:asciiTheme="minorHAnsi" w:hAnsiTheme="minorHAnsi" w:cstheme="minorHAnsi"/>
          <w:b/>
          <w:bCs/>
          <w:color w:val="000000"/>
          <w:sz w:val="24"/>
          <w:szCs w:val="24"/>
        </w:rPr>
        <w:t>2</w:t>
      </w:r>
      <w:r w:rsidRPr="0099415F">
        <w:rPr>
          <w:rFonts w:asciiTheme="minorHAnsi" w:hAnsiTheme="minorHAnsi" w:cstheme="minorHAnsi"/>
          <w:color w:val="000000"/>
          <w:sz w:val="24"/>
          <w:szCs w:val="24"/>
        </w:rPr>
        <w:t xml:space="preserve">: </w:t>
      </w:r>
      <w:r w:rsidR="004057BB" w:rsidRPr="0099415F">
        <w:rPr>
          <w:rFonts w:asciiTheme="minorHAnsi" w:eastAsia="Times New Roman" w:hAnsiTheme="minorHAnsi" w:cstheme="minorHAnsi"/>
          <w:sz w:val="24"/>
          <w:szCs w:val="24"/>
        </w:rPr>
        <w:t>Is it P&amp;F Service’s intent that a green CBI result is sufficiently documented by responding Yes to the “Criminal background check completed?” and by not checking any of the “Identify bars to service” in the Credit and Criminal Background Inquiry section of the VBMS Field Examination Report.</w:t>
      </w:r>
    </w:p>
    <w:p w14:paraId="2627355B" w14:textId="56433E07" w:rsidR="004057BB" w:rsidRPr="0099415F" w:rsidRDefault="004057BB" w:rsidP="004057BB">
      <w:pPr>
        <w:rPr>
          <w:rFonts w:eastAsia="Calibri" w:cstheme="minorHAnsi"/>
          <w:sz w:val="24"/>
          <w:szCs w:val="24"/>
        </w:rPr>
      </w:pPr>
      <w:r w:rsidRPr="0099415F">
        <w:rPr>
          <w:rFonts w:cstheme="minorHAnsi"/>
          <w:b/>
          <w:bCs/>
          <w:sz w:val="24"/>
          <w:szCs w:val="24"/>
        </w:rPr>
        <w:t>P&amp;F Service Response</w:t>
      </w:r>
      <w:r w:rsidRPr="0099415F">
        <w:rPr>
          <w:rFonts w:cstheme="minorHAnsi"/>
          <w:sz w:val="24"/>
          <w:szCs w:val="24"/>
        </w:rPr>
        <w:t xml:space="preserve">: </w:t>
      </w:r>
      <w:hyperlink r:id="rId12" w:history="1">
        <w:r w:rsidRPr="0099415F">
          <w:rPr>
            <w:rFonts w:eastAsia="Calibri" w:cstheme="minorHAnsi"/>
            <w:color w:val="0563C1"/>
            <w:sz w:val="24"/>
            <w:szCs w:val="24"/>
            <w:u w:val="single"/>
          </w:rPr>
          <w:t>FPM, Part I, 2.C.5.k</w:t>
        </w:r>
      </w:hyperlink>
      <w:r w:rsidRPr="0099415F">
        <w:rPr>
          <w:rFonts w:eastAsia="Calibri" w:cstheme="minorHAnsi"/>
          <w:sz w:val="24"/>
          <w:szCs w:val="24"/>
        </w:rPr>
        <w:t xml:space="preserve"> provides that if the CLEAR calculated risk result is green, the proposed fiduciary is considered a low risk, and the FE must document the green result in the field examination. Therefore, simply indicating that the CBI was completed does not meet the requirements of </w:t>
      </w:r>
      <w:hyperlink r:id="rId13" w:history="1">
        <w:r w:rsidRPr="0099415F">
          <w:rPr>
            <w:rFonts w:eastAsia="Calibri" w:cstheme="minorHAnsi"/>
            <w:color w:val="0563C1"/>
            <w:sz w:val="24"/>
            <w:szCs w:val="24"/>
            <w:u w:val="single"/>
          </w:rPr>
          <w:t>FPM, Part I, 2.C.5.k</w:t>
        </w:r>
      </w:hyperlink>
      <w:r w:rsidRPr="0099415F">
        <w:rPr>
          <w:rFonts w:eastAsia="Calibri" w:cstheme="minorHAnsi"/>
          <w:sz w:val="24"/>
          <w:szCs w:val="24"/>
        </w:rPr>
        <w:t xml:space="preserve">. Fiduciary hubs may utilize the COMMENTS AND OBSERVATION SECTION to document the CLEAR calculated risk result within the field examination report. </w:t>
      </w:r>
    </w:p>
    <w:p w14:paraId="6F55BC13" w14:textId="587D7AD2" w:rsidR="00F15EBC" w:rsidRPr="005537F7" w:rsidRDefault="00F15EBC" w:rsidP="00F15EBC">
      <w:pPr>
        <w:pStyle w:val="Heading1"/>
        <w:rPr>
          <w:color w:val="8064A2" w:themeColor="accent4"/>
        </w:rPr>
      </w:pPr>
      <w:r w:rsidRPr="005537F7">
        <w:rPr>
          <w:color w:val="8064A2" w:themeColor="accent4"/>
        </w:rPr>
        <w:t>Closing Comment</w:t>
      </w:r>
      <w:r w:rsidR="00E80383">
        <w:rPr>
          <w:color w:val="8064A2" w:themeColor="accent4"/>
        </w:rPr>
        <w:t>s</w:t>
      </w:r>
      <w:bookmarkStart w:id="6" w:name="CLOSING_"/>
      <w:bookmarkEnd w:id="6"/>
    </w:p>
    <w:p w14:paraId="7109F63A" w14:textId="77777777" w:rsidR="000367B4" w:rsidRPr="004B1C80" w:rsidRDefault="000367B4" w:rsidP="000367B4">
      <w:pPr>
        <w:pStyle w:val="Heading4"/>
        <w:rPr>
          <w:sz w:val="24"/>
          <w:szCs w:val="24"/>
        </w:rPr>
      </w:pPr>
      <w:r w:rsidRPr="004B1C80">
        <w:rPr>
          <w:sz w:val="24"/>
          <w:szCs w:val="24"/>
        </w:rPr>
        <w:t>P&amp;F Quality Mailbox:</w:t>
      </w:r>
    </w:p>
    <w:p w14:paraId="2D5BEC52" w14:textId="5B9673CD" w:rsidR="00D429B5" w:rsidRDefault="000367B4" w:rsidP="00D429B5">
      <w:pPr>
        <w:rPr>
          <w:rStyle w:val="Hyperlink"/>
          <w:sz w:val="24"/>
          <w:szCs w:val="24"/>
        </w:rPr>
      </w:pPr>
      <w:r w:rsidRPr="004B1C80">
        <w:rPr>
          <w:sz w:val="24"/>
          <w:szCs w:val="24"/>
        </w:rPr>
        <w:t xml:space="preserve">We will solicit for agenda topic(s) for each future Quality Call.  If you have a specific topic suggestion, please feel free to email it to the Pension and Fiduciary (P&amp;F) Quality mailbox at </w:t>
      </w:r>
      <w:hyperlink r:id="rId14" w:history="1">
        <w:r w:rsidRPr="004B1C80">
          <w:rPr>
            <w:rStyle w:val="Hyperlink"/>
            <w:sz w:val="24"/>
            <w:szCs w:val="24"/>
          </w:rPr>
          <w:t>PFTNGQUALOVRST.VBACO@va.gov</w:t>
        </w:r>
      </w:hyperlink>
    </w:p>
    <w:p w14:paraId="35E55FD5" w14:textId="77777777" w:rsidR="00D429B5" w:rsidRDefault="00D429B5" w:rsidP="00D429B5">
      <w:pPr>
        <w:rPr>
          <w:rStyle w:val="Hyperlink"/>
          <w:sz w:val="24"/>
          <w:szCs w:val="24"/>
        </w:rPr>
      </w:pPr>
    </w:p>
    <w:p w14:paraId="7A1FE8F2" w14:textId="77777777" w:rsidR="007D5131" w:rsidRPr="00366576" w:rsidRDefault="007D5131" w:rsidP="007D5131">
      <w:pPr>
        <w:pStyle w:val="Heading4"/>
        <w:spacing w:before="0" w:after="0"/>
        <w:rPr>
          <w:rStyle w:val="Hyperlink"/>
          <w:b w:val="0"/>
          <w:bCs/>
          <w:sz w:val="24"/>
          <w:szCs w:val="24"/>
        </w:rPr>
      </w:pPr>
      <w:r w:rsidRPr="00366576">
        <w:rPr>
          <w:b w:val="0"/>
          <w:bCs/>
          <w:sz w:val="24"/>
          <w:szCs w:val="24"/>
        </w:rPr>
        <w:t xml:space="preserve">For specific policy and procedures related topics, please </w:t>
      </w:r>
      <w:r>
        <w:rPr>
          <w:b w:val="0"/>
          <w:bCs/>
          <w:sz w:val="24"/>
          <w:szCs w:val="24"/>
        </w:rPr>
        <w:t xml:space="preserve">send inquiries through the </w:t>
      </w:r>
      <w:hyperlink r:id="rId15" w:history="1">
        <w:r w:rsidRPr="00CE547D">
          <w:rPr>
            <w:rStyle w:val="Hyperlink"/>
            <w:b w:val="0"/>
            <w:bCs/>
            <w:sz w:val="24"/>
            <w:szCs w:val="24"/>
          </w:rPr>
          <w:t>P&amp;F Service Field Inquiry Tool (FIT</w:t>
        </w:r>
      </w:hyperlink>
      <w:r>
        <w:rPr>
          <w:b w:val="0"/>
          <w:bCs/>
          <w:sz w:val="24"/>
          <w:szCs w:val="24"/>
        </w:rPr>
        <w:t>)</w:t>
      </w:r>
      <w:r w:rsidRPr="00CE547D">
        <w:rPr>
          <w:b w:val="0"/>
          <w:bCs/>
          <w:sz w:val="24"/>
          <w:szCs w:val="24"/>
        </w:rPr>
        <w:t>.</w:t>
      </w:r>
    </w:p>
    <w:p w14:paraId="4CCEE349" w14:textId="77777777" w:rsidR="000367B4" w:rsidRDefault="000367B4" w:rsidP="000367B4">
      <w:pPr>
        <w:pStyle w:val="Heading4"/>
        <w:spacing w:before="0"/>
      </w:pPr>
    </w:p>
    <w:p w14:paraId="37F234B2" w14:textId="77777777" w:rsidR="000367B4" w:rsidRPr="004B1C80" w:rsidRDefault="000367B4" w:rsidP="000367B4">
      <w:pPr>
        <w:pStyle w:val="Heading4"/>
        <w:spacing w:before="0"/>
        <w:rPr>
          <w:sz w:val="24"/>
          <w:szCs w:val="24"/>
        </w:rPr>
      </w:pPr>
      <w:r w:rsidRPr="004B1C80">
        <w:rPr>
          <w:sz w:val="24"/>
          <w:szCs w:val="24"/>
        </w:rPr>
        <w:t>Quality Call Bulletins</w:t>
      </w:r>
    </w:p>
    <w:p w14:paraId="0D4D190D" w14:textId="77777777" w:rsidR="00A03506" w:rsidRDefault="007D5131" w:rsidP="007D5131">
      <w:pPr>
        <w:spacing w:before="0" w:after="0"/>
        <w:rPr>
          <w:sz w:val="24"/>
          <w:szCs w:val="24"/>
        </w:rPr>
      </w:pPr>
      <w:r w:rsidRPr="004B1C80">
        <w:rPr>
          <w:sz w:val="24"/>
          <w:szCs w:val="24"/>
        </w:rPr>
        <w:t xml:space="preserve">Quality Call Bulletins can be found </w:t>
      </w:r>
      <w:r>
        <w:rPr>
          <w:sz w:val="24"/>
          <w:szCs w:val="24"/>
        </w:rPr>
        <w:t xml:space="preserve">within TMS along with call recordings. </w:t>
      </w:r>
      <w:r w:rsidRPr="008F0897">
        <w:rPr>
          <w:sz w:val="24"/>
          <w:szCs w:val="24"/>
        </w:rPr>
        <w:t xml:space="preserve">Once the monthly bulletin is finalized, information will be sent to the Fiduciary Hubs which will include the </w:t>
      </w:r>
    </w:p>
    <w:p w14:paraId="25438E09" w14:textId="5EE188E1" w:rsidR="007D5131" w:rsidRDefault="007D5131" w:rsidP="007D5131">
      <w:pPr>
        <w:spacing w:before="0" w:after="0"/>
        <w:rPr>
          <w:sz w:val="24"/>
          <w:szCs w:val="24"/>
        </w:rPr>
      </w:pPr>
      <w:r w:rsidRPr="008F0897">
        <w:rPr>
          <w:sz w:val="24"/>
          <w:szCs w:val="24"/>
        </w:rPr>
        <w:t>TMS #</w:t>
      </w:r>
      <w:r w:rsidR="00A03506">
        <w:rPr>
          <w:sz w:val="24"/>
          <w:szCs w:val="24"/>
        </w:rPr>
        <w:t>4643266</w:t>
      </w:r>
      <w:r w:rsidRPr="008F0897">
        <w:rPr>
          <w:sz w:val="24"/>
          <w:szCs w:val="24"/>
        </w:rPr>
        <w:t>.</w:t>
      </w:r>
    </w:p>
    <w:p w14:paraId="2BACC570" w14:textId="77777777" w:rsidR="007D5131" w:rsidRPr="00D716E4" w:rsidRDefault="007D5131" w:rsidP="007D5131">
      <w:pPr>
        <w:spacing w:before="0" w:after="0"/>
        <w:rPr>
          <w:sz w:val="24"/>
          <w:szCs w:val="24"/>
        </w:rPr>
      </w:pPr>
    </w:p>
    <w:p w14:paraId="326B7021" w14:textId="33016B7C" w:rsidR="000367B4" w:rsidRDefault="007D5131" w:rsidP="000367B4">
      <w:pPr>
        <w:pStyle w:val="Heading4"/>
        <w:spacing w:before="0"/>
        <w:rPr>
          <w:b w:val="0"/>
          <w:sz w:val="24"/>
          <w:szCs w:val="24"/>
        </w:rPr>
      </w:pPr>
      <w:r>
        <w:rPr>
          <w:color w:val="000000" w:themeColor="text1"/>
          <w:sz w:val="24"/>
          <w:szCs w:val="24"/>
        </w:rPr>
        <w:t>The next Quality Call is tentatively scheduled for</w:t>
      </w:r>
      <w:r w:rsidR="00845CBA">
        <w:rPr>
          <w:color w:val="000000" w:themeColor="text1"/>
          <w:sz w:val="24"/>
          <w:szCs w:val="24"/>
        </w:rPr>
        <w:t xml:space="preserve"> </w:t>
      </w:r>
      <w:r w:rsidR="00D46282">
        <w:rPr>
          <w:b w:val="0"/>
          <w:sz w:val="24"/>
          <w:szCs w:val="24"/>
        </w:rPr>
        <w:t>June</w:t>
      </w:r>
      <w:r>
        <w:rPr>
          <w:b w:val="0"/>
          <w:sz w:val="24"/>
          <w:szCs w:val="24"/>
        </w:rPr>
        <w:t xml:space="preserve"> 2023.</w:t>
      </w:r>
    </w:p>
    <w:p w14:paraId="5C664718" w14:textId="5AC24E0A" w:rsidR="00BB3DF9" w:rsidRDefault="00BB3DF9" w:rsidP="000367B4">
      <w:pPr>
        <w:pStyle w:val="Heading4"/>
        <w:spacing w:before="0"/>
        <w:rPr>
          <w:b w:val="0"/>
          <w:sz w:val="24"/>
          <w:szCs w:val="24"/>
        </w:rPr>
      </w:pPr>
    </w:p>
    <w:p w14:paraId="7CFD7518" w14:textId="77777777" w:rsidR="00BB3DF9" w:rsidRPr="00DC4360" w:rsidRDefault="00BB3DF9" w:rsidP="00BB3DF9">
      <w:pPr>
        <w:pStyle w:val="Heading1"/>
        <w:rPr>
          <w:color w:val="B2A1C7" w:themeColor="accent4" w:themeTint="99"/>
        </w:rPr>
      </w:pPr>
      <w:r w:rsidRPr="00DC4360">
        <w:rPr>
          <w:color w:val="B2A1C7" w:themeColor="accent4" w:themeTint="99"/>
        </w:rPr>
        <w:t>Post-Call Follow Up</w:t>
      </w:r>
    </w:p>
    <w:p w14:paraId="22821414" w14:textId="77777777" w:rsidR="00BB3DF9" w:rsidRDefault="00BB3DF9" w:rsidP="00BB3DF9">
      <w:pPr>
        <w:jc w:val="center"/>
        <w:rPr>
          <w:b/>
          <w:bCs/>
          <w:i/>
          <w:iCs/>
          <w:color w:val="B2A1C7" w:themeColor="accent4" w:themeTint="99"/>
          <w:sz w:val="28"/>
          <w:szCs w:val="28"/>
        </w:rPr>
      </w:pPr>
    </w:p>
    <w:p w14:paraId="6F4EC8E1" w14:textId="77777777" w:rsidR="00E207C4" w:rsidRDefault="00E207C4" w:rsidP="00E207C4">
      <w:pPr>
        <w:rPr>
          <w:b/>
          <w:bCs/>
          <w:sz w:val="24"/>
          <w:szCs w:val="24"/>
        </w:rPr>
      </w:pPr>
      <w:r w:rsidRPr="00BA35FA">
        <w:rPr>
          <w:b/>
          <w:bCs/>
          <w:sz w:val="24"/>
          <w:szCs w:val="24"/>
        </w:rPr>
        <w:t>Quality Call Recording:</w:t>
      </w:r>
    </w:p>
    <w:p w14:paraId="3C7D43C5" w14:textId="39772714" w:rsidR="00E207C4" w:rsidRDefault="00E207C4" w:rsidP="00E207C4">
      <w:pPr>
        <w:rPr>
          <w:sz w:val="24"/>
          <w:szCs w:val="24"/>
        </w:rPr>
      </w:pPr>
      <w:r w:rsidRPr="00BA35FA">
        <w:rPr>
          <w:sz w:val="24"/>
          <w:szCs w:val="24"/>
        </w:rPr>
        <w:t>A</w:t>
      </w:r>
      <w:r>
        <w:rPr>
          <w:sz w:val="24"/>
          <w:szCs w:val="24"/>
        </w:rPr>
        <w:t xml:space="preserve"> recording of the April 2023 Fiduciary Quality Call can be found </w:t>
      </w:r>
      <w:hyperlink r:id="rId16" w:history="1">
        <w:r w:rsidRPr="00047200">
          <w:rPr>
            <w:rStyle w:val="Hyperlink"/>
            <w:sz w:val="24"/>
            <w:szCs w:val="24"/>
          </w:rPr>
          <w:t>here</w:t>
        </w:r>
      </w:hyperlink>
      <w:r>
        <w:rPr>
          <w:sz w:val="24"/>
          <w:szCs w:val="24"/>
        </w:rPr>
        <w:t xml:space="preserve"> (open in Chrome):</w:t>
      </w:r>
    </w:p>
    <w:p w14:paraId="2C9DA2ED" w14:textId="77777777" w:rsidR="00E207C4" w:rsidRDefault="00E207C4" w:rsidP="00E207C4">
      <w:pPr>
        <w:rPr>
          <w:sz w:val="24"/>
          <w:szCs w:val="24"/>
        </w:rPr>
      </w:pPr>
    </w:p>
    <w:p w14:paraId="36802714" w14:textId="77777777" w:rsidR="00E207C4" w:rsidRPr="00BA35FA" w:rsidRDefault="00E207C4" w:rsidP="00E207C4">
      <w:pPr>
        <w:rPr>
          <w:b/>
          <w:bCs/>
          <w:sz w:val="24"/>
          <w:szCs w:val="24"/>
        </w:rPr>
      </w:pPr>
      <w:r w:rsidRPr="00BA35FA">
        <w:rPr>
          <w:b/>
          <w:bCs/>
          <w:sz w:val="24"/>
          <w:szCs w:val="24"/>
        </w:rPr>
        <w:t>TMS Course:</w:t>
      </w:r>
    </w:p>
    <w:p w14:paraId="365DF589" w14:textId="42A8DBD6" w:rsidR="005A3FCD" w:rsidRDefault="00E207C4">
      <w:pPr>
        <w:rPr>
          <w:sz w:val="24"/>
          <w:szCs w:val="24"/>
        </w:rPr>
      </w:pPr>
      <w:r w:rsidRPr="00BA35FA">
        <w:rPr>
          <w:sz w:val="24"/>
          <w:szCs w:val="24"/>
        </w:rPr>
        <w:t xml:space="preserve">Available content from the Quality Call (bulletin, recording, etc.) will be available in TMS. The TMS # for the </w:t>
      </w:r>
      <w:r>
        <w:rPr>
          <w:sz w:val="24"/>
          <w:szCs w:val="24"/>
        </w:rPr>
        <w:t>April 2023</w:t>
      </w:r>
      <w:r w:rsidRPr="00BA35FA">
        <w:rPr>
          <w:sz w:val="24"/>
          <w:szCs w:val="24"/>
        </w:rPr>
        <w:t xml:space="preserve"> Pension and Fiduciary Quality Call is </w:t>
      </w:r>
      <w:r w:rsidR="00AF32B7">
        <w:rPr>
          <w:sz w:val="24"/>
          <w:szCs w:val="24"/>
        </w:rPr>
        <w:t xml:space="preserve">VA </w:t>
      </w:r>
      <w:r w:rsidR="00AF32B7" w:rsidRPr="00AF32B7">
        <w:rPr>
          <w:sz w:val="24"/>
          <w:szCs w:val="24"/>
        </w:rPr>
        <w:t xml:space="preserve">4643266 </w:t>
      </w:r>
      <w:r w:rsidRPr="00BA35FA">
        <w:rPr>
          <w:sz w:val="24"/>
          <w:szCs w:val="24"/>
        </w:rPr>
        <w:t xml:space="preserve">(Pension and Fiduciary Service Quality Call – Fiduciary </w:t>
      </w:r>
      <w:r w:rsidR="00AF32B7">
        <w:rPr>
          <w:sz w:val="24"/>
          <w:szCs w:val="24"/>
        </w:rPr>
        <w:t>April 2023</w:t>
      </w:r>
      <w:r w:rsidRPr="00BA35FA">
        <w:rPr>
          <w:sz w:val="24"/>
          <w:szCs w:val="24"/>
        </w:rPr>
        <w:t>)</w:t>
      </w:r>
      <w:r w:rsidR="00964F2E">
        <w:rPr>
          <w:sz w:val="24"/>
          <w:szCs w:val="24"/>
        </w:rPr>
        <w:t>.</w:t>
      </w:r>
    </w:p>
    <w:p w14:paraId="630687FE" w14:textId="6CB49553" w:rsidR="00021354" w:rsidRPr="00D60069" w:rsidRDefault="00021354">
      <w:r w:rsidRPr="00021354">
        <w:rPr>
          <w:noProof/>
        </w:rPr>
        <w:lastRenderedPageBreak/>
        <w:drawing>
          <wp:inline distT="0" distB="0" distL="0" distR="0" wp14:anchorId="66D18D02" wp14:editId="46A31BCB">
            <wp:extent cx="6492240" cy="3557270"/>
            <wp:effectExtent l="0" t="0" r="381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92240" cy="3557270"/>
                    </a:xfrm>
                    <a:prstGeom prst="rect">
                      <a:avLst/>
                    </a:prstGeom>
                  </pic:spPr>
                </pic:pic>
              </a:graphicData>
            </a:graphic>
          </wp:inline>
        </w:drawing>
      </w:r>
    </w:p>
    <w:sectPr w:rsidR="00021354" w:rsidRPr="00D60069">
      <w:footerReference w:type="default" r:id="rId18"/>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C9EC" w14:textId="77777777" w:rsidR="003D6151" w:rsidRDefault="003D6151">
      <w:pPr>
        <w:spacing w:before="0" w:after="0"/>
      </w:pPr>
      <w:r>
        <w:separator/>
      </w:r>
    </w:p>
  </w:endnote>
  <w:endnote w:type="continuationSeparator" w:id="0">
    <w:p w14:paraId="56F7E978" w14:textId="77777777" w:rsidR="003D6151" w:rsidRDefault="003D61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96814"/>
      <w:docPartObj>
        <w:docPartGallery w:val="Page Numbers (Bottom of Page)"/>
        <w:docPartUnique/>
      </w:docPartObj>
    </w:sdtPr>
    <w:sdtEndPr>
      <w:rPr>
        <w:noProof/>
      </w:rPr>
    </w:sdtEndPr>
    <w:sdtContent>
      <w:p w14:paraId="0378161C" w14:textId="77777777" w:rsidR="002B2D13" w:rsidRDefault="006344A8">
        <w:pPr>
          <w:pStyle w:val="Footer"/>
        </w:pPr>
        <w:r>
          <w:fldChar w:fldCharType="begin"/>
        </w:r>
        <w:r>
          <w:instrText xml:space="preserve"> PAGE   \* MERGEFORMAT </w:instrText>
        </w:r>
        <w:r>
          <w:fldChar w:fldCharType="separate"/>
        </w:r>
        <w:r w:rsidR="003D5B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195B" w14:textId="77777777" w:rsidR="003D6151" w:rsidRDefault="003D6151">
      <w:pPr>
        <w:spacing w:before="0" w:after="0"/>
      </w:pPr>
      <w:r>
        <w:separator/>
      </w:r>
    </w:p>
  </w:footnote>
  <w:footnote w:type="continuationSeparator" w:id="0">
    <w:p w14:paraId="3C1BC78F" w14:textId="77777777" w:rsidR="003D6151" w:rsidRDefault="003D61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A18DB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208E5C2"/>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E6D1EA0"/>
    <w:multiLevelType w:val="hybridMultilevel"/>
    <w:tmpl w:val="0A1AF7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01502"/>
    <w:multiLevelType w:val="hybridMultilevel"/>
    <w:tmpl w:val="63181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C566C"/>
    <w:multiLevelType w:val="hybridMultilevel"/>
    <w:tmpl w:val="57AA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84941"/>
    <w:multiLevelType w:val="hybridMultilevel"/>
    <w:tmpl w:val="60DE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0661701">
    <w:abstractNumId w:val="6"/>
  </w:num>
  <w:num w:numId="2" w16cid:durableId="459809769">
    <w:abstractNumId w:val="7"/>
  </w:num>
  <w:num w:numId="3" w16cid:durableId="2147046793">
    <w:abstractNumId w:val="1"/>
  </w:num>
  <w:num w:numId="4" w16cid:durableId="2003197759">
    <w:abstractNumId w:val="0"/>
  </w:num>
  <w:num w:numId="5" w16cid:durableId="185291472">
    <w:abstractNumId w:val="1"/>
    <w:lvlOverride w:ilvl="0">
      <w:startOverride w:val="1"/>
    </w:lvlOverride>
  </w:num>
  <w:num w:numId="6" w16cid:durableId="1469975731">
    <w:abstractNumId w:val="1"/>
    <w:lvlOverride w:ilvl="0">
      <w:startOverride w:val="1"/>
    </w:lvlOverride>
  </w:num>
  <w:num w:numId="7" w16cid:durableId="1599869949">
    <w:abstractNumId w:val="1"/>
  </w:num>
  <w:num w:numId="8" w16cid:durableId="1167553791">
    <w:abstractNumId w:val="1"/>
  </w:num>
  <w:num w:numId="9" w16cid:durableId="1095904675">
    <w:abstractNumId w:val="1"/>
  </w:num>
  <w:num w:numId="10" w16cid:durableId="1603804902">
    <w:abstractNumId w:val="1"/>
  </w:num>
  <w:num w:numId="11" w16cid:durableId="1307977455">
    <w:abstractNumId w:val="1"/>
  </w:num>
  <w:num w:numId="12" w16cid:durableId="1671330034">
    <w:abstractNumId w:val="1"/>
  </w:num>
  <w:num w:numId="13" w16cid:durableId="136731084">
    <w:abstractNumId w:val="1"/>
  </w:num>
  <w:num w:numId="14" w16cid:durableId="1104374904">
    <w:abstractNumId w:val="1"/>
  </w:num>
  <w:num w:numId="15" w16cid:durableId="937980052">
    <w:abstractNumId w:val="1"/>
  </w:num>
  <w:num w:numId="16" w16cid:durableId="786118723">
    <w:abstractNumId w:val="1"/>
  </w:num>
  <w:num w:numId="17" w16cid:durableId="267003348">
    <w:abstractNumId w:val="1"/>
  </w:num>
  <w:num w:numId="18" w16cid:durableId="1674261016">
    <w:abstractNumId w:val="1"/>
  </w:num>
  <w:num w:numId="19" w16cid:durableId="1095783694">
    <w:abstractNumId w:val="1"/>
  </w:num>
  <w:num w:numId="20" w16cid:durableId="498692101">
    <w:abstractNumId w:val="1"/>
  </w:num>
  <w:num w:numId="21" w16cid:durableId="2142188340">
    <w:abstractNumId w:val="1"/>
  </w:num>
  <w:num w:numId="22" w16cid:durableId="307249632">
    <w:abstractNumId w:val="1"/>
  </w:num>
  <w:num w:numId="23" w16cid:durableId="429590574">
    <w:abstractNumId w:val="2"/>
  </w:num>
  <w:num w:numId="24" w16cid:durableId="515189417">
    <w:abstractNumId w:val="3"/>
  </w:num>
  <w:num w:numId="25" w16cid:durableId="367031974">
    <w:abstractNumId w:val="4"/>
  </w:num>
  <w:num w:numId="26" w16cid:durableId="209266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00"/>
    <w:rsid w:val="00004A64"/>
    <w:rsid w:val="00011E22"/>
    <w:rsid w:val="0002110C"/>
    <w:rsid w:val="00021354"/>
    <w:rsid w:val="000367B4"/>
    <w:rsid w:val="00044B9A"/>
    <w:rsid w:val="00047200"/>
    <w:rsid w:val="00047521"/>
    <w:rsid w:val="00075FC0"/>
    <w:rsid w:val="000A61EF"/>
    <w:rsid w:val="000D00B0"/>
    <w:rsid w:val="000D431A"/>
    <w:rsid w:val="00131926"/>
    <w:rsid w:val="00143A16"/>
    <w:rsid w:val="001479B9"/>
    <w:rsid w:val="00173850"/>
    <w:rsid w:val="001A3A5C"/>
    <w:rsid w:val="001E0877"/>
    <w:rsid w:val="00221FDF"/>
    <w:rsid w:val="00222A05"/>
    <w:rsid w:val="00290A0E"/>
    <w:rsid w:val="002B2D13"/>
    <w:rsid w:val="002B3ED1"/>
    <w:rsid w:val="002C0EBF"/>
    <w:rsid w:val="002C158A"/>
    <w:rsid w:val="002D4172"/>
    <w:rsid w:val="002E4242"/>
    <w:rsid w:val="00323E98"/>
    <w:rsid w:val="0034721D"/>
    <w:rsid w:val="0039377B"/>
    <w:rsid w:val="003B1430"/>
    <w:rsid w:val="003D5BF7"/>
    <w:rsid w:val="003D6151"/>
    <w:rsid w:val="003F1B99"/>
    <w:rsid w:val="003F257D"/>
    <w:rsid w:val="004057BB"/>
    <w:rsid w:val="00406094"/>
    <w:rsid w:val="004628FB"/>
    <w:rsid w:val="004A6050"/>
    <w:rsid w:val="004C6763"/>
    <w:rsid w:val="004D3FEF"/>
    <w:rsid w:val="004D7B23"/>
    <w:rsid w:val="004F2C34"/>
    <w:rsid w:val="005027D2"/>
    <w:rsid w:val="00515F55"/>
    <w:rsid w:val="0052686F"/>
    <w:rsid w:val="005537F7"/>
    <w:rsid w:val="005916F2"/>
    <w:rsid w:val="005A3FCD"/>
    <w:rsid w:val="005A7328"/>
    <w:rsid w:val="005B7DF6"/>
    <w:rsid w:val="005D3B6B"/>
    <w:rsid w:val="00611058"/>
    <w:rsid w:val="00625C8E"/>
    <w:rsid w:val="006344A8"/>
    <w:rsid w:val="0063741D"/>
    <w:rsid w:val="006776D4"/>
    <w:rsid w:val="006A3B47"/>
    <w:rsid w:val="006B798B"/>
    <w:rsid w:val="006D298D"/>
    <w:rsid w:val="00734EEC"/>
    <w:rsid w:val="007914AB"/>
    <w:rsid w:val="007B529C"/>
    <w:rsid w:val="007D5131"/>
    <w:rsid w:val="007D5F00"/>
    <w:rsid w:val="007E4418"/>
    <w:rsid w:val="007F04FA"/>
    <w:rsid w:val="00800723"/>
    <w:rsid w:val="008349AB"/>
    <w:rsid w:val="00845CBA"/>
    <w:rsid w:val="00853A07"/>
    <w:rsid w:val="008622B3"/>
    <w:rsid w:val="008901FD"/>
    <w:rsid w:val="008B0207"/>
    <w:rsid w:val="008B2934"/>
    <w:rsid w:val="008B3D8D"/>
    <w:rsid w:val="008E5C0E"/>
    <w:rsid w:val="008E706D"/>
    <w:rsid w:val="0094417E"/>
    <w:rsid w:val="00964F2E"/>
    <w:rsid w:val="00992463"/>
    <w:rsid w:val="0099415F"/>
    <w:rsid w:val="009A7C5A"/>
    <w:rsid w:val="00A03506"/>
    <w:rsid w:val="00A070BE"/>
    <w:rsid w:val="00A15A9C"/>
    <w:rsid w:val="00A43E46"/>
    <w:rsid w:val="00A56FBC"/>
    <w:rsid w:val="00A82014"/>
    <w:rsid w:val="00A8762B"/>
    <w:rsid w:val="00AA5A8F"/>
    <w:rsid w:val="00AC4E26"/>
    <w:rsid w:val="00AC7BC4"/>
    <w:rsid w:val="00AF1B80"/>
    <w:rsid w:val="00AF32B7"/>
    <w:rsid w:val="00B0441B"/>
    <w:rsid w:val="00B362B6"/>
    <w:rsid w:val="00B43162"/>
    <w:rsid w:val="00B6115F"/>
    <w:rsid w:val="00B9358A"/>
    <w:rsid w:val="00BB3DF9"/>
    <w:rsid w:val="00BB7C1F"/>
    <w:rsid w:val="00BC4894"/>
    <w:rsid w:val="00BD3B56"/>
    <w:rsid w:val="00C329DE"/>
    <w:rsid w:val="00D0119F"/>
    <w:rsid w:val="00D05063"/>
    <w:rsid w:val="00D34264"/>
    <w:rsid w:val="00D429B5"/>
    <w:rsid w:val="00D46282"/>
    <w:rsid w:val="00D52DFB"/>
    <w:rsid w:val="00D60069"/>
    <w:rsid w:val="00D62D8F"/>
    <w:rsid w:val="00D62E01"/>
    <w:rsid w:val="00D661EE"/>
    <w:rsid w:val="00D74324"/>
    <w:rsid w:val="00D97296"/>
    <w:rsid w:val="00DB3632"/>
    <w:rsid w:val="00DE3A23"/>
    <w:rsid w:val="00DE5E8D"/>
    <w:rsid w:val="00E048B4"/>
    <w:rsid w:val="00E134D2"/>
    <w:rsid w:val="00E158F1"/>
    <w:rsid w:val="00E2063C"/>
    <w:rsid w:val="00E207C4"/>
    <w:rsid w:val="00E54C1A"/>
    <w:rsid w:val="00E80383"/>
    <w:rsid w:val="00E9381A"/>
    <w:rsid w:val="00EA3B76"/>
    <w:rsid w:val="00EE1706"/>
    <w:rsid w:val="00EE7824"/>
    <w:rsid w:val="00EF2651"/>
    <w:rsid w:val="00F0526C"/>
    <w:rsid w:val="00F10231"/>
    <w:rsid w:val="00F15EBC"/>
    <w:rsid w:val="00F31E9F"/>
    <w:rsid w:val="00F434DD"/>
    <w:rsid w:val="00F61499"/>
    <w:rsid w:val="00F66260"/>
    <w:rsid w:val="00F767DA"/>
    <w:rsid w:val="00F96A26"/>
    <w:rsid w:val="00FA2398"/>
    <w:rsid w:val="00FC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28948"/>
  <w15:docId w15:val="{ACEFD8FA-3FA5-458A-938B-06FC1F72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link w:val="Heading1Char"/>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7E4418"/>
    <w:rPr>
      <w:sz w:val="16"/>
      <w:szCs w:val="16"/>
    </w:rPr>
  </w:style>
  <w:style w:type="paragraph" w:styleId="CommentText">
    <w:name w:val="annotation text"/>
    <w:basedOn w:val="Normal"/>
    <w:link w:val="CommentTextChar"/>
    <w:uiPriority w:val="99"/>
    <w:semiHidden/>
    <w:unhideWhenUsed/>
    <w:rsid w:val="007E4418"/>
    <w:rPr>
      <w:sz w:val="20"/>
      <w:szCs w:val="20"/>
    </w:rPr>
  </w:style>
  <w:style w:type="character" w:customStyle="1" w:styleId="CommentTextChar">
    <w:name w:val="Comment Text Char"/>
    <w:basedOn w:val="DefaultParagraphFont"/>
    <w:link w:val="CommentText"/>
    <w:uiPriority w:val="99"/>
    <w:semiHidden/>
    <w:rsid w:val="007E4418"/>
    <w:rPr>
      <w:sz w:val="20"/>
      <w:szCs w:val="20"/>
    </w:rPr>
  </w:style>
  <w:style w:type="paragraph" w:styleId="CommentSubject">
    <w:name w:val="annotation subject"/>
    <w:basedOn w:val="CommentText"/>
    <w:next w:val="CommentText"/>
    <w:link w:val="CommentSubjectChar"/>
    <w:uiPriority w:val="99"/>
    <w:semiHidden/>
    <w:unhideWhenUsed/>
    <w:rsid w:val="007E4418"/>
    <w:rPr>
      <w:b/>
      <w:bCs/>
    </w:rPr>
  </w:style>
  <w:style w:type="character" w:customStyle="1" w:styleId="CommentSubjectChar">
    <w:name w:val="Comment Subject Char"/>
    <w:basedOn w:val="CommentTextChar"/>
    <w:link w:val="CommentSubject"/>
    <w:uiPriority w:val="99"/>
    <w:semiHidden/>
    <w:rsid w:val="007E4418"/>
    <w:rPr>
      <w:b/>
      <w:bCs/>
      <w:sz w:val="20"/>
      <w:szCs w:val="20"/>
    </w:rPr>
  </w:style>
  <w:style w:type="character" w:styleId="Hyperlink">
    <w:name w:val="Hyperlink"/>
    <w:basedOn w:val="DefaultParagraphFont"/>
    <w:uiPriority w:val="99"/>
    <w:unhideWhenUsed/>
    <w:rsid w:val="007B529C"/>
    <w:rPr>
      <w:color w:val="0000FF" w:themeColor="hyperlink"/>
      <w:u w:val="single"/>
    </w:rPr>
  </w:style>
  <w:style w:type="character" w:styleId="UnresolvedMention">
    <w:name w:val="Unresolved Mention"/>
    <w:basedOn w:val="DefaultParagraphFont"/>
    <w:uiPriority w:val="99"/>
    <w:semiHidden/>
    <w:unhideWhenUsed/>
    <w:rsid w:val="007B529C"/>
    <w:rPr>
      <w:color w:val="605E5C"/>
      <w:shd w:val="clear" w:color="auto" w:fill="E1DFDD"/>
    </w:rPr>
  </w:style>
  <w:style w:type="character" w:styleId="FollowedHyperlink">
    <w:name w:val="FollowedHyperlink"/>
    <w:basedOn w:val="DefaultParagraphFont"/>
    <w:uiPriority w:val="99"/>
    <w:semiHidden/>
    <w:unhideWhenUsed/>
    <w:rsid w:val="00EE1706"/>
    <w:rPr>
      <w:color w:val="800080" w:themeColor="followedHyperlink"/>
      <w:u w:val="single"/>
    </w:rPr>
  </w:style>
  <w:style w:type="paragraph" w:styleId="ListParagraph">
    <w:name w:val="List Paragraph"/>
    <w:basedOn w:val="Normal"/>
    <w:uiPriority w:val="34"/>
    <w:unhideWhenUsed/>
    <w:qFormat/>
    <w:rsid w:val="00E2063C"/>
    <w:pPr>
      <w:ind w:left="720"/>
      <w:contextualSpacing/>
    </w:pPr>
  </w:style>
  <w:style w:type="character" w:customStyle="1" w:styleId="Heading1Char">
    <w:name w:val="Heading 1 Char"/>
    <w:basedOn w:val="DefaultParagraphFont"/>
    <w:link w:val="Heading1"/>
    <w:uiPriority w:val="9"/>
    <w:rsid w:val="00B43162"/>
    <w:rPr>
      <w:rFonts w:asciiTheme="majorHAnsi" w:eastAsiaTheme="majorEastAsia" w:hAnsiTheme="majorHAnsi" w:cs="Arial"/>
      <w:b/>
      <w:bCs/>
      <w:i/>
      <w:kern w:val="32"/>
      <w:sz w:val="28"/>
      <w:szCs w:val="32"/>
    </w:rPr>
  </w:style>
  <w:style w:type="paragraph" w:styleId="NormalWeb">
    <w:name w:val="Normal (Web)"/>
    <w:basedOn w:val="Normal"/>
    <w:uiPriority w:val="99"/>
    <w:semiHidden/>
    <w:unhideWhenUsed/>
    <w:rsid w:val="00F66260"/>
    <w:pPr>
      <w:spacing w:before="100" w:beforeAutospacing="1" w:after="100" w:afterAutospacing="1"/>
    </w:pPr>
    <w:rPr>
      <w:rFonts w:ascii="Calibri" w:eastAsiaTheme="minorHAnsi" w:hAnsi="Calibri" w:cs="Calibri"/>
      <w:sz w:val="22"/>
      <w:szCs w:val="22"/>
    </w:rPr>
  </w:style>
  <w:style w:type="character" w:customStyle="1" w:styleId="ui-provider">
    <w:name w:val="ui-provider"/>
    <w:basedOn w:val="DefaultParagraphFont"/>
    <w:rsid w:val="00D62D8F"/>
  </w:style>
  <w:style w:type="paragraph" w:styleId="Revision">
    <w:name w:val="Revision"/>
    <w:hidden/>
    <w:uiPriority w:val="99"/>
    <w:semiHidden/>
    <w:rsid w:val="008B2934"/>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9546">
      <w:bodyDiv w:val="1"/>
      <w:marLeft w:val="0"/>
      <w:marRight w:val="0"/>
      <w:marTop w:val="0"/>
      <w:marBottom w:val="0"/>
      <w:divBdr>
        <w:top w:val="none" w:sz="0" w:space="0" w:color="auto"/>
        <w:left w:val="none" w:sz="0" w:space="0" w:color="auto"/>
        <w:bottom w:val="none" w:sz="0" w:space="0" w:color="auto"/>
        <w:right w:val="none" w:sz="0" w:space="0" w:color="auto"/>
      </w:divBdr>
    </w:div>
    <w:div w:id="456606585">
      <w:bodyDiv w:val="1"/>
      <w:marLeft w:val="0"/>
      <w:marRight w:val="0"/>
      <w:marTop w:val="0"/>
      <w:marBottom w:val="0"/>
      <w:divBdr>
        <w:top w:val="none" w:sz="0" w:space="0" w:color="auto"/>
        <w:left w:val="none" w:sz="0" w:space="0" w:color="auto"/>
        <w:bottom w:val="none" w:sz="0" w:space="0" w:color="auto"/>
        <w:right w:val="none" w:sz="0" w:space="0" w:color="auto"/>
      </w:divBdr>
    </w:div>
    <w:div w:id="517624488">
      <w:bodyDiv w:val="1"/>
      <w:marLeft w:val="0"/>
      <w:marRight w:val="0"/>
      <w:marTop w:val="0"/>
      <w:marBottom w:val="0"/>
      <w:divBdr>
        <w:top w:val="none" w:sz="0" w:space="0" w:color="auto"/>
        <w:left w:val="none" w:sz="0" w:space="0" w:color="auto"/>
        <w:bottom w:val="none" w:sz="0" w:space="0" w:color="auto"/>
        <w:right w:val="none" w:sz="0" w:space="0" w:color="auto"/>
      </w:divBdr>
    </w:div>
    <w:div w:id="1108164324">
      <w:bodyDiv w:val="1"/>
      <w:marLeft w:val="0"/>
      <w:marRight w:val="0"/>
      <w:marTop w:val="0"/>
      <w:marBottom w:val="0"/>
      <w:divBdr>
        <w:top w:val="none" w:sz="0" w:space="0" w:color="auto"/>
        <w:left w:val="none" w:sz="0" w:space="0" w:color="auto"/>
        <w:bottom w:val="none" w:sz="0" w:space="0" w:color="auto"/>
        <w:right w:val="none" w:sz="0" w:space="0" w:color="auto"/>
      </w:divBdr>
    </w:div>
    <w:div w:id="1160002603">
      <w:bodyDiv w:val="1"/>
      <w:marLeft w:val="0"/>
      <w:marRight w:val="0"/>
      <w:marTop w:val="0"/>
      <w:marBottom w:val="0"/>
      <w:divBdr>
        <w:top w:val="none" w:sz="0" w:space="0" w:color="auto"/>
        <w:left w:val="none" w:sz="0" w:space="0" w:color="auto"/>
        <w:bottom w:val="none" w:sz="0" w:space="0" w:color="auto"/>
        <w:right w:val="none" w:sz="0" w:space="0" w:color="auto"/>
      </w:divBdr>
    </w:div>
    <w:div w:id="1195926050">
      <w:bodyDiv w:val="1"/>
      <w:marLeft w:val="0"/>
      <w:marRight w:val="0"/>
      <w:marTop w:val="0"/>
      <w:marBottom w:val="0"/>
      <w:divBdr>
        <w:top w:val="none" w:sz="0" w:space="0" w:color="auto"/>
        <w:left w:val="none" w:sz="0" w:space="0" w:color="auto"/>
        <w:bottom w:val="none" w:sz="0" w:space="0" w:color="auto"/>
        <w:right w:val="none" w:sz="0" w:space="0" w:color="auto"/>
      </w:divBdr>
    </w:div>
    <w:div w:id="1352492076">
      <w:bodyDiv w:val="1"/>
      <w:marLeft w:val="0"/>
      <w:marRight w:val="0"/>
      <w:marTop w:val="0"/>
      <w:marBottom w:val="0"/>
      <w:divBdr>
        <w:top w:val="none" w:sz="0" w:space="0" w:color="auto"/>
        <w:left w:val="none" w:sz="0" w:space="0" w:color="auto"/>
        <w:bottom w:val="none" w:sz="0" w:space="0" w:color="auto"/>
        <w:right w:val="none" w:sz="0" w:space="0" w:color="auto"/>
      </w:divBdr>
    </w:div>
    <w:div w:id="1426611119">
      <w:bodyDiv w:val="1"/>
      <w:marLeft w:val="0"/>
      <w:marRight w:val="0"/>
      <w:marTop w:val="0"/>
      <w:marBottom w:val="0"/>
      <w:divBdr>
        <w:top w:val="none" w:sz="0" w:space="0" w:color="auto"/>
        <w:left w:val="none" w:sz="0" w:space="0" w:color="auto"/>
        <w:bottom w:val="none" w:sz="0" w:space="0" w:color="auto"/>
        <w:right w:val="none" w:sz="0" w:space="0" w:color="auto"/>
      </w:divBdr>
    </w:div>
    <w:div w:id="1460684380">
      <w:bodyDiv w:val="1"/>
      <w:marLeft w:val="0"/>
      <w:marRight w:val="0"/>
      <w:marTop w:val="0"/>
      <w:marBottom w:val="0"/>
      <w:divBdr>
        <w:top w:val="none" w:sz="0" w:space="0" w:color="auto"/>
        <w:left w:val="none" w:sz="0" w:space="0" w:color="auto"/>
        <w:bottom w:val="none" w:sz="0" w:space="0" w:color="auto"/>
        <w:right w:val="none" w:sz="0" w:space="0" w:color="auto"/>
      </w:divBdr>
    </w:div>
    <w:div w:id="1474636078">
      <w:bodyDiv w:val="1"/>
      <w:marLeft w:val="0"/>
      <w:marRight w:val="0"/>
      <w:marTop w:val="0"/>
      <w:marBottom w:val="0"/>
      <w:divBdr>
        <w:top w:val="none" w:sz="0" w:space="0" w:color="auto"/>
        <w:left w:val="none" w:sz="0" w:space="0" w:color="auto"/>
        <w:bottom w:val="none" w:sz="0" w:space="0" w:color="auto"/>
        <w:right w:val="none" w:sz="0" w:space="0" w:color="auto"/>
      </w:divBdr>
    </w:div>
    <w:div w:id="1650472657">
      <w:bodyDiv w:val="1"/>
      <w:marLeft w:val="0"/>
      <w:marRight w:val="0"/>
      <w:marTop w:val="0"/>
      <w:marBottom w:val="0"/>
      <w:divBdr>
        <w:top w:val="none" w:sz="0" w:space="0" w:color="auto"/>
        <w:left w:val="none" w:sz="0" w:space="0" w:color="auto"/>
        <w:bottom w:val="none" w:sz="0" w:space="0" w:color="auto"/>
        <w:right w:val="none" w:sz="0" w:space="0" w:color="auto"/>
      </w:divBdr>
    </w:div>
    <w:div w:id="1728531604">
      <w:bodyDiv w:val="1"/>
      <w:marLeft w:val="0"/>
      <w:marRight w:val="0"/>
      <w:marTop w:val="0"/>
      <w:marBottom w:val="0"/>
      <w:divBdr>
        <w:top w:val="none" w:sz="0" w:space="0" w:color="auto"/>
        <w:left w:val="none" w:sz="0" w:space="0" w:color="auto"/>
        <w:bottom w:val="none" w:sz="0" w:space="0" w:color="auto"/>
        <w:right w:val="none" w:sz="0" w:space="0" w:color="auto"/>
      </w:divBdr>
    </w:div>
    <w:div w:id="1764648729">
      <w:bodyDiv w:val="1"/>
      <w:marLeft w:val="0"/>
      <w:marRight w:val="0"/>
      <w:marTop w:val="0"/>
      <w:marBottom w:val="0"/>
      <w:divBdr>
        <w:top w:val="none" w:sz="0" w:space="0" w:color="auto"/>
        <w:left w:val="none" w:sz="0" w:space="0" w:color="auto"/>
        <w:bottom w:val="none" w:sz="0" w:space="0" w:color="auto"/>
        <w:right w:val="none" w:sz="0" w:space="0" w:color="auto"/>
      </w:divBdr>
    </w:div>
    <w:div w:id="1827239494">
      <w:bodyDiv w:val="1"/>
      <w:marLeft w:val="0"/>
      <w:marRight w:val="0"/>
      <w:marTop w:val="0"/>
      <w:marBottom w:val="0"/>
      <w:divBdr>
        <w:top w:val="none" w:sz="0" w:space="0" w:color="auto"/>
        <w:left w:val="none" w:sz="0" w:space="0" w:color="auto"/>
        <w:bottom w:val="none" w:sz="0" w:space="0" w:color="auto"/>
        <w:right w:val="none" w:sz="0" w:space="0" w:color="auto"/>
      </w:divBdr>
    </w:div>
    <w:div w:id="1937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aww.vrm.km.va.gov/system/templates/selfservice/va_kanew/help/agent/locale/en-US/portal/554400000001030/content/554400000153950/FPM-Part-I-Chapter-2-Section-C-Initial-Appointments-IAs-and-Successor-IAs-SIA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aww.vrm.km.va.gov/system/templates/selfservice/va_kanew/help/agent/locale/en-US/portal/554400000001030/content/554400000153950/FPM-Part-I-Chapter-2-Section-C-Initial-Appointments-IAs-and-Successor-IAs-SIA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vagov.sharepoint.com/:v:/r/sites/VBA21PFSService/new/TMS%20Training%20Video%20Document%20Library/P_F%20Service%20Fiduciary%20Quality%20Call%20April%202023.mp4?csf=1&amp;web=1&amp;e=4kewQc"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gcc02.safelinks.protection.outlook.com/?url=https%3A%2F%2Fapps.gov.powerapps.us%2Fplay%2Fe%2Fdefault-e95f1b23-abaf-45ee-821d-b7ab251ab3bf%2Fa%2F0a333bae-1e5d-446f-b2d1-c25be963c99d%3FtenantId%3De95f1b23-abaf-45ee-821d-b7ab251ab3bf%26source%3Dportal&amp;data=05%7C01%7C%7C7e57527ccb104c4cf7e908daee8a90c7%7Ce95f1b23abaf45ee821db7ab251ab3bf%7C0%7C0%7C638084576146818115%7CUnknown%7CTWFpbGZsb3d8eyJWIjoiMC4wLjAwMDAiLCJQIjoiV2luMzIiLCJBTiI6Ik1haWwiLCJXVCI6Mn0%3D%7C3000%7C%7C%7C&amp;sdata=QmlXA%2BnoE6ops2TJVkdEaKfE2nNzs23U4R2EoE%2BHLHI%3D&amp;reserved=0" TargetMode="External"/><Relationship Id="rId10" Type="http://schemas.openxmlformats.org/officeDocument/2006/relationships/image" Target="cid:image002.png@01D97835.F4C967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FTNGQUALOVRST.VBACO@v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COYL\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DDF16B8D840B4B01294AF94A69C40"/>
        <w:category>
          <w:name w:val="General"/>
          <w:gallery w:val="placeholder"/>
        </w:category>
        <w:types>
          <w:type w:val="bbPlcHdr"/>
        </w:types>
        <w:behaviors>
          <w:behavior w:val="content"/>
        </w:behaviors>
        <w:guid w:val="{BE621820-A021-4478-B288-84D99DB3AFF9}"/>
      </w:docPartPr>
      <w:docPartBody>
        <w:p w:rsidR="00F91AC9" w:rsidRDefault="0050150A">
          <w:pPr>
            <w:pStyle w:val="0E5DDF16B8D840B4B01294AF94A69C40"/>
          </w:pPr>
          <w:r>
            <w:t>Date</w:t>
          </w:r>
        </w:p>
      </w:docPartBody>
    </w:docPart>
    <w:docPart>
      <w:docPartPr>
        <w:name w:val="20DE57C5D5E449D1A227C0884E237AD8"/>
        <w:category>
          <w:name w:val="General"/>
          <w:gallery w:val="placeholder"/>
        </w:category>
        <w:types>
          <w:type w:val="bbPlcHdr"/>
        </w:types>
        <w:behaviors>
          <w:behavior w:val="content"/>
        </w:behaviors>
        <w:guid w:val="{09008CE1-9DCF-4300-8643-5394F1432026}"/>
      </w:docPartPr>
      <w:docPartBody>
        <w:p w:rsidR="00F91AC9" w:rsidRDefault="0050150A">
          <w:pPr>
            <w:pStyle w:val="20DE57C5D5E449D1A227C0884E237AD8"/>
          </w:pPr>
          <w:r>
            <w:t>Agenda item:</w:t>
          </w:r>
        </w:p>
      </w:docPartBody>
    </w:docPart>
    <w:docPart>
      <w:docPartPr>
        <w:name w:val="351F97E736274FF0994F1CE60D68DE77"/>
        <w:category>
          <w:name w:val="General"/>
          <w:gallery w:val="placeholder"/>
        </w:category>
        <w:types>
          <w:type w:val="bbPlcHdr"/>
        </w:types>
        <w:behaviors>
          <w:behavior w:val="content"/>
        </w:behaviors>
        <w:guid w:val="{39FE9B49-D436-4B92-9650-7F2267C8D06E}"/>
      </w:docPartPr>
      <w:docPartBody>
        <w:p w:rsidR="00F91AC9" w:rsidRDefault="0050150A">
          <w:pPr>
            <w:pStyle w:val="351F97E736274FF0994F1CE60D68DE77"/>
          </w:pPr>
          <w:r>
            <w:t>Presenter:</w:t>
          </w:r>
        </w:p>
      </w:docPartBody>
    </w:docPart>
    <w:docPart>
      <w:docPartPr>
        <w:name w:val="BEEE93B5055349CDA16253D1263663B8"/>
        <w:category>
          <w:name w:val="General"/>
          <w:gallery w:val="placeholder"/>
        </w:category>
        <w:types>
          <w:type w:val="bbPlcHdr"/>
        </w:types>
        <w:behaviors>
          <w:behavior w:val="content"/>
        </w:behaviors>
        <w:guid w:val="{6B625FD9-9BA0-4429-B5EF-B0EF4AADC695}"/>
      </w:docPartPr>
      <w:docPartBody>
        <w:p w:rsidR="00F91AC9" w:rsidRDefault="0050150A">
          <w:pPr>
            <w:pStyle w:val="BEEE93B5055349CDA16253D1263663B8"/>
          </w:pPr>
          <w:r>
            <w:t>Agenda item:</w:t>
          </w:r>
        </w:p>
      </w:docPartBody>
    </w:docPart>
    <w:docPart>
      <w:docPartPr>
        <w:name w:val="EE2DA83037A34D638D4ED63942E9D9E4"/>
        <w:category>
          <w:name w:val="General"/>
          <w:gallery w:val="placeholder"/>
        </w:category>
        <w:types>
          <w:type w:val="bbPlcHdr"/>
        </w:types>
        <w:behaviors>
          <w:behavior w:val="content"/>
        </w:behaviors>
        <w:guid w:val="{46D50C73-5137-4064-9B41-B7454747B0D4}"/>
      </w:docPartPr>
      <w:docPartBody>
        <w:p w:rsidR="00F91AC9" w:rsidRDefault="0050150A">
          <w:pPr>
            <w:pStyle w:val="EE2DA83037A34D638D4ED63942E9D9E4"/>
          </w:pPr>
          <w:r>
            <w:t>Presenter:</w:t>
          </w:r>
        </w:p>
      </w:docPartBody>
    </w:docPart>
    <w:docPart>
      <w:docPartPr>
        <w:name w:val="63F8F156A0BA49FD94B529EB45F4DDD9"/>
        <w:category>
          <w:name w:val="General"/>
          <w:gallery w:val="placeholder"/>
        </w:category>
        <w:types>
          <w:type w:val="bbPlcHdr"/>
        </w:types>
        <w:behaviors>
          <w:behavior w:val="content"/>
        </w:behaviors>
        <w:guid w:val="{BCC2497A-6995-4963-9177-CBBDCE096C32}"/>
      </w:docPartPr>
      <w:docPartBody>
        <w:p w:rsidR="00CD1B07" w:rsidRDefault="00C66D9E" w:rsidP="00C66D9E">
          <w:pPr>
            <w:pStyle w:val="63F8F156A0BA49FD94B529EB45F4DDD9"/>
          </w:pPr>
          <w:r>
            <w:t>Agenda item:</w:t>
          </w:r>
        </w:p>
      </w:docPartBody>
    </w:docPart>
    <w:docPart>
      <w:docPartPr>
        <w:name w:val="B9AD265B8BA14DF9BFC87494C85D00AA"/>
        <w:category>
          <w:name w:val="General"/>
          <w:gallery w:val="placeholder"/>
        </w:category>
        <w:types>
          <w:type w:val="bbPlcHdr"/>
        </w:types>
        <w:behaviors>
          <w:behavior w:val="content"/>
        </w:behaviors>
        <w:guid w:val="{6A55160E-50DD-4E9E-89E5-0A8072C981B8}"/>
      </w:docPartPr>
      <w:docPartBody>
        <w:p w:rsidR="00CD1B07" w:rsidRDefault="00C66D9E" w:rsidP="00C66D9E">
          <w:pPr>
            <w:pStyle w:val="B9AD265B8BA14DF9BFC87494C85D00AA"/>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C6"/>
    <w:rsid w:val="004E3B25"/>
    <w:rsid w:val="0050150A"/>
    <w:rsid w:val="005C0984"/>
    <w:rsid w:val="009A11DC"/>
    <w:rsid w:val="00C33348"/>
    <w:rsid w:val="00C66D9E"/>
    <w:rsid w:val="00CD1B07"/>
    <w:rsid w:val="00CF7EE1"/>
    <w:rsid w:val="00D277D8"/>
    <w:rsid w:val="00D9187D"/>
    <w:rsid w:val="00E31B83"/>
    <w:rsid w:val="00ED13C6"/>
    <w:rsid w:val="00F9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5DDF16B8D840B4B01294AF94A69C40">
    <w:name w:val="0E5DDF16B8D840B4B01294AF94A69C40"/>
  </w:style>
  <w:style w:type="paragraph" w:customStyle="1" w:styleId="20DE57C5D5E449D1A227C0884E237AD8">
    <w:name w:val="20DE57C5D5E449D1A227C0884E237AD8"/>
  </w:style>
  <w:style w:type="paragraph" w:customStyle="1" w:styleId="351F97E736274FF0994F1CE60D68DE77">
    <w:name w:val="351F97E736274FF0994F1CE60D68DE77"/>
  </w:style>
  <w:style w:type="paragraph" w:customStyle="1" w:styleId="BEEE93B5055349CDA16253D1263663B8">
    <w:name w:val="BEEE93B5055349CDA16253D1263663B8"/>
  </w:style>
  <w:style w:type="paragraph" w:customStyle="1" w:styleId="EE2DA83037A34D638D4ED63942E9D9E4">
    <w:name w:val="EE2DA83037A34D638D4ED63942E9D9E4"/>
  </w:style>
  <w:style w:type="paragraph" w:customStyle="1" w:styleId="63F8F156A0BA49FD94B529EB45F4DDD9">
    <w:name w:val="63F8F156A0BA49FD94B529EB45F4DDD9"/>
    <w:rsid w:val="00C66D9E"/>
  </w:style>
  <w:style w:type="paragraph" w:customStyle="1" w:styleId="B9AD265B8BA14DF9BFC87494C85D00AA">
    <w:name w:val="B9AD265B8BA14DF9BFC87494C85D00AA"/>
    <w:rsid w:val="00C6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71F3-0229-41A9-830E-142959DF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18</TotalTime>
  <Pages>7</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Pension and Fiduciary Service Quality Call - Fiduciary April 2023 Bulletin</vt:lpstr>
    </vt:vector>
  </TitlesOfParts>
  <Company>Veterans Benefits Administration</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and Fiduciary Service Quality Call - Fiduciary April 2023 Bulletin</dc:title>
  <dc:subject/>
  <dc:creator>Department of Veterans Affairs, Veterans Benefits Administration, Fiduciary Service, STAFF</dc:creator>
  <cp:keywords/>
  <dc:description/>
  <cp:lastModifiedBy>Kathy Poole</cp:lastModifiedBy>
  <cp:revision>5</cp:revision>
  <dcterms:created xsi:type="dcterms:W3CDTF">2023-05-10T16:05:00Z</dcterms:created>
  <dcterms:modified xsi:type="dcterms:W3CDTF">2023-05-11T13:11:00Z</dcterms:modified>
  <cp:category>NTC Curriculum</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