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BE28D" w14:textId="0F99506F" w:rsidR="00290A0E" w:rsidRDefault="00F10231" w:rsidP="00290A0E">
      <w:pPr>
        <w:spacing w:after="0"/>
        <w:jc w:val="center"/>
        <w:rPr>
          <w:rFonts w:ascii="Arial" w:eastAsia="Helvetica" w:hAnsi="Arial" w:cs="Arial"/>
          <w:b/>
          <w:sz w:val="28"/>
          <w:szCs w:val="20"/>
        </w:rPr>
      </w:pPr>
      <w:r>
        <w:rPr>
          <w:noProof/>
        </w:rPr>
        <w:drawing>
          <wp:anchor distT="0" distB="0" distL="114300" distR="114300" simplePos="0" relativeHeight="251659264" behindDoc="0" locked="0" layoutInCell="1" allowOverlap="1" wp14:anchorId="1DD474FF" wp14:editId="07AF79E2">
            <wp:simplePos x="0" y="0"/>
            <wp:positionH relativeFrom="margin">
              <wp:align>left</wp:align>
            </wp:positionH>
            <wp:positionV relativeFrom="paragraph">
              <wp:posOffset>-13970</wp:posOffset>
            </wp:positionV>
            <wp:extent cx="1950720" cy="584259"/>
            <wp:effectExtent l="0" t="0" r="0" b="6350"/>
            <wp:wrapNone/>
            <wp:docPr id="1" name="Picture 1">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48536" t="79948" r="15227"/>
                    <a:stretch>
                      <a:fillRect/>
                    </a:stretch>
                  </pic:blipFill>
                  <pic:spPr bwMode="auto">
                    <a:xfrm>
                      <a:off x="0" y="0"/>
                      <a:ext cx="1950720" cy="584259"/>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r w:rsidR="00290A0E">
        <w:tab/>
      </w:r>
    </w:p>
    <w:p w14:paraId="7D11C2D2" w14:textId="77777777" w:rsidR="00290A0E" w:rsidRDefault="00290A0E" w:rsidP="00290A0E">
      <w:pPr>
        <w:spacing w:after="0"/>
        <w:rPr>
          <w:rFonts w:ascii="Arial" w:eastAsia="Helvetica" w:hAnsi="Arial" w:cs="Arial"/>
          <w:b/>
          <w:sz w:val="28"/>
          <w:szCs w:val="20"/>
        </w:rPr>
      </w:pPr>
    </w:p>
    <w:p w14:paraId="435DAE87" w14:textId="77777777" w:rsidR="00F10231" w:rsidRPr="00F10231" w:rsidRDefault="00F10231" w:rsidP="00F10231">
      <w:pPr>
        <w:spacing w:after="0"/>
        <w:rPr>
          <w:rFonts w:ascii="Arial" w:eastAsia="Helvetica" w:hAnsi="Arial" w:cs="Arial"/>
          <w:b/>
          <w:sz w:val="20"/>
          <w:szCs w:val="20"/>
        </w:rPr>
      </w:pPr>
    </w:p>
    <w:p w14:paraId="2D6BDB9A" w14:textId="71E3987C" w:rsidR="00290A0E" w:rsidRPr="00A43E46" w:rsidRDefault="00290A0E" w:rsidP="00F10231">
      <w:pPr>
        <w:spacing w:after="0"/>
        <w:rPr>
          <w:rFonts w:ascii="Arial" w:eastAsia="Helvetica" w:hAnsi="Arial" w:cs="Arial"/>
          <w:b/>
          <w:sz w:val="52"/>
          <w:szCs w:val="52"/>
        </w:rPr>
      </w:pPr>
      <w:r w:rsidRPr="00A43E46">
        <w:rPr>
          <w:rFonts w:ascii="Arial" w:eastAsia="Helvetica" w:hAnsi="Arial" w:cs="Arial"/>
          <w:b/>
          <w:sz w:val="52"/>
          <w:szCs w:val="52"/>
        </w:rPr>
        <w:t>Pension and Fiduciary (P&amp;F) Service</w:t>
      </w:r>
    </w:p>
    <w:p w14:paraId="43B35C89" w14:textId="77777777" w:rsidR="007D5F00" w:rsidRDefault="007D5F00"/>
    <w:tbl>
      <w:tblPr>
        <w:tblStyle w:val="TableGrid"/>
        <w:tblW w:w="500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7650"/>
        <w:gridCol w:w="2574"/>
      </w:tblGrid>
      <w:tr w:rsidR="002B2D13" w:rsidRPr="002768A9" w14:paraId="44BA1CAA" w14:textId="77777777" w:rsidTr="001E0877">
        <w:tc>
          <w:tcPr>
            <w:tcW w:w="7650" w:type="dxa"/>
          </w:tcPr>
          <w:p w14:paraId="52F1DEFE" w14:textId="6F69E6E2" w:rsidR="002B2D13" w:rsidRPr="00A43E46" w:rsidRDefault="0063741D">
            <w:pPr>
              <w:pStyle w:val="Title"/>
              <w:rPr>
                <w:sz w:val="44"/>
                <w:szCs w:val="44"/>
              </w:rPr>
            </w:pPr>
            <w:r w:rsidRPr="00A43E46">
              <w:rPr>
                <w:sz w:val="44"/>
                <w:szCs w:val="44"/>
              </w:rPr>
              <w:t>Fiduciary</w:t>
            </w:r>
            <w:r w:rsidR="007D5F00" w:rsidRPr="00A43E46">
              <w:rPr>
                <w:sz w:val="44"/>
                <w:szCs w:val="44"/>
              </w:rPr>
              <w:t xml:space="preserve"> Quality Call</w:t>
            </w:r>
          </w:p>
        </w:tc>
        <w:tc>
          <w:tcPr>
            <w:tcW w:w="2574" w:type="dxa"/>
            <w:vAlign w:val="bottom"/>
          </w:tcPr>
          <w:p w14:paraId="24048D58" w14:textId="6B38EACE" w:rsidR="00D62E01" w:rsidRPr="002768A9" w:rsidRDefault="00000000">
            <w:pPr>
              <w:pStyle w:val="Heading3"/>
            </w:pPr>
            <w:sdt>
              <w:sdtPr>
                <w:id w:val="2006626827"/>
                <w:placeholder>
                  <w:docPart w:val="0E5DDF16B8D840B4B01294AF94A69C40"/>
                </w:placeholder>
                <w:temporary/>
                <w:showingPlcHdr/>
                <w15:appearance w15:val="hidden"/>
              </w:sdtPr>
              <w:sdtContent>
                <w:r w:rsidR="00D62E01" w:rsidRPr="002768A9">
                  <w:t>Date</w:t>
                </w:r>
              </w:sdtContent>
            </w:sdt>
            <w:r w:rsidR="007D5F00" w:rsidRPr="002768A9">
              <w:t xml:space="preserve">: </w:t>
            </w:r>
            <w:r w:rsidR="000406F8" w:rsidRPr="002768A9">
              <w:t xml:space="preserve">February </w:t>
            </w:r>
            <w:r w:rsidR="00D038E6" w:rsidRPr="002768A9">
              <w:t>28</w:t>
            </w:r>
            <w:r w:rsidR="000D431A" w:rsidRPr="002768A9">
              <w:t xml:space="preserve">, </w:t>
            </w:r>
            <w:r w:rsidR="000406F8" w:rsidRPr="002768A9">
              <w:t>2023</w:t>
            </w:r>
          </w:p>
          <w:p w14:paraId="5DAF1EFE" w14:textId="308F6AE8" w:rsidR="00D62E01" w:rsidRPr="002768A9" w:rsidRDefault="007D5F00">
            <w:pPr>
              <w:pStyle w:val="Heading3"/>
            </w:pPr>
            <w:r w:rsidRPr="002768A9">
              <w:t xml:space="preserve">TMS: # VA </w:t>
            </w:r>
            <w:r w:rsidR="00B312D0">
              <w:t>4640155</w:t>
            </w:r>
          </w:p>
          <w:p w14:paraId="2244CEB1" w14:textId="77777777" w:rsidR="002B2D13" w:rsidRPr="002768A9" w:rsidRDefault="002B2D13" w:rsidP="00D62E01">
            <w:pPr>
              <w:pStyle w:val="Heading3"/>
            </w:pPr>
          </w:p>
        </w:tc>
      </w:tr>
    </w:tbl>
    <w:tbl>
      <w:tblPr>
        <w:tblW w:w="9050" w:type="pct"/>
        <w:tblCellMar>
          <w:top w:w="14" w:type="dxa"/>
          <w:left w:w="0" w:type="dxa"/>
          <w:bottom w:w="14" w:type="dxa"/>
          <w:right w:w="0" w:type="dxa"/>
        </w:tblCellMar>
        <w:tblLook w:val="0000" w:firstRow="0" w:lastRow="0" w:firstColumn="0" w:lastColumn="0" w:noHBand="0" w:noVBand="0"/>
        <w:tblDescription w:val="Layout table"/>
      </w:tblPr>
      <w:tblGrid>
        <w:gridCol w:w="10260"/>
        <w:gridCol w:w="8245"/>
      </w:tblGrid>
      <w:tr w:rsidR="00F96A26" w:rsidRPr="00D60069" w14:paraId="11430F0D" w14:textId="77777777" w:rsidTr="00EE1706">
        <w:tc>
          <w:tcPr>
            <w:tcW w:w="10260" w:type="dxa"/>
          </w:tcPr>
          <w:p w14:paraId="3F7A1F59" w14:textId="5E6CD1CB" w:rsidR="00EE1706" w:rsidRPr="00075FC0" w:rsidRDefault="00EE1706" w:rsidP="00EE1706">
            <w:pPr>
              <w:pStyle w:val="Heading1"/>
              <w:rPr>
                <w:color w:val="8064A2" w:themeColor="accent4"/>
              </w:rPr>
            </w:pPr>
            <w:r w:rsidRPr="00075FC0">
              <w:rPr>
                <w:color w:val="8064A2" w:themeColor="accent4"/>
              </w:rPr>
              <w:t>AGENDA</w:t>
            </w:r>
            <w:r>
              <w:rPr>
                <w:color w:val="8064A2" w:themeColor="accent4"/>
              </w:rPr>
              <w:t xml:space="preserve"> TOPICS</w:t>
            </w:r>
          </w:p>
          <w:p w14:paraId="2E226181" w14:textId="77777777" w:rsidR="00EE1706" w:rsidRDefault="00EE1706" w:rsidP="00D34264"/>
          <w:p w14:paraId="40BBF538" w14:textId="5314FCA1" w:rsidR="00222A05" w:rsidRDefault="00000000" w:rsidP="00D34264">
            <w:pPr>
              <w:rPr>
                <w:sz w:val="22"/>
                <w:szCs w:val="22"/>
              </w:rPr>
            </w:pPr>
            <w:hyperlink w:anchor="ONE_" w:history="1">
              <w:r w:rsidR="008E706D" w:rsidRPr="008E706D">
                <w:rPr>
                  <w:rStyle w:val="Hyperlink"/>
                  <w:sz w:val="22"/>
                  <w:szCs w:val="22"/>
                </w:rPr>
                <w:t xml:space="preserve">ITEM 1:  </w:t>
              </w:r>
              <w:r w:rsidR="00AE267F">
                <w:rPr>
                  <w:rStyle w:val="Hyperlink"/>
                  <w:sz w:val="22"/>
                  <w:szCs w:val="22"/>
                </w:rPr>
                <w:t>Fiduciary Quality</w:t>
              </w:r>
            </w:hyperlink>
            <w:r w:rsidR="00AE267F">
              <w:rPr>
                <w:rStyle w:val="Hyperlink"/>
                <w:sz w:val="22"/>
                <w:szCs w:val="22"/>
              </w:rPr>
              <w:t xml:space="preserve"> Error Trend Analysis</w:t>
            </w:r>
          </w:p>
          <w:p w14:paraId="337F9C12" w14:textId="3BEFCF7E" w:rsidR="008E706D" w:rsidRDefault="00000000" w:rsidP="00D34264">
            <w:pPr>
              <w:rPr>
                <w:sz w:val="22"/>
                <w:szCs w:val="22"/>
              </w:rPr>
            </w:pPr>
            <w:hyperlink w:anchor="TWO_" w:history="1">
              <w:r w:rsidR="008E706D" w:rsidRPr="008E706D">
                <w:rPr>
                  <w:rStyle w:val="Hyperlink"/>
                  <w:sz w:val="22"/>
                  <w:szCs w:val="22"/>
                </w:rPr>
                <w:t xml:space="preserve">ITEM 2:  </w:t>
              </w:r>
              <w:r w:rsidR="00AE267F" w:rsidRPr="00AE267F">
                <w:rPr>
                  <w:rStyle w:val="Hyperlink"/>
                  <w:sz w:val="22"/>
                  <w:szCs w:val="22"/>
                </w:rPr>
                <w:t>Update on Step-by-Step Quality Review Guidelines</w:t>
              </w:r>
            </w:hyperlink>
          </w:p>
          <w:p w14:paraId="3239230C" w14:textId="2F712CE4" w:rsidR="008E706D" w:rsidRDefault="00000000" w:rsidP="00D34264">
            <w:pPr>
              <w:rPr>
                <w:sz w:val="22"/>
                <w:szCs w:val="22"/>
              </w:rPr>
            </w:pPr>
            <w:hyperlink w:anchor="THREE_" w:history="1">
              <w:r w:rsidR="008E706D" w:rsidRPr="008E706D">
                <w:rPr>
                  <w:rStyle w:val="Hyperlink"/>
                  <w:sz w:val="22"/>
                  <w:szCs w:val="22"/>
                </w:rPr>
                <w:t xml:space="preserve">ITEM 3:  </w:t>
              </w:r>
              <w:r w:rsidR="00AE267F">
                <w:rPr>
                  <w:rStyle w:val="Hyperlink"/>
                  <w:sz w:val="22"/>
                  <w:szCs w:val="22"/>
                </w:rPr>
                <w:t>Quality Coalition Group Update</w:t>
              </w:r>
            </w:hyperlink>
          </w:p>
          <w:p w14:paraId="5EE5F0B7" w14:textId="635DED34" w:rsidR="008E706D" w:rsidRDefault="00000000" w:rsidP="00D34264">
            <w:pPr>
              <w:rPr>
                <w:rStyle w:val="Hyperlink"/>
                <w:sz w:val="22"/>
                <w:szCs w:val="22"/>
              </w:rPr>
            </w:pPr>
            <w:hyperlink w:anchor="FOUR_" w:history="1">
              <w:r w:rsidR="008E706D" w:rsidRPr="008E706D">
                <w:rPr>
                  <w:rStyle w:val="Hyperlink"/>
                  <w:sz w:val="22"/>
                  <w:szCs w:val="22"/>
                </w:rPr>
                <w:t xml:space="preserve">ITEM 4:  </w:t>
              </w:r>
              <w:r w:rsidR="00F50BC2" w:rsidRPr="00F50BC2">
                <w:rPr>
                  <w:rStyle w:val="Hyperlink"/>
                  <w:sz w:val="22"/>
                  <w:szCs w:val="22"/>
                </w:rPr>
                <w:t xml:space="preserve">VA Form 21-555 Form Certification to Receive and Disburse Benefits and Fee Authorization </w:t>
              </w:r>
            </w:hyperlink>
          </w:p>
          <w:p w14:paraId="5508C40B" w14:textId="2E463207" w:rsidR="00DE4164" w:rsidRDefault="00000000" w:rsidP="00DE4164">
            <w:pPr>
              <w:rPr>
                <w:sz w:val="22"/>
                <w:szCs w:val="22"/>
              </w:rPr>
            </w:pPr>
            <w:hyperlink w:anchor="THREE_" w:history="1">
              <w:r w:rsidR="00DE4164" w:rsidRPr="008E706D">
                <w:rPr>
                  <w:rStyle w:val="Hyperlink"/>
                  <w:sz w:val="22"/>
                  <w:szCs w:val="22"/>
                </w:rPr>
                <w:t xml:space="preserve">ITEM </w:t>
              </w:r>
              <w:r w:rsidR="00DE4164">
                <w:rPr>
                  <w:rStyle w:val="Hyperlink"/>
                  <w:sz w:val="22"/>
                  <w:szCs w:val="22"/>
                </w:rPr>
                <w:t>5</w:t>
              </w:r>
              <w:r w:rsidR="00DE4164" w:rsidRPr="008E706D">
                <w:rPr>
                  <w:rStyle w:val="Hyperlink"/>
                  <w:sz w:val="22"/>
                  <w:szCs w:val="22"/>
                </w:rPr>
                <w:t xml:space="preserve">:  </w:t>
              </w:r>
              <w:r w:rsidR="00DE4164">
                <w:rPr>
                  <w:rStyle w:val="Hyperlink"/>
                  <w:sz w:val="22"/>
                  <w:szCs w:val="22"/>
                </w:rPr>
                <w:t>Special</w:t>
              </w:r>
            </w:hyperlink>
            <w:r w:rsidR="00DE4164">
              <w:rPr>
                <w:rStyle w:val="Hyperlink"/>
                <w:sz w:val="22"/>
                <w:szCs w:val="22"/>
              </w:rPr>
              <w:t xml:space="preserve"> Focus Review on Field Examination Compliance</w:t>
            </w:r>
          </w:p>
          <w:p w14:paraId="7332F208" w14:textId="7B4A47B4" w:rsidR="002768A9" w:rsidRDefault="00000000" w:rsidP="00D34264">
            <w:pPr>
              <w:rPr>
                <w:rStyle w:val="Hyperlink"/>
                <w:sz w:val="22"/>
                <w:szCs w:val="22"/>
              </w:rPr>
            </w:pPr>
            <w:hyperlink w:anchor="CLOSING_" w:history="1">
              <w:r w:rsidR="002768A9" w:rsidRPr="008E706D">
                <w:rPr>
                  <w:rStyle w:val="Hyperlink"/>
                  <w:sz w:val="22"/>
                  <w:szCs w:val="22"/>
                </w:rPr>
                <w:t>Q</w:t>
              </w:r>
              <w:r w:rsidR="002768A9">
                <w:rPr>
                  <w:rStyle w:val="Hyperlink"/>
                  <w:sz w:val="22"/>
                  <w:szCs w:val="22"/>
                </w:rPr>
                <w:t xml:space="preserve">&amp;A </w:t>
              </w:r>
            </w:hyperlink>
          </w:p>
          <w:p w14:paraId="00D53594" w14:textId="77777777" w:rsidR="00E5025A" w:rsidRDefault="00000000" w:rsidP="00E5025A">
            <w:pPr>
              <w:rPr>
                <w:rStyle w:val="Hyperlink"/>
                <w:sz w:val="22"/>
                <w:szCs w:val="22"/>
              </w:rPr>
            </w:pPr>
            <w:hyperlink w:anchor="FIVE_" w:history="1">
              <w:r w:rsidR="00E5025A" w:rsidRPr="008E706D">
                <w:rPr>
                  <w:rStyle w:val="Hyperlink"/>
                  <w:sz w:val="22"/>
                  <w:szCs w:val="22"/>
                </w:rPr>
                <w:t xml:space="preserve">ITEM </w:t>
              </w:r>
              <w:r w:rsidR="00E5025A">
                <w:rPr>
                  <w:rStyle w:val="Hyperlink"/>
                  <w:sz w:val="22"/>
                  <w:szCs w:val="22"/>
                </w:rPr>
                <w:t>6</w:t>
              </w:r>
              <w:r w:rsidR="00E5025A" w:rsidRPr="008E706D">
                <w:rPr>
                  <w:rStyle w:val="Hyperlink"/>
                  <w:sz w:val="22"/>
                  <w:szCs w:val="22"/>
                </w:rPr>
                <w:t xml:space="preserve">:  </w:t>
              </w:r>
              <w:r w:rsidR="00E5025A">
                <w:rPr>
                  <w:rStyle w:val="Hyperlink"/>
                  <w:sz w:val="22"/>
                  <w:szCs w:val="22"/>
                </w:rPr>
                <w:t>Interactive Discussion</w:t>
              </w:r>
            </w:hyperlink>
            <w:r w:rsidR="00E5025A">
              <w:rPr>
                <w:rStyle w:val="Hyperlink"/>
                <w:sz w:val="22"/>
                <w:szCs w:val="22"/>
              </w:rPr>
              <w:t xml:space="preserve"> on Annual Written Contact</w:t>
            </w:r>
          </w:p>
          <w:p w14:paraId="42DD5B55" w14:textId="788802DE" w:rsidR="008E706D" w:rsidRPr="00EE1706" w:rsidRDefault="00000000" w:rsidP="00D34264">
            <w:pPr>
              <w:rPr>
                <w:sz w:val="22"/>
                <w:szCs w:val="22"/>
              </w:rPr>
            </w:pPr>
            <w:hyperlink w:anchor="CLOSING_" w:history="1">
              <w:r w:rsidR="00A42887" w:rsidRPr="008E706D">
                <w:rPr>
                  <w:rStyle w:val="Hyperlink"/>
                  <w:sz w:val="22"/>
                  <w:szCs w:val="22"/>
                </w:rPr>
                <w:t>Closing</w:t>
              </w:r>
              <w:r w:rsidR="002768A9">
                <w:rPr>
                  <w:rStyle w:val="Hyperlink"/>
                  <w:sz w:val="22"/>
                  <w:szCs w:val="22"/>
                </w:rPr>
                <w:t xml:space="preserve"> &amp;</w:t>
              </w:r>
              <w:r w:rsidR="00A42887" w:rsidRPr="008E706D">
                <w:rPr>
                  <w:rStyle w:val="Hyperlink"/>
                  <w:sz w:val="22"/>
                  <w:szCs w:val="22"/>
                </w:rPr>
                <w:t xml:space="preserve"> Next Quality Call</w:t>
              </w:r>
            </w:hyperlink>
          </w:p>
        </w:tc>
        <w:tc>
          <w:tcPr>
            <w:tcW w:w="8245" w:type="dxa"/>
          </w:tcPr>
          <w:p w14:paraId="4105A977" w14:textId="77777777" w:rsidR="00F96A26" w:rsidRPr="00D60069" w:rsidRDefault="00F96A26" w:rsidP="00D62E01"/>
        </w:tc>
      </w:tr>
    </w:tbl>
    <w:p w14:paraId="54A530E0" w14:textId="77777777" w:rsidR="002B2D13" w:rsidRPr="00075FC0" w:rsidRDefault="007D5F00">
      <w:pPr>
        <w:pStyle w:val="Heading1"/>
        <w:rPr>
          <w:color w:val="8064A2" w:themeColor="accent4"/>
        </w:rPr>
      </w:pPr>
      <w:r w:rsidRPr="00075FC0">
        <w:rPr>
          <w:color w:val="8064A2" w:themeColor="accent4"/>
        </w:rPr>
        <w:t>AGENDA</w:t>
      </w:r>
      <w:r w:rsidR="005537F7">
        <w:rPr>
          <w:color w:val="8064A2" w:themeColor="accent4"/>
        </w:rPr>
        <w:t xml:space="preserve"> ITEMS</w:t>
      </w:r>
    </w:p>
    <w:tbl>
      <w:tblPr>
        <w:tblW w:w="5000" w:type="pct"/>
        <w:tblCellMar>
          <w:left w:w="0" w:type="dxa"/>
          <w:right w:w="0" w:type="dxa"/>
        </w:tblCellMar>
        <w:tblLook w:val="0000" w:firstRow="0" w:lastRow="0" w:firstColumn="0" w:lastColumn="0" w:noHBand="0" w:noVBand="0"/>
        <w:tblDescription w:val="Layout table"/>
      </w:tblPr>
      <w:tblGrid>
        <w:gridCol w:w="1620"/>
        <w:gridCol w:w="4970"/>
        <w:gridCol w:w="1324"/>
        <w:gridCol w:w="2310"/>
      </w:tblGrid>
      <w:tr w:rsidR="002B2D13" w:rsidRPr="00D60069" w14:paraId="6A9A53A7" w14:textId="77777777" w:rsidTr="00D62E01">
        <w:tc>
          <w:tcPr>
            <w:tcW w:w="1620" w:type="dxa"/>
          </w:tcPr>
          <w:p w14:paraId="6050E255" w14:textId="77777777" w:rsidR="002B2D13" w:rsidRPr="00075FC0" w:rsidRDefault="00000000">
            <w:pPr>
              <w:pStyle w:val="Heading2"/>
              <w:rPr>
                <w:color w:val="8064A2" w:themeColor="accent4"/>
              </w:rPr>
            </w:pPr>
            <w:sdt>
              <w:sdtPr>
                <w:rPr>
                  <w:color w:val="8064A2" w:themeColor="accent4"/>
                </w:rPr>
                <w:id w:val="90904773"/>
                <w:placeholder>
                  <w:docPart w:val="20DE57C5D5E449D1A227C0884E237AD8"/>
                </w:placeholder>
                <w:temporary/>
                <w:showingPlcHdr/>
                <w15:appearance w15:val="hidden"/>
              </w:sdtPr>
              <w:sdtContent>
                <w:r w:rsidR="006344A8" w:rsidRPr="007E4418">
                  <w:rPr>
                    <w:color w:val="8064A2" w:themeColor="accent4"/>
                    <w:sz w:val="24"/>
                    <w:szCs w:val="24"/>
                  </w:rPr>
                  <w:t>Agenda item:</w:t>
                </w:r>
              </w:sdtContent>
            </w:sdt>
          </w:p>
        </w:tc>
        <w:tc>
          <w:tcPr>
            <w:tcW w:w="4970" w:type="dxa"/>
          </w:tcPr>
          <w:p w14:paraId="1A07B25E" w14:textId="545D5A3B" w:rsidR="002B2D13" w:rsidRPr="00075FC0" w:rsidRDefault="00AE267F">
            <w:pPr>
              <w:rPr>
                <w:color w:val="8064A2" w:themeColor="accent4"/>
                <w:sz w:val="24"/>
                <w:szCs w:val="24"/>
              </w:rPr>
            </w:pPr>
            <w:r w:rsidRPr="00AE267F">
              <w:rPr>
                <w:color w:val="8064A2" w:themeColor="accent4"/>
                <w:sz w:val="24"/>
                <w:szCs w:val="24"/>
              </w:rPr>
              <w:t>Fiduciary Quality Error Trend Analysis</w:t>
            </w:r>
            <w:bookmarkStart w:id="0" w:name="ONE_"/>
            <w:bookmarkEnd w:id="0"/>
          </w:p>
        </w:tc>
        <w:tc>
          <w:tcPr>
            <w:tcW w:w="1324" w:type="dxa"/>
          </w:tcPr>
          <w:p w14:paraId="345291AC" w14:textId="77777777" w:rsidR="002B2D13" w:rsidRPr="00075FC0" w:rsidRDefault="00000000">
            <w:pPr>
              <w:pStyle w:val="Heading2"/>
              <w:rPr>
                <w:color w:val="8064A2" w:themeColor="accent4"/>
              </w:rPr>
            </w:pPr>
            <w:sdt>
              <w:sdtPr>
                <w:rPr>
                  <w:color w:val="8064A2" w:themeColor="accent4"/>
                </w:rPr>
                <w:id w:val="1737199064"/>
                <w:placeholder>
                  <w:docPart w:val="351F97E736274FF0994F1CE60D68DE77"/>
                </w:placeholder>
                <w:temporary/>
                <w:showingPlcHdr/>
                <w15:appearance w15:val="hidden"/>
              </w:sdtPr>
              <w:sdtContent>
                <w:r w:rsidR="006344A8" w:rsidRPr="00075FC0">
                  <w:rPr>
                    <w:color w:val="8064A2" w:themeColor="accent4"/>
                    <w:sz w:val="24"/>
                    <w:szCs w:val="24"/>
                  </w:rPr>
                  <w:t>Presenter:</w:t>
                </w:r>
              </w:sdtContent>
            </w:sdt>
          </w:p>
        </w:tc>
        <w:tc>
          <w:tcPr>
            <w:tcW w:w="2310" w:type="dxa"/>
          </w:tcPr>
          <w:p w14:paraId="5EAB3EF0" w14:textId="55D84B3A" w:rsidR="002B2D13" w:rsidRPr="00075FC0" w:rsidRDefault="00AE267F">
            <w:pPr>
              <w:rPr>
                <w:color w:val="8064A2" w:themeColor="accent4"/>
                <w:sz w:val="24"/>
                <w:szCs w:val="24"/>
              </w:rPr>
            </w:pPr>
            <w:r>
              <w:rPr>
                <w:color w:val="8064A2" w:themeColor="accent4"/>
                <w:sz w:val="24"/>
                <w:szCs w:val="24"/>
              </w:rPr>
              <w:t>Alvin Hill, Analyst</w:t>
            </w:r>
          </w:p>
        </w:tc>
      </w:tr>
    </w:tbl>
    <w:p w14:paraId="3D881F09" w14:textId="77777777" w:rsidR="002B2D13" w:rsidRPr="00075FC0" w:rsidRDefault="00075FC0">
      <w:pPr>
        <w:pStyle w:val="Heading4"/>
        <w:rPr>
          <w:color w:val="548DD4" w:themeColor="text2" w:themeTint="99"/>
          <w:sz w:val="24"/>
          <w:szCs w:val="24"/>
        </w:rPr>
      </w:pPr>
      <w:r w:rsidRPr="00075FC0">
        <w:rPr>
          <w:color w:val="548DD4" w:themeColor="text2" w:themeTint="99"/>
          <w:sz w:val="24"/>
          <w:szCs w:val="24"/>
        </w:rPr>
        <w:t>Target Audience:</w:t>
      </w:r>
    </w:p>
    <w:p w14:paraId="795DD46F" w14:textId="77777777" w:rsidR="00AE267F" w:rsidRDefault="00AE267F">
      <w:pPr>
        <w:pStyle w:val="Heading4"/>
        <w:rPr>
          <w:b w:val="0"/>
          <w:color w:val="4F81BD" w:themeColor="accent1"/>
          <w:sz w:val="24"/>
          <w:szCs w:val="24"/>
        </w:rPr>
      </w:pPr>
      <w:bookmarkStart w:id="1" w:name="_Hlk126846705"/>
      <w:r w:rsidRPr="00AE267F">
        <w:rPr>
          <w:b w:val="0"/>
          <w:color w:val="4F81BD" w:themeColor="accent1"/>
          <w:sz w:val="24"/>
          <w:szCs w:val="24"/>
        </w:rPr>
        <w:t>Quality Review Team (QRT) Program Specialists and Coaches/Assistant Coaches</w:t>
      </w:r>
    </w:p>
    <w:bookmarkEnd w:id="1"/>
    <w:p w14:paraId="79894D9C" w14:textId="01B434E5" w:rsidR="002B2D13" w:rsidRPr="00075FC0" w:rsidRDefault="005537F7">
      <w:pPr>
        <w:pStyle w:val="Heading4"/>
        <w:rPr>
          <w:sz w:val="24"/>
          <w:szCs w:val="24"/>
        </w:rPr>
      </w:pPr>
      <w:r>
        <w:rPr>
          <w:sz w:val="24"/>
          <w:szCs w:val="24"/>
        </w:rPr>
        <w:t>Discussion</w:t>
      </w:r>
      <w:r w:rsidR="00075FC0" w:rsidRPr="00075FC0">
        <w:rPr>
          <w:sz w:val="24"/>
          <w:szCs w:val="24"/>
        </w:rPr>
        <w:t>:</w:t>
      </w:r>
    </w:p>
    <w:p w14:paraId="1D7625F3" w14:textId="77777777" w:rsidR="00DC42BF" w:rsidRPr="00DC42BF" w:rsidRDefault="00DC42BF" w:rsidP="00DC42BF">
      <w:pPr>
        <w:shd w:val="clear" w:color="auto" w:fill="FFFFFF"/>
        <w:spacing w:before="0" w:after="0"/>
        <w:rPr>
          <w:rFonts w:asciiTheme="majorHAnsi" w:eastAsia="Times New Roman" w:hAnsiTheme="majorHAnsi" w:cstheme="majorHAnsi"/>
          <w:color w:val="242424"/>
          <w:sz w:val="23"/>
          <w:szCs w:val="23"/>
        </w:rPr>
      </w:pPr>
      <w:r w:rsidRPr="00DC42BF">
        <w:rPr>
          <w:rFonts w:asciiTheme="majorHAnsi" w:eastAsia="Times New Roman" w:hAnsiTheme="majorHAnsi" w:cstheme="majorHAnsi"/>
          <w:b/>
          <w:bCs/>
          <w:color w:val="242424"/>
          <w:sz w:val="23"/>
          <w:szCs w:val="23"/>
          <w:u w:val="single"/>
        </w:rPr>
        <w:t>Accounting</w:t>
      </w:r>
    </w:p>
    <w:p w14:paraId="589AA036" w14:textId="77777777" w:rsidR="00DC42BF" w:rsidRPr="00DC42BF" w:rsidRDefault="00DC42BF" w:rsidP="00DC42BF">
      <w:pPr>
        <w:shd w:val="clear" w:color="auto" w:fill="FFFFFF"/>
        <w:spacing w:before="0" w:after="0"/>
        <w:rPr>
          <w:rFonts w:asciiTheme="majorHAnsi" w:eastAsia="Times New Roman" w:hAnsiTheme="majorHAnsi" w:cstheme="majorHAnsi"/>
          <w:color w:val="242424"/>
          <w:sz w:val="21"/>
          <w:szCs w:val="21"/>
        </w:rPr>
      </w:pPr>
    </w:p>
    <w:p w14:paraId="3E8DE309" w14:textId="77777777" w:rsidR="00FE007F" w:rsidRPr="00DC42BF" w:rsidRDefault="00FE007F" w:rsidP="00FE007F">
      <w:pPr>
        <w:shd w:val="clear" w:color="auto" w:fill="FFFFFF"/>
        <w:spacing w:before="0" w:after="0"/>
        <w:rPr>
          <w:rFonts w:eastAsia="Times New Roman" w:cstheme="minorHAnsi"/>
          <w:color w:val="242424"/>
          <w:sz w:val="21"/>
          <w:szCs w:val="21"/>
        </w:rPr>
      </w:pPr>
      <w:r>
        <w:rPr>
          <w:rFonts w:eastAsia="Times New Roman" w:cstheme="minorHAnsi"/>
          <w:color w:val="242424"/>
          <w:sz w:val="24"/>
          <w:szCs w:val="24"/>
        </w:rPr>
        <w:t>During the review period of December 2022 through January 2023, a</w:t>
      </w:r>
      <w:r w:rsidRPr="00DC42BF">
        <w:rPr>
          <w:rFonts w:eastAsia="Times New Roman" w:cstheme="minorHAnsi"/>
          <w:color w:val="242424"/>
          <w:sz w:val="24"/>
          <w:szCs w:val="24"/>
        </w:rPr>
        <w:t xml:space="preserve"> total of 47 errors were found resulting in 18 being critical in 13 unique cases that impact individual hub and overall national quality. The remaining 29 errors were non-critical and do not impact national quality. There were three consistently reoccurring questions that were the primary Financial Review errors found during the quarter. </w:t>
      </w:r>
    </w:p>
    <w:p w14:paraId="27A87FEF" w14:textId="77777777" w:rsidR="00DC42BF" w:rsidRPr="00DC42BF" w:rsidRDefault="00DC42BF" w:rsidP="00DC42BF">
      <w:pPr>
        <w:shd w:val="clear" w:color="auto" w:fill="FFFFFF"/>
        <w:spacing w:before="0" w:after="0"/>
        <w:rPr>
          <w:rFonts w:eastAsia="Times New Roman" w:cstheme="minorHAnsi"/>
          <w:color w:val="242424"/>
          <w:sz w:val="21"/>
          <w:szCs w:val="21"/>
        </w:rPr>
      </w:pPr>
    </w:p>
    <w:p w14:paraId="0640CC9E" w14:textId="77777777" w:rsidR="00DC42BF" w:rsidRPr="00DC42BF" w:rsidRDefault="00DC42BF" w:rsidP="00DC42BF">
      <w:pPr>
        <w:shd w:val="clear" w:color="auto" w:fill="FFFFFF"/>
        <w:spacing w:before="0" w:after="0"/>
        <w:rPr>
          <w:rFonts w:eastAsia="Times New Roman" w:cstheme="minorHAnsi"/>
          <w:color w:val="242424"/>
          <w:sz w:val="21"/>
          <w:szCs w:val="21"/>
        </w:rPr>
      </w:pPr>
      <w:r w:rsidRPr="00DC42BF">
        <w:rPr>
          <w:rFonts w:eastAsia="Times New Roman" w:cstheme="minorHAnsi"/>
          <w:color w:val="242424"/>
          <w:sz w:val="24"/>
          <w:szCs w:val="24"/>
        </w:rPr>
        <w:t>The three most cited errors are outlined in the following chart:</w:t>
      </w:r>
    </w:p>
    <w:p w14:paraId="7EF6863D" w14:textId="77777777" w:rsidR="00DC42BF" w:rsidRPr="00DC42BF" w:rsidRDefault="00DC42BF" w:rsidP="00DC42BF">
      <w:pPr>
        <w:shd w:val="clear" w:color="auto" w:fill="FFFFFF"/>
        <w:spacing w:before="0" w:after="0"/>
        <w:rPr>
          <w:rFonts w:asciiTheme="majorHAnsi" w:eastAsia="Times New Roman" w:hAnsiTheme="majorHAnsi" w:cstheme="majorHAnsi"/>
          <w:color w:val="242424"/>
          <w:sz w:val="21"/>
          <w:szCs w:val="21"/>
        </w:rPr>
      </w:pPr>
    </w:p>
    <w:tbl>
      <w:tblPr>
        <w:tblW w:w="10501" w:type="dxa"/>
        <w:tblBorders>
          <w:top w:val="single" w:sz="24" w:space="0" w:color="D1D1D1"/>
          <w:left w:val="single" w:sz="24" w:space="0" w:color="D1D1D1"/>
          <w:bottom w:val="single" w:sz="24" w:space="0" w:color="D1D1D1"/>
          <w:right w:val="single" w:sz="24" w:space="0" w:color="D1D1D1"/>
        </w:tblBorders>
        <w:shd w:val="clear" w:color="auto" w:fill="FFFFFF"/>
        <w:tblCellMar>
          <w:top w:w="15" w:type="dxa"/>
          <w:left w:w="15" w:type="dxa"/>
          <w:bottom w:w="15" w:type="dxa"/>
          <w:right w:w="15" w:type="dxa"/>
        </w:tblCellMar>
        <w:tblLook w:val="04A0" w:firstRow="1" w:lastRow="0" w:firstColumn="1" w:lastColumn="0" w:noHBand="0" w:noVBand="1"/>
      </w:tblPr>
      <w:tblGrid>
        <w:gridCol w:w="1410"/>
        <w:gridCol w:w="9091"/>
      </w:tblGrid>
      <w:tr w:rsidR="00DC42BF" w:rsidRPr="00DC42BF" w14:paraId="6B72B530" w14:textId="77777777" w:rsidTr="0019730E">
        <w:trPr>
          <w:trHeight w:val="307"/>
        </w:trPr>
        <w:tc>
          <w:tcPr>
            <w:tcW w:w="1410" w:type="dxa"/>
            <w:tcBorders>
              <w:top w:val="single" w:sz="24" w:space="0" w:color="D1D1D1"/>
              <w:left w:val="single" w:sz="24" w:space="0" w:color="D1D1D1"/>
              <w:bottom w:val="single" w:sz="24" w:space="0" w:color="D1D1D1"/>
              <w:right w:val="single" w:sz="24" w:space="0" w:color="D1D1D1"/>
            </w:tcBorders>
            <w:shd w:val="clear" w:color="auto" w:fill="FFFFFF"/>
            <w:vAlign w:val="center"/>
            <w:hideMark/>
          </w:tcPr>
          <w:p w14:paraId="5288BEE1" w14:textId="77777777" w:rsidR="00DC42BF" w:rsidRPr="00DC42BF" w:rsidRDefault="00DC42BF" w:rsidP="00DC42BF">
            <w:pPr>
              <w:spacing w:before="0" w:after="0"/>
              <w:jc w:val="center"/>
              <w:rPr>
                <w:rFonts w:asciiTheme="majorHAnsi" w:eastAsia="Times New Roman" w:hAnsiTheme="majorHAnsi" w:cstheme="majorHAnsi"/>
                <w:color w:val="242424"/>
                <w:sz w:val="23"/>
                <w:szCs w:val="23"/>
              </w:rPr>
            </w:pPr>
            <w:r w:rsidRPr="00DC42BF">
              <w:rPr>
                <w:rFonts w:asciiTheme="majorHAnsi" w:eastAsia="Times New Roman" w:hAnsiTheme="majorHAnsi" w:cstheme="majorHAnsi"/>
                <w:b/>
                <w:bCs/>
                <w:color w:val="242424"/>
                <w:sz w:val="23"/>
                <w:szCs w:val="23"/>
              </w:rPr>
              <w:t>Error Title</w:t>
            </w:r>
          </w:p>
        </w:tc>
        <w:tc>
          <w:tcPr>
            <w:tcW w:w="9091" w:type="dxa"/>
            <w:tcBorders>
              <w:top w:val="single" w:sz="24" w:space="0" w:color="D1D1D1"/>
              <w:left w:val="single" w:sz="24" w:space="0" w:color="D1D1D1"/>
              <w:bottom w:val="single" w:sz="24" w:space="0" w:color="D1D1D1"/>
              <w:right w:val="single" w:sz="24" w:space="0" w:color="D1D1D1"/>
            </w:tcBorders>
            <w:shd w:val="clear" w:color="auto" w:fill="FFFFFF"/>
            <w:hideMark/>
          </w:tcPr>
          <w:p w14:paraId="630FAD28" w14:textId="77777777" w:rsidR="00DC42BF" w:rsidRPr="00DC42BF" w:rsidRDefault="00DC42BF" w:rsidP="00DC42BF">
            <w:pPr>
              <w:spacing w:before="0" w:after="0"/>
              <w:jc w:val="center"/>
              <w:rPr>
                <w:rFonts w:asciiTheme="majorHAnsi" w:eastAsia="Times New Roman" w:hAnsiTheme="majorHAnsi" w:cstheme="majorHAnsi"/>
                <w:color w:val="242424"/>
                <w:sz w:val="23"/>
                <w:szCs w:val="23"/>
              </w:rPr>
            </w:pPr>
            <w:r w:rsidRPr="00DC42BF">
              <w:rPr>
                <w:rFonts w:asciiTheme="majorHAnsi" w:eastAsia="Times New Roman" w:hAnsiTheme="majorHAnsi" w:cstheme="majorHAnsi"/>
                <w:b/>
                <w:bCs/>
                <w:color w:val="242424"/>
                <w:sz w:val="23"/>
                <w:szCs w:val="23"/>
              </w:rPr>
              <w:t>Error Description</w:t>
            </w:r>
          </w:p>
        </w:tc>
      </w:tr>
      <w:tr w:rsidR="00DC42BF" w:rsidRPr="00DC42BF" w14:paraId="5780C4AB" w14:textId="77777777" w:rsidTr="0019730E">
        <w:trPr>
          <w:trHeight w:val="295"/>
        </w:trPr>
        <w:tc>
          <w:tcPr>
            <w:tcW w:w="1410" w:type="dxa"/>
            <w:tcBorders>
              <w:top w:val="single" w:sz="24" w:space="0" w:color="D1D1D1"/>
              <w:left w:val="single" w:sz="24" w:space="0" w:color="D1D1D1"/>
              <w:bottom w:val="single" w:sz="24" w:space="0" w:color="D1D1D1"/>
              <w:right w:val="single" w:sz="24" w:space="0" w:color="D1D1D1"/>
            </w:tcBorders>
            <w:shd w:val="clear" w:color="auto" w:fill="FFFFFF"/>
            <w:vAlign w:val="center"/>
            <w:hideMark/>
          </w:tcPr>
          <w:p w14:paraId="2A9DF497" w14:textId="77777777" w:rsidR="00DC42BF" w:rsidRPr="00DC42BF" w:rsidRDefault="00DC42BF" w:rsidP="00DC42BF">
            <w:pPr>
              <w:spacing w:before="0" w:after="0"/>
              <w:rPr>
                <w:rFonts w:asciiTheme="majorHAnsi" w:eastAsia="Times New Roman" w:hAnsiTheme="majorHAnsi" w:cstheme="majorHAnsi"/>
                <w:color w:val="242424"/>
                <w:sz w:val="21"/>
                <w:szCs w:val="21"/>
              </w:rPr>
            </w:pPr>
            <w:r w:rsidRPr="00DC42BF">
              <w:rPr>
                <w:rFonts w:asciiTheme="majorHAnsi" w:eastAsia="Times New Roman" w:hAnsiTheme="majorHAnsi" w:cstheme="majorHAnsi"/>
                <w:color w:val="242424"/>
                <w:sz w:val="24"/>
                <w:szCs w:val="24"/>
              </w:rPr>
              <w:t>NFAQR1a</w:t>
            </w:r>
          </w:p>
        </w:tc>
        <w:tc>
          <w:tcPr>
            <w:tcW w:w="9091" w:type="dxa"/>
            <w:tcBorders>
              <w:top w:val="single" w:sz="24" w:space="0" w:color="D1D1D1"/>
              <w:left w:val="single" w:sz="24" w:space="0" w:color="D1D1D1"/>
              <w:bottom w:val="single" w:sz="24" w:space="0" w:color="D1D1D1"/>
              <w:right w:val="single" w:sz="24" w:space="0" w:color="D1D1D1"/>
            </w:tcBorders>
            <w:shd w:val="clear" w:color="auto" w:fill="FFFFFF"/>
            <w:hideMark/>
          </w:tcPr>
          <w:p w14:paraId="08BD0BF7" w14:textId="77777777" w:rsidR="00DC42BF" w:rsidRPr="00DC42BF" w:rsidRDefault="00DC42BF" w:rsidP="00DC42BF">
            <w:pPr>
              <w:spacing w:before="0" w:after="0"/>
              <w:rPr>
                <w:rFonts w:asciiTheme="majorHAnsi" w:eastAsia="Times New Roman" w:hAnsiTheme="majorHAnsi" w:cstheme="majorHAnsi"/>
                <w:color w:val="242424"/>
                <w:sz w:val="21"/>
                <w:szCs w:val="21"/>
              </w:rPr>
            </w:pPr>
            <w:r w:rsidRPr="00DC42BF">
              <w:rPr>
                <w:rFonts w:asciiTheme="majorHAnsi" w:eastAsia="Times New Roman" w:hAnsiTheme="majorHAnsi" w:cstheme="majorHAnsi"/>
                <w:color w:val="242424"/>
                <w:sz w:val="24"/>
                <w:szCs w:val="24"/>
              </w:rPr>
              <w:t>The beginning and/or ending date of the next accounting period was not correct.</w:t>
            </w:r>
          </w:p>
        </w:tc>
      </w:tr>
      <w:tr w:rsidR="00DC42BF" w:rsidRPr="00DC42BF" w14:paraId="4041A9C6" w14:textId="77777777" w:rsidTr="0019730E">
        <w:trPr>
          <w:trHeight w:val="614"/>
        </w:trPr>
        <w:tc>
          <w:tcPr>
            <w:tcW w:w="1410" w:type="dxa"/>
            <w:tcBorders>
              <w:top w:val="single" w:sz="24" w:space="0" w:color="D1D1D1"/>
              <w:left w:val="single" w:sz="24" w:space="0" w:color="D1D1D1"/>
              <w:bottom w:val="single" w:sz="24" w:space="0" w:color="D1D1D1"/>
              <w:right w:val="single" w:sz="24" w:space="0" w:color="D1D1D1"/>
            </w:tcBorders>
            <w:shd w:val="clear" w:color="auto" w:fill="FFFFFF"/>
            <w:vAlign w:val="center"/>
            <w:hideMark/>
          </w:tcPr>
          <w:p w14:paraId="0205A7F8" w14:textId="77777777" w:rsidR="00DC42BF" w:rsidRPr="00DC42BF" w:rsidRDefault="00DC42BF" w:rsidP="00DC42BF">
            <w:pPr>
              <w:spacing w:before="0" w:after="0"/>
              <w:rPr>
                <w:rFonts w:asciiTheme="majorHAnsi" w:eastAsia="Times New Roman" w:hAnsiTheme="majorHAnsi" w:cstheme="majorHAnsi"/>
                <w:color w:val="242424"/>
                <w:sz w:val="21"/>
                <w:szCs w:val="21"/>
              </w:rPr>
            </w:pPr>
            <w:r w:rsidRPr="00DC42BF">
              <w:rPr>
                <w:rFonts w:asciiTheme="majorHAnsi" w:eastAsia="Times New Roman" w:hAnsiTheme="majorHAnsi" w:cstheme="majorHAnsi"/>
                <w:color w:val="242424"/>
                <w:sz w:val="24"/>
                <w:szCs w:val="24"/>
              </w:rPr>
              <w:t>NFAQR13a</w:t>
            </w:r>
          </w:p>
        </w:tc>
        <w:tc>
          <w:tcPr>
            <w:tcW w:w="9091" w:type="dxa"/>
            <w:tcBorders>
              <w:top w:val="single" w:sz="24" w:space="0" w:color="D1D1D1"/>
              <w:left w:val="single" w:sz="24" w:space="0" w:color="D1D1D1"/>
              <w:bottom w:val="single" w:sz="24" w:space="0" w:color="D1D1D1"/>
              <w:right w:val="single" w:sz="24" w:space="0" w:color="D1D1D1"/>
            </w:tcBorders>
            <w:shd w:val="clear" w:color="auto" w:fill="FFFFFF"/>
            <w:hideMark/>
          </w:tcPr>
          <w:p w14:paraId="2E099263" w14:textId="77777777" w:rsidR="00DC42BF" w:rsidRPr="00DC42BF" w:rsidRDefault="00DC42BF" w:rsidP="00DC42BF">
            <w:pPr>
              <w:spacing w:before="0" w:after="0"/>
              <w:rPr>
                <w:rFonts w:asciiTheme="majorHAnsi" w:eastAsia="Times New Roman" w:hAnsiTheme="majorHAnsi" w:cstheme="majorHAnsi"/>
                <w:color w:val="242424"/>
                <w:sz w:val="21"/>
                <w:szCs w:val="21"/>
              </w:rPr>
            </w:pPr>
            <w:r w:rsidRPr="00DC42BF">
              <w:rPr>
                <w:rFonts w:asciiTheme="majorHAnsi" w:eastAsia="Times New Roman" w:hAnsiTheme="majorHAnsi" w:cstheme="majorHAnsi"/>
                <w:color w:val="242424"/>
                <w:sz w:val="24"/>
                <w:szCs w:val="24"/>
              </w:rPr>
              <w:t>The accounting was approved without receipt of a complete VA Form 21P-4706b, 21P-4706c and/or financial statements for the entire accounting period.</w:t>
            </w:r>
          </w:p>
        </w:tc>
      </w:tr>
      <w:tr w:rsidR="00DC42BF" w:rsidRPr="00DC42BF" w14:paraId="3A0EBDAA" w14:textId="77777777" w:rsidTr="0019730E">
        <w:trPr>
          <w:trHeight w:val="295"/>
        </w:trPr>
        <w:tc>
          <w:tcPr>
            <w:tcW w:w="1410" w:type="dxa"/>
            <w:tcBorders>
              <w:top w:val="single" w:sz="24" w:space="0" w:color="D1D1D1"/>
              <w:left w:val="single" w:sz="24" w:space="0" w:color="D1D1D1"/>
              <w:bottom w:val="single" w:sz="24" w:space="0" w:color="D1D1D1"/>
              <w:right w:val="single" w:sz="24" w:space="0" w:color="D1D1D1"/>
            </w:tcBorders>
            <w:shd w:val="clear" w:color="auto" w:fill="FFFFFF"/>
            <w:vAlign w:val="center"/>
            <w:hideMark/>
          </w:tcPr>
          <w:p w14:paraId="321AD830" w14:textId="77777777" w:rsidR="00DC42BF" w:rsidRPr="00DC42BF" w:rsidRDefault="00DC42BF" w:rsidP="00DC42BF">
            <w:pPr>
              <w:spacing w:before="0" w:after="0"/>
              <w:rPr>
                <w:rFonts w:asciiTheme="majorHAnsi" w:eastAsia="Times New Roman" w:hAnsiTheme="majorHAnsi" w:cstheme="majorHAnsi"/>
                <w:color w:val="242424"/>
                <w:sz w:val="21"/>
                <w:szCs w:val="21"/>
              </w:rPr>
            </w:pPr>
            <w:r w:rsidRPr="00DC42BF">
              <w:rPr>
                <w:rFonts w:asciiTheme="majorHAnsi" w:eastAsia="Times New Roman" w:hAnsiTheme="majorHAnsi" w:cstheme="majorHAnsi"/>
                <w:color w:val="242424"/>
                <w:sz w:val="24"/>
                <w:szCs w:val="24"/>
              </w:rPr>
              <w:lastRenderedPageBreak/>
              <w:t>NFAQR13b</w:t>
            </w:r>
          </w:p>
        </w:tc>
        <w:tc>
          <w:tcPr>
            <w:tcW w:w="9091" w:type="dxa"/>
            <w:tcBorders>
              <w:top w:val="single" w:sz="24" w:space="0" w:color="D1D1D1"/>
              <w:left w:val="single" w:sz="24" w:space="0" w:color="D1D1D1"/>
              <w:bottom w:val="single" w:sz="24" w:space="0" w:color="D1D1D1"/>
              <w:right w:val="single" w:sz="24" w:space="0" w:color="D1D1D1"/>
            </w:tcBorders>
            <w:shd w:val="clear" w:color="auto" w:fill="FFFFFF"/>
            <w:hideMark/>
          </w:tcPr>
          <w:p w14:paraId="4AE47950" w14:textId="77777777" w:rsidR="00DC42BF" w:rsidRPr="00DC42BF" w:rsidRDefault="00DC42BF" w:rsidP="00DC42BF">
            <w:pPr>
              <w:spacing w:before="0" w:after="0"/>
              <w:rPr>
                <w:rFonts w:asciiTheme="majorHAnsi" w:eastAsia="Times New Roman" w:hAnsiTheme="majorHAnsi" w:cstheme="majorHAnsi"/>
                <w:color w:val="242424"/>
                <w:sz w:val="21"/>
                <w:szCs w:val="21"/>
              </w:rPr>
            </w:pPr>
            <w:r w:rsidRPr="00DC42BF">
              <w:rPr>
                <w:rFonts w:asciiTheme="majorHAnsi" w:eastAsia="Times New Roman" w:hAnsiTheme="majorHAnsi" w:cstheme="majorHAnsi"/>
                <w:color w:val="242424"/>
                <w:sz w:val="24"/>
                <w:szCs w:val="24"/>
              </w:rPr>
              <w:t>A credit report has not been obtained and reviewed, if applicable.</w:t>
            </w:r>
          </w:p>
        </w:tc>
      </w:tr>
    </w:tbl>
    <w:p w14:paraId="628F0729" w14:textId="77777777" w:rsidR="00DC42BF" w:rsidRPr="00DC42BF" w:rsidRDefault="00DC42BF" w:rsidP="00DC42BF">
      <w:pPr>
        <w:shd w:val="clear" w:color="auto" w:fill="FFFFFF"/>
        <w:spacing w:before="0" w:after="0"/>
        <w:rPr>
          <w:rFonts w:asciiTheme="majorHAnsi" w:eastAsia="Times New Roman" w:hAnsiTheme="majorHAnsi" w:cstheme="majorHAnsi"/>
          <w:color w:val="242424"/>
          <w:sz w:val="21"/>
          <w:szCs w:val="21"/>
        </w:rPr>
      </w:pPr>
    </w:p>
    <w:p w14:paraId="24129905" w14:textId="77777777" w:rsidR="00DC42BF" w:rsidRPr="00DC42BF" w:rsidRDefault="00DC42BF" w:rsidP="00DC42BF">
      <w:pPr>
        <w:shd w:val="clear" w:color="auto" w:fill="FFFFFF"/>
        <w:spacing w:before="0" w:after="0"/>
        <w:rPr>
          <w:rFonts w:asciiTheme="majorHAnsi" w:eastAsia="Times New Roman" w:hAnsiTheme="majorHAnsi" w:cstheme="majorHAnsi"/>
          <w:color w:val="242424"/>
          <w:sz w:val="21"/>
          <w:szCs w:val="21"/>
        </w:rPr>
      </w:pPr>
      <w:r w:rsidRPr="00DC42BF">
        <w:rPr>
          <w:rFonts w:asciiTheme="majorHAnsi" w:eastAsia="Times New Roman" w:hAnsiTheme="majorHAnsi" w:cstheme="majorHAnsi"/>
          <w:b/>
          <w:bCs/>
          <w:color w:val="242424"/>
          <w:sz w:val="24"/>
          <w:szCs w:val="24"/>
          <w:u w:val="single"/>
        </w:rPr>
        <w:t>Field Examinations</w:t>
      </w:r>
    </w:p>
    <w:p w14:paraId="78852895" w14:textId="77777777" w:rsidR="00DC42BF" w:rsidRPr="00DC42BF" w:rsidRDefault="00DC42BF" w:rsidP="00DC42BF">
      <w:pPr>
        <w:shd w:val="clear" w:color="auto" w:fill="FFFFFF"/>
        <w:spacing w:before="0" w:after="0"/>
        <w:rPr>
          <w:rFonts w:asciiTheme="majorHAnsi" w:eastAsia="Times New Roman" w:hAnsiTheme="majorHAnsi" w:cstheme="majorHAnsi"/>
          <w:color w:val="242424"/>
          <w:sz w:val="21"/>
          <w:szCs w:val="21"/>
        </w:rPr>
      </w:pPr>
    </w:p>
    <w:p w14:paraId="2772DF2E" w14:textId="1218AEA4" w:rsidR="00DC42BF" w:rsidRPr="00DC42BF" w:rsidRDefault="00DC42BF" w:rsidP="00DC42BF">
      <w:pPr>
        <w:shd w:val="clear" w:color="auto" w:fill="FFFFFF"/>
        <w:spacing w:before="0" w:after="0"/>
        <w:rPr>
          <w:rFonts w:asciiTheme="majorHAnsi" w:eastAsia="Times New Roman" w:hAnsiTheme="majorHAnsi" w:cstheme="majorHAnsi"/>
          <w:color w:val="242424"/>
          <w:sz w:val="21"/>
          <w:szCs w:val="21"/>
        </w:rPr>
      </w:pPr>
      <w:r w:rsidRPr="00DC42BF">
        <w:rPr>
          <w:rFonts w:asciiTheme="majorHAnsi" w:eastAsia="Times New Roman" w:hAnsiTheme="majorHAnsi" w:cstheme="majorHAnsi"/>
          <w:color w:val="242424"/>
          <w:sz w:val="24"/>
          <w:szCs w:val="24"/>
        </w:rPr>
        <w:t>There was a total of four field examination errors cited with no critical errors impacting national fiduciary quality.</w:t>
      </w:r>
    </w:p>
    <w:p w14:paraId="7CE8B5B5" w14:textId="77777777" w:rsidR="00DC42BF" w:rsidRPr="00DC42BF" w:rsidRDefault="00DC42BF" w:rsidP="00DC42BF">
      <w:pPr>
        <w:shd w:val="clear" w:color="auto" w:fill="FFFFFF"/>
        <w:spacing w:before="0" w:after="0"/>
        <w:rPr>
          <w:rFonts w:asciiTheme="majorHAnsi" w:eastAsia="Times New Roman" w:hAnsiTheme="majorHAnsi" w:cstheme="majorHAnsi"/>
          <w:color w:val="242424"/>
          <w:sz w:val="21"/>
          <w:szCs w:val="21"/>
        </w:rPr>
      </w:pPr>
    </w:p>
    <w:p w14:paraId="068FE455" w14:textId="77777777" w:rsidR="00DC42BF" w:rsidRPr="00DC42BF" w:rsidRDefault="00DC42BF" w:rsidP="00DC42BF">
      <w:pPr>
        <w:shd w:val="clear" w:color="auto" w:fill="FFFFFF"/>
        <w:spacing w:before="0" w:after="0"/>
        <w:rPr>
          <w:rFonts w:asciiTheme="majorHAnsi" w:eastAsia="Times New Roman" w:hAnsiTheme="majorHAnsi" w:cstheme="majorHAnsi"/>
          <w:color w:val="242424"/>
          <w:sz w:val="21"/>
          <w:szCs w:val="21"/>
        </w:rPr>
      </w:pPr>
      <w:r w:rsidRPr="00DC42BF">
        <w:rPr>
          <w:rFonts w:asciiTheme="majorHAnsi" w:eastAsia="Times New Roman" w:hAnsiTheme="majorHAnsi" w:cstheme="majorHAnsi"/>
          <w:color w:val="242424"/>
          <w:sz w:val="24"/>
          <w:szCs w:val="24"/>
        </w:rPr>
        <w:t>The four non-critical field examination errors are as follows:</w:t>
      </w:r>
    </w:p>
    <w:p w14:paraId="593742DB" w14:textId="77777777" w:rsidR="00DC42BF" w:rsidRPr="00DC42BF" w:rsidRDefault="00DC42BF" w:rsidP="00DC42BF">
      <w:pPr>
        <w:shd w:val="clear" w:color="auto" w:fill="FFFFFF"/>
        <w:spacing w:before="0" w:after="0"/>
        <w:rPr>
          <w:rFonts w:asciiTheme="majorHAnsi" w:eastAsia="Times New Roman" w:hAnsiTheme="majorHAnsi" w:cstheme="majorHAnsi"/>
          <w:color w:val="242424"/>
          <w:sz w:val="21"/>
          <w:szCs w:val="21"/>
        </w:rPr>
      </w:pPr>
    </w:p>
    <w:tbl>
      <w:tblPr>
        <w:tblW w:w="10637" w:type="dxa"/>
        <w:tblBorders>
          <w:top w:val="single" w:sz="24" w:space="0" w:color="D1D1D1"/>
          <w:left w:val="single" w:sz="24" w:space="0" w:color="D1D1D1"/>
          <w:bottom w:val="single" w:sz="24" w:space="0" w:color="D1D1D1"/>
          <w:right w:val="single" w:sz="24" w:space="0" w:color="D1D1D1"/>
        </w:tblBorders>
        <w:shd w:val="clear" w:color="auto" w:fill="FFFFFF"/>
        <w:tblCellMar>
          <w:top w:w="15" w:type="dxa"/>
          <w:left w:w="15" w:type="dxa"/>
          <w:bottom w:w="15" w:type="dxa"/>
          <w:right w:w="15" w:type="dxa"/>
        </w:tblCellMar>
        <w:tblLook w:val="04A0" w:firstRow="1" w:lastRow="0" w:firstColumn="1" w:lastColumn="0" w:noHBand="0" w:noVBand="1"/>
      </w:tblPr>
      <w:tblGrid>
        <w:gridCol w:w="1852"/>
        <w:gridCol w:w="8785"/>
      </w:tblGrid>
      <w:tr w:rsidR="00DC42BF" w:rsidRPr="00DC42BF" w14:paraId="1AB36553" w14:textId="77777777" w:rsidTr="00DC42BF">
        <w:trPr>
          <w:trHeight w:val="289"/>
        </w:trPr>
        <w:tc>
          <w:tcPr>
            <w:tcW w:w="1852" w:type="dxa"/>
            <w:tcBorders>
              <w:top w:val="single" w:sz="24" w:space="0" w:color="D1D1D1"/>
              <w:left w:val="single" w:sz="24" w:space="0" w:color="D1D1D1"/>
              <w:bottom w:val="single" w:sz="24" w:space="0" w:color="D1D1D1"/>
              <w:right w:val="single" w:sz="24" w:space="0" w:color="D1D1D1"/>
            </w:tcBorders>
            <w:shd w:val="clear" w:color="auto" w:fill="FFFFFF"/>
            <w:noWrap/>
            <w:hideMark/>
          </w:tcPr>
          <w:p w14:paraId="380CAB51" w14:textId="77777777" w:rsidR="00DC42BF" w:rsidRPr="00DC42BF" w:rsidRDefault="00DC42BF" w:rsidP="00DC42BF">
            <w:pPr>
              <w:spacing w:before="0" w:after="0"/>
              <w:rPr>
                <w:rFonts w:asciiTheme="majorHAnsi" w:eastAsia="Times New Roman" w:hAnsiTheme="majorHAnsi" w:cstheme="majorHAnsi"/>
                <w:color w:val="242424"/>
                <w:sz w:val="23"/>
                <w:szCs w:val="23"/>
              </w:rPr>
            </w:pPr>
            <w:r w:rsidRPr="00DC42BF">
              <w:rPr>
                <w:rFonts w:asciiTheme="majorHAnsi" w:eastAsia="Times New Roman" w:hAnsiTheme="majorHAnsi" w:cstheme="majorHAnsi"/>
                <w:b/>
                <w:bCs/>
                <w:color w:val="242424"/>
                <w:sz w:val="23"/>
                <w:szCs w:val="23"/>
              </w:rPr>
              <w:t>Error Title</w:t>
            </w:r>
          </w:p>
        </w:tc>
        <w:tc>
          <w:tcPr>
            <w:tcW w:w="8785" w:type="dxa"/>
            <w:tcBorders>
              <w:top w:val="single" w:sz="24" w:space="0" w:color="D1D1D1"/>
              <w:left w:val="single" w:sz="24" w:space="0" w:color="D1D1D1"/>
              <w:bottom w:val="single" w:sz="24" w:space="0" w:color="D1D1D1"/>
              <w:right w:val="single" w:sz="24" w:space="0" w:color="D1D1D1"/>
            </w:tcBorders>
            <w:shd w:val="clear" w:color="auto" w:fill="FFFFFF"/>
            <w:noWrap/>
            <w:hideMark/>
          </w:tcPr>
          <w:p w14:paraId="59152182" w14:textId="77777777" w:rsidR="00DC42BF" w:rsidRPr="00DC42BF" w:rsidRDefault="00DC42BF" w:rsidP="00DC42BF">
            <w:pPr>
              <w:spacing w:before="0" w:after="0"/>
              <w:jc w:val="center"/>
              <w:rPr>
                <w:rFonts w:asciiTheme="majorHAnsi" w:eastAsia="Times New Roman" w:hAnsiTheme="majorHAnsi" w:cstheme="majorHAnsi"/>
                <w:color w:val="242424"/>
                <w:sz w:val="23"/>
                <w:szCs w:val="23"/>
              </w:rPr>
            </w:pPr>
            <w:r w:rsidRPr="00DC42BF">
              <w:rPr>
                <w:rFonts w:asciiTheme="majorHAnsi" w:eastAsia="Times New Roman" w:hAnsiTheme="majorHAnsi" w:cstheme="majorHAnsi"/>
                <w:b/>
                <w:bCs/>
                <w:color w:val="242424"/>
                <w:sz w:val="23"/>
                <w:szCs w:val="23"/>
              </w:rPr>
              <w:t>Error Description</w:t>
            </w:r>
          </w:p>
        </w:tc>
      </w:tr>
      <w:tr w:rsidR="00DC42BF" w:rsidRPr="00DC42BF" w14:paraId="336AA232" w14:textId="77777777" w:rsidTr="00DC42BF">
        <w:trPr>
          <w:trHeight w:val="278"/>
        </w:trPr>
        <w:tc>
          <w:tcPr>
            <w:tcW w:w="1852" w:type="dxa"/>
            <w:tcBorders>
              <w:top w:val="single" w:sz="24" w:space="0" w:color="D1D1D1"/>
              <w:left w:val="single" w:sz="24" w:space="0" w:color="D1D1D1"/>
              <w:bottom w:val="single" w:sz="24" w:space="0" w:color="D1D1D1"/>
              <w:right w:val="single" w:sz="24" w:space="0" w:color="D1D1D1"/>
            </w:tcBorders>
            <w:shd w:val="clear" w:color="auto" w:fill="FFFFFF"/>
            <w:noWrap/>
            <w:hideMark/>
          </w:tcPr>
          <w:p w14:paraId="6F42E69C" w14:textId="77777777" w:rsidR="00DC42BF" w:rsidRPr="00DC42BF" w:rsidRDefault="00DC42BF" w:rsidP="00DC42BF">
            <w:pPr>
              <w:spacing w:before="0" w:after="0"/>
              <w:rPr>
                <w:rFonts w:asciiTheme="majorHAnsi" w:eastAsia="Times New Roman" w:hAnsiTheme="majorHAnsi" w:cstheme="majorHAnsi"/>
                <w:color w:val="242424"/>
                <w:sz w:val="21"/>
                <w:szCs w:val="21"/>
              </w:rPr>
            </w:pPr>
            <w:r w:rsidRPr="00DC42BF">
              <w:rPr>
                <w:rFonts w:asciiTheme="majorHAnsi" w:eastAsia="Times New Roman" w:hAnsiTheme="majorHAnsi" w:cstheme="majorHAnsi"/>
                <w:color w:val="242424"/>
                <w:sz w:val="24"/>
                <w:szCs w:val="24"/>
              </w:rPr>
              <w:t>NFFEQR17d</w:t>
            </w:r>
          </w:p>
        </w:tc>
        <w:tc>
          <w:tcPr>
            <w:tcW w:w="8785" w:type="dxa"/>
            <w:tcBorders>
              <w:top w:val="single" w:sz="24" w:space="0" w:color="D1D1D1"/>
              <w:left w:val="single" w:sz="24" w:space="0" w:color="D1D1D1"/>
              <w:bottom w:val="single" w:sz="24" w:space="0" w:color="D1D1D1"/>
              <w:right w:val="single" w:sz="24" w:space="0" w:color="D1D1D1"/>
            </w:tcBorders>
            <w:shd w:val="clear" w:color="auto" w:fill="FFFFFF"/>
            <w:noWrap/>
            <w:hideMark/>
          </w:tcPr>
          <w:p w14:paraId="7495D71E" w14:textId="77777777" w:rsidR="00DC42BF" w:rsidRPr="00DC42BF" w:rsidRDefault="00DC42BF" w:rsidP="00DC42BF">
            <w:pPr>
              <w:spacing w:before="0" w:after="0"/>
              <w:rPr>
                <w:rFonts w:asciiTheme="majorHAnsi" w:eastAsia="Times New Roman" w:hAnsiTheme="majorHAnsi" w:cstheme="majorHAnsi"/>
                <w:color w:val="242424"/>
                <w:sz w:val="21"/>
                <w:szCs w:val="21"/>
              </w:rPr>
            </w:pPr>
            <w:r w:rsidRPr="00DC42BF">
              <w:rPr>
                <w:rFonts w:asciiTheme="majorHAnsi" w:eastAsia="Times New Roman" w:hAnsiTheme="majorHAnsi" w:cstheme="majorHAnsi"/>
                <w:color w:val="242424"/>
                <w:sz w:val="24"/>
                <w:szCs w:val="24"/>
              </w:rPr>
              <w:t>The Hub did not establish proper future oversight. (1 occurrence)</w:t>
            </w:r>
          </w:p>
        </w:tc>
      </w:tr>
      <w:tr w:rsidR="00DC42BF" w:rsidRPr="00DC42BF" w14:paraId="2D8CCDE6" w14:textId="77777777" w:rsidTr="00DC42BF">
        <w:trPr>
          <w:trHeight w:val="289"/>
        </w:trPr>
        <w:tc>
          <w:tcPr>
            <w:tcW w:w="1852" w:type="dxa"/>
            <w:tcBorders>
              <w:top w:val="single" w:sz="24" w:space="0" w:color="D1D1D1"/>
              <w:left w:val="single" w:sz="24" w:space="0" w:color="D1D1D1"/>
              <w:bottom w:val="single" w:sz="24" w:space="0" w:color="D1D1D1"/>
              <w:right w:val="single" w:sz="24" w:space="0" w:color="D1D1D1"/>
            </w:tcBorders>
            <w:shd w:val="clear" w:color="auto" w:fill="FFFFFF"/>
            <w:noWrap/>
            <w:hideMark/>
          </w:tcPr>
          <w:p w14:paraId="1CDD1B3A" w14:textId="77777777" w:rsidR="00DC42BF" w:rsidRPr="00DC42BF" w:rsidRDefault="00DC42BF" w:rsidP="00DC42BF">
            <w:pPr>
              <w:spacing w:before="0" w:after="0"/>
              <w:rPr>
                <w:rFonts w:asciiTheme="majorHAnsi" w:eastAsia="Times New Roman" w:hAnsiTheme="majorHAnsi" w:cstheme="majorHAnsi"/>
                <w:color w:val="242424"/>
                <w:sz w:val="21"/>
                <w:szCs w:val="21"/>
              </w:rPr>
            </w:pPr>
            <w:r w:rsidRPr="00DC42BF">
              <w:rPr>
                <w:rFonts w:asciiTheme="majorHAnsi" w:eastAsia="Times New Roman" w:hAnsiTheme="majorHAnsi" w:cstheme="majorHAnsi"/>
                <w:color w:val="242424"/>
                <w:sz w:val="24"/>
                <w:szCs w:val="24"/>
              </w:rPr>
              <w:t>NFFEQR17e</w:t>
            </w:r>
          </w:p>
        </w:tc>
        <w:tc>
          <w:tcPr>
            <w:tcW w:w="8785" w:type="dxa"/>
            <w:tcBorders>
              <w:top w:val="single" w:sz="24" w:space="0" w:color="D1D1D1"/>
              <w:left w:val="single" w:sz="24" w:space="0" w:color="D1D1D1"/>
              <w:bottom w:val="single" w:sz="24" w:space="0" w:color="D1D1D1"/>
              <w:right w:val="single" w:sz="24" w:space="0" w:color="D1D1D1"/>
            </w:tcBorders>
            <w:shd w:val="clear" w:color="auto" w:fill="FFFFFF"/>
            <w:noWrap/>
            <w:hideMark/>
          </w:tcPr>
          <w:p w14:paraId="696A4959" w14:textId="77777777" w:rsidR="00DC42BF" w:rsidRPr="00DC42BF" w:rsidRDefault="00DC42BF" w:rsidP="00DC42BF">
            <w:pPr>
              <w:spacing w:before="0" w:after="0"/>
              <w:rPr>
                <w:rFonts w:asciiTheme="majorHAnsi" w:eastAsia="Times New Roman" w:hAnsiTheme="majorHAnsi" w:cstheme="majorHAnsi"/>
                <w:color w:val="242424"/>
                <w:sz w:val="21"/>
                <w:szCs w:val="21"/>
              </w:rPr>
            </w:pPr>
            <w:r w:rsidRPr="00DC42BF">
              <w:rPr>
                <w:rFonts w:asciiTheme="majorHAnsi" w:eastAsia="Times New Roman" w:hAnsiTheme="majorHAnsi" w:cstheme="majorHAnsi"/>
                <w:color w:val="242424"/>
                <w:sz w:val="24"/>
                <w:szCs w:val="24"/>
              </w:rPr>
              <w:t>All documentation was not complete and uploaded to the eFolder. (3 occurrences)</w:t>
            </w:r>
          </w:p>
        </w:tc>
      </w:tr>
    </w:tbl>
    <w:p w14:paraId="0DC3BFFB" w14:textId="77777777" w:rsidR="00DC42BF" w:rsidRPr="00DC42BF" w:rsidRDefault="00DC42BF" w:rsidP="00DC42BF">
      <w:pPr>
        <w:shd w:val="clear" w:color="auto" w:fill="FFFFFF"/>
        <w:spacing w:before="0" w:after="0"/>
        <w:rPr>
          <w:rFonts w:asciiTheme="majorHAnsi" w:eastAsia="Times New Roman" w:hAnsiTheme="majorHAnsi" w:cstheme="majorHAnsi"/>
          <w:color w:val="242424"/>
          <w:sz w:val="21"/>
          <w:szCs w:val="21"/>
        </w:rPr>
      </w:pPr>
    </w:p>
    <w:p w14:paraId="29A8C857" w14:textId="77777777" w:rsidR="00DC42BF" w:rsidRPr="00DC42BF" w:rsidRDefault="00DC42BF" w:rsidP="00DC42BF">
      <w:pPr>
        <w:shd w:val="clear" w:color="auto" w:fill="FFFFFF"/>
        <w:spacing w:before="0" w:after="0"/>
        <w:rPr>
          <w:rFonts w:asciiTheme="majorHAnsi" w:eastAsia="Times New Roman" w:hAnsiTheme="majorHAnsi" w:cstheme="majorHAnsi"/>
          <w:color w:val="242424"/>
          <w:sz w:val="23"/>
          <w:szCs w:val="23"/>
        </w:rPr>
      </w:pPr>
      <w:r w:rsidRPr="00DC42BF">
        <w:rPr>
          <w:rFonts w:asciiTheme="majorHAnsi" w:eastAsia="Times New Roman" w:hAnsiTheme="majorHAnsi" w:cstheme="majorHAnsi"/>
          <w:b/>
          <w:bCs/>
          <w:color w:val="242424"/>
          <w:sz w:val="23"/>
          <w:szCs w:val="23"/>
          <w:u w:val="single"/>
        </w:rPr>
        <w:t>Conclusion</w:t>
      </w:r>
    </w:p>
    <w:p w14:paraId="4B1A885F" w14:textId="77777777" w:rsidR="00DC42BF" w:rsidRPr="00DC42BF" w:rsidRDefault="00DC42BF" w:rsidP="00DC42BF">
      <w:pPr>
        <w:shd w:val="clear" w:color="auto" w:fill="FFFFFF"/>
        <w:spacing w:before="0" w:after="0"/>
        <w:rPr>
          <w:rFonts w:asciiTheme="majorHAnsi" w:eastAsia="Times New Roman" w:hAnsiTheme="majorHAnsi" w:cstheme="majorHAnsi"/>
          <w:color w:val="242424"/>
          <w:sz w:val="21"/>
          <w:szCs w:val="21"/>
        </w:rPr>
      </w:pPr>
    </w:p>
    <w:p w14:paraId="53EE8B63" w14:textId="059BE48A" w:rsidR="00DC42BF" w:rsidRPr="00DC42BF" w:rsidRDefault="00DC42BF" w:rsidP="00DC42BF">
      <w:pPr>
        <w:shd w:val="clear" w:color="auto" w:fill="FFFFFF"/>
        <w:spacing w:before="0" w:after="0"/>
        <w:rPr>
          <w:rFonts w:asciiTheme="majorHAnsi" w:eastAsia="Times New Roman" w:hAnsiTheme="majorHAnsi" w:cstheme="majorHAnsi"/>
          <w:color w:val="242424"/>
          <w:sz w:val="21"/>
          <w:szCs w:val="21"/>
        </w:rPr>
      </w:pPr>
      <w:r w:rsidRPr="00DC42BF">
        <w:rPr>
          <w:rFonts w:asciiTheme="majorHAnsi" w:eastAsia="Times New Roman" w:hAnsiTheme="majorHAnsi" w:cstheme="majorHAnsi"/>
          <w:color w:val="242424"/>
          <w:sz w:val="24"/>
          <w:szCs w:val="24"/>
        </w:rPr>
        <w:t xml:space="preserve">The results of this analysis demonstrate that mistakes in completing financial review actions continue to be the most prevalent types of STAR errors. However, </w:t>
      </w:r>
      <w:r w:rsidR="005853EF">
        <w:rPr>
          <w:rFonts w:asciiTheme="majorHAnsi" w:eastAsia="Times New Roman" w:hAnsiTheme="majorHAnsi" w:cstheme="majorHAnsi"/>
          <w:color w:val="242424"/>
          <w:sz w:val="24"/>
          <w:szCs w:val="24"/>
        </w:rPr>
        <w:t>this</w:t>
      </w:r>
      <w:r w:rsidR="005853EF" w:rsidRPr="00DC42BF">
        <w:rPr>
          <w:rFonts w:asciiTheme="majorHAnsi" w:eastAsia="Times New Roman" w:hAnsiTheme="majorHAnsi" w:cstheme="majorHAnsi"/>
          <w:color w:val="242424"/>
          <w:sz w:val="24"/>
          <w:szCs w:val="24"/>
        </w:rPr>
        <w:t xml:space="preserve"> </w:t>
      </w:r>
      <w:r w:rsidRPr="00DC42BF">
        <w:rPr>
          <w:rFonts w:asciiTheme="majorHAnsi" w:eastAsia="Times New Roman" w:hAnsiTheme="majorHAnsi" w:cstheme="majorHAnsi"/>
          <w:color w:val="242424"/>
          <w:sz w:val="24"/>
          <w:szCs w:val="24"/>
        </w:rPr>
        <w:t>has not prevented national fiduciary accuracy from improving overall in the last four months to 95.08 percent to exceed the outstanding national target of 94 percent.</w:t>
      </w:r>
    </w:p>
    <w:p w14:paraId="19EFE7D9" w14:textId="77777777" w:rsidR="00F96A26" w:rsidRPr="00075FC0" w:rsidRDefault="00F96A26">
      <w:pPr>
        <w:rPr>
          <w:sz w:val="24"/>
          <w:szCs w:val="24"/>
        </w:rPr>
      </w:pPr>
    </w:p>
    <w:tbl>
      <w:tblPr>
        <w:tblStyle w:val="GridTable1Light"/>
        <w:tblW w:w="50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8190"/>
        <w:gridCol w:w="921"/>
        <w:gridCol w:w="1258"/>
      </w:tblGrid>
      <w:tr w:rsidR="007B529C" w:rsidRPr="00D60069" w14:paraId="3052B871" w14:textId="77777777" w:rsidTr="00BE5ACE">
        <w:trPr>
          <w:tblHeader/>
        </w:trPr>
        <w:tc>
          <w:tcPr>
            <w:tcW w:w="8190" w:type="dxa"/>
            <w:vAlign w:val="bottom"/>
          </w:tcPr>
          <w:p w14:paraId="239E30B9" w14:textId="77777777" w:rsidR="002B2D13" w:rsidRPr="005537F7" w:rsidRDefault="005537F7" w:rsidP="00D60069">
            <w:pPr>
              <w:pStyle w:val="Heading2"/>
              <w:spacing w:after="80"/>
              <w:rPr>
                <w:sz w:val="24"/>
                <w:szCs w:val="24"/>
              </w:rPr>
            </w:pPr>
            <w:r w:rsidRPr="005537F7">
              <w:rPr>
                <w:sz w:val="24"/>
                <w:szCs w:val="24"/>
              </w:rPr>
              <w:t>References/Contacts</w:t>
            </w:r>
          </w:p>
        </w:tc>
        <w:tc>
          <w:tcPr>
            <w:tcW w:w="921" w:type="dxa"/>
            <w:vAlign w:val="bottom"/>
          </w:tcPr>
          <w:p w14:paraId="06BFE83A" w14:textId="77777777" w:rsidR="002B2D13" w:rsidRPr="00D60069" w:rsidRDefault="002B2D13" w:rsidP="00D60069">
            <w:pPr>
              <w:pStyle w:val="Heading2"/>
              <w:spacing w:after="80"/>
            </w:pPr>
          </w:p>
        </w:tc>
        <w:tc>
          <w:tcPr>
            <w:tcW w:w="1258" w:type="dxa"/>
            <w:vAlign w:val="bottom"/>
          </w:tcPr>
          <w:p w14:paraId="0B3CA355" w14:textId="77777777" w:rsidR="002B2D13" w:rsidRPr="00D60069" w:rsidRDefault="002B2D13" w:rsidP="00D60069">
            <w:pPr>
              <w:pStyle w:val="Heading2"/>
              <w:spacing w:after="80"/>
            </w:pPr>
          </w:p>
        </w:tc>
      </w:tr>
      <w:tr w:rsidR="007B529C" w:rsidRPr="00D60069" w14:paraId="5D473CFE" w14:textId="77777777" w:rsidTr="00BE5ACE">
        <w:tc>
          <w:tcPr>
            <w:tcW w:w="8190" w:type="dxa"/>
          </w:tcPr>
          <w:p w14:paraId="36A1EF5D" w14:textId="77777777" w:rsidR="00BE5ACE" w:rsidRDefault="00000000" w:rsidP="00BE5ACE">
            <w:pPr>
              <w:rPr>
                <w:rFonts w:ascii="Arial" w:hAnsi="Arial" w:cs="Arial"/>
                <w:sz w:val="24"/>
                <w:szCs w:val="24"/>
              </w:rPr>
            </w:pPr>
            <w:hyperlink r:id="rId9" w:anchor="4" w:history="1">
              <w:r w:rsidR="00BE5ACE" w:rsidRPr="006F031C">
                <w:rPr>
                  <w:rStyle w:val="Hyperlink"/>
                  <w:rFonts w:ascii="Arial" w:hAnsi="Arial" w:cs="Arial"/>
                  <w:sz w:val="24"/>
                  <w:szCs w:val="24"/>
                </w:rPr>
                <w:t>FPM II.1.C.4.e - Fund Usage Report Past Due Notification Requirement</w:t>
              </w:r>
            </w:hyperlink>
          </w:p>
          <w:p w14:paraId="7D688445" w14:textId="77777777" w:rsidR="00BE5ACE" w:rsidRDefault="00000000" w:rsidP="00BE5ACE">
            <w:pPr>
              <w:rPr>
                <w:rFonts w:ascii="Arial" w:hAnsi="Arial" w:cs="Arial"/>
                <w:sz w:val="24"/>
                <w:szCs w:val="24"/>
              </w:rPr>
            </w:pPr>
            <w:hyperlink r:id="rId10" w:anchor="4" w:history="1">
              <w:r w:rsidR="00BE5ACE" w:rsidRPr="006F031C">
                <w:rPr>
                  <w:rStyle w:val="Hyperlink"/>
                  <w:rFonts w:ascii="Arial" w:hAnsi="Arial" w:cs="Arial"/>
                  <w:sz w:val="24"/>
                  <w:szCs w:val="24"/>
                </w:rPr>
                <w:t>FPM, II.1.C.4.p - Elements of a Complete Fund Usage Report Submission</w:t>
              </w:r>
            </w:hyperlink>
          </w:p>
          <w:p w14:paraId="2DA741D4" w14:textId="77777777" w:rsidR="00BE5ACE" w:rsidRDefault="00000000" w:rsidP="00BE5ACE">
            <w:pPr>
              <w:rPr>
                <w:rFonts w:ascii="Arial" w:hAnsi="Arial" w:cs="Arial"/>
                <w:sz w:val="24"/>
                <w:szCs w:val="24"/>
              </w:rPr>
            </w:pPr>
            <w:hyperlink r:id="rId11" w:anchor="4" w:history="1">
              <w:r w:rsidR="00BE5ACE" w:rsidRPr="006F031C">
                <w:rPr>
                  <w:rStyle w:val="Hyperlink"/>
                  <w:rFonts w:ascii="Arial" w:hAnsi="Arial" w:cs="Arial"/>
                  <w:sz w:val="24"/>
                  <w:szCs w:val="24"/>
                </w:rPr>
                <w:t>FPM II.1.C.4.s - Fund Usage Review Completion Activities</w:t>
              </w:r>
            </w:hyperlink>
          </w:p>
          <w:p w14:paraId="707A823E" w14:textId="4AA4FD9B" w:rsidR="002B2D13" w:rsidRPr="001479B9" w:rsidRDefault="002B2D13" w:rsidP="00F31E9F">
            <w:pPr>
              <w:pStyle w:val="ListBullet"/>
              <w:spacing w:before="0"/>
              <w:rPr>
                <w:sz w:val="24"/>
                <w:szCs w:val="24"/>
              </w:rPr>
            </w:pPr>
          </w:p>
        </w:tc>
        <w:tc>
          <w:tcPr>
            <w:tcW w:w="921" w:type="dxa"/>
          </w:tcPr>
          <w:p w14:paraId="26E37165" w14:textId="7A4D4080" w:rsidR="007B529C" w:rsidRPr="001479B9" w:rsidRDefault="007B529C" w:rsidP="00BE5ACE">
            <w:pPr>
              <w:spacing w:before="0"/>
              <w:rPr>
                <w:sz w:val="24"/>
                <w:szCs w:val="24"/>
              </w:rPr>
            </w:pPr>
          </w:p>
        </w:tc>
        <w:tc>
          <w:tcPr>
            <w:tcW w:w="1258" w:type="dxa"/>
          </w:tcPr>
          <w:p w14:paraId="7E8206AE" w14:textId="77777777" w:rsidR="002B2D13" w:rsidRPr="00D60069" w:rsidRDefault="002B2D13" w:rsidP="00D60069">
            <w:pPr>
              <w:spacing w:after="80"/>
            </w:pPr>
          </w:p>
        </w:tc>
      </w:tr>
    </w:tbl>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620"/>
        <w:gridCol w:w="4970"/>
        <w:gridCol w:w="1324"/>
        <w:gridCol w:w="2310"/>
      </w:tblGrid>
      <w:tr w:rsidR="00D62E01" w:rsidRPr="000D431A" w14:paraId="4F7931C7" w14:textId="77777777" w:rsidTr="00D62E01">
        <w:tc>
          <w:tcPr>
            <w:tcW w:w="1620" w:type="dxa"/>
          </w:tcPr>
          <w:bookmarkStart w:id="2" w:name="_Hlk21598834"/>
          <w:p w14:paraId="3E261563" w14:textId="77777777" w:rsidR="00D62E01" w:rsidRPr="00075FC0" w:rsidRDefault="00000000" w:rsidP="006344A8">
            <w:pPr>
              <w:pStyle w:val="Heading2"/>
              <w:rPr>
                <w:color w:val="8064A2" w:themeColor="accent4"/>
              </w:rPr>
            </w:pPr>
            <w:sdt>
              <w:sdtPr>
                <w:rPr>
                  <w:color w:val="8064A2" w:themeColor="accent4"/>
                </w:rPr>
                <w:id w:val="113951409"/>
                <w:placeholder>
                  <w:docPart w:val="BEEE93B5055349CDA16253D1263663B8"/>
                </w:placeholder>
                <w:temporary/>
                <w:showingPlcHdr/>
                <w15:appearance w15:val="hidden"/>
              </w:sdtPr>
              <w:sdtContent>
                <w:r w:rsidR="00D62E01" w:rsidRPr="00075FC0">
                  <w:rPr>
                    <w:color w:val="8064A2" w:themeColor="accent4"/>
                    <w:sz w:val="24"/>
                    <w:szCs w:val="24"/>
                  </w:rPr>
                  <w:t>Agenda item:</w:t>
                </w:r>
              </w:sdtContent>
            </w:sdt>
          </w:p>
        </w:tc>
        <w:tc>
          <w:tcPr>
            <w:tcW w:w="4970" w:type="dxa"/>
          </w:tcPr>
          <w:p w14:paraId="560F39F3" w14:textId="34410D10" w:rsidR="00D62E01" w:rsidRPr="007E4418" w:rsidRDefault="00AE267F" w:rsidP="006344A8">
            <w:pPr>
              <w:rPr>
                <w:color w:val="8064A2" w:themeColor="accent4"/>
                <w:sz w:val="24"/>
                <w:szCs w:val="24"/>
              </w:rPr>
            </w:pPr>
            <w:bookmarkStart w:id="3" w:name="TWO_"/>
            <w:bookmarkEnd w:id="3"/>
            <w:r>
              <w:rPr>
                <w:color w:val="8064A2" w:themeColor="accent4"/>
                <w:sz w:val="24"/>
                <w:szCs w:val="24"/>
              </w:rPr>
              <w:t>Update on Step-by-Step Quality Review Guidelines</w:t>
            </w:r>
          </w:p>
        </w:tc>
        <w:tc>
          <w:tcPr>
            <w:tcW w:w="1324" w:type="dxa"/>
          </w:tcPr>
          <w:p w14:paraId="212F07F4" w14:textId="77777777" w:rsidR="00D62E01" w:rsidRPr="00075FC0" w:rsidRDefault="00000000" w:rsidP="006344A8">
            <w:pPr>
              <w:pStyle w:val="Heading2"/>
              <w:rPr>
                <w:color w:val="8064A2" w:themeColor="accent4"/>
              </w:rPr>
            </w:pPr>
            <w:sdt>
              <w:sdtPr>
                <w:rPr>
                  <w:color w:val="8064A2" w:themeColor="accent4"/>
                </w:rPr>
                <w:id w:val="1072624145"/>
                <w:placeholder>
                  <w:docPart w:val="EE2DA83037A34D638D4ED63942E9D9E4"/>
                </w:placeholder>
                <w:temporary/>
                <w:showingPlcHdr/>
                <w15:appearance w15:val="hidden"/>
              </w:sdtPr>
              <w:sdtContent>
                <w:r w:rsidR="00D62E01" w:rsidRPr="00075FC0">
                  <w:rPr>
                    <w:color w:val="8064A2" w:themeColor="accent4"/>
                    <w:sz w:val="24"/>
                    <w:szCs w:val="24"/>
                  </w:rPr>
                  <w:t>Presenter:</w:t>
                </w:r>
              </w:sdtContent>
            </w:sdt>
          </w:p>
        </w:tc>
        <w:tc>
          <w:tcPr>
            <w:tcW w:w="2310" w:type="dxa"/>
          </w:tcPr>
          <w:p w14:paraId="2450EBF7" w14:textId="7A2A02AA" w:rsidR="00D62E01" w:rsidRPr="007E4418" w:rsidRDefault="00AE267F" w:rsidP="006344A8">
            <w:pPr>
              <w:rPr>
                <w:color w:val="8064A2" w:themeColor="accent4"/>
                <w:sz w:val="24"/>
                <w:szCs w:val="24"/>
              </w:rPr>
            </w:pPr>
            <w:r>
              <w:rPr>
                <w:color w:val="8064A2" w:themeColor="accent4"/>
                <w:sz w:val="24"/>
                <w:szCs w:val="24"/>
              </w:rPr>
              <w:t>Gary Hodge, Lead Analyst</w:t>
            </w:r>
          </w:p>
        </w:tc>
      </w:tr>
    </w:tbl>
    <w:p w14:paraId="77779155" w14:textId="77777777" w:rsidR="00D62E01" w:rsidRPr="00075FC0" w:rsidRDefault="00075FC0" w:rsidP="00D62E01">
      <w:pPr>
        <w:pStyle w:val="Heading4"/>
        <w:rPr>
          <w:color w:val="548DD4" w:themeColor="text2" w:themeTint="99"/>
          <w:sz w:val="24"/>
          <w:szCs w:val="24"/>
        </w:rPr>
      </w:pPr>
      <w:r w:rsidRPr="00075FC0">
        <w:rPr>
          <w:color w:val="548DD4" w:themeColor="text2" w:themeTint="99"/>
          <w:sz w:val="24"/>
          <w:szCs w:val="24"/>
        </w:rPr>
        <w:t>Target Audience:</w:t>
      </w:r>
    </w:p>
    <w:p w14:paraId="779820B2" w14:textId="77777777" w:rsidR="00AE267F" w:rsidRDefault="00AE267F" w:rsidP="00D62E01">
      <w:pPr>
        <w:pStyle w:val="Heading4"/>
        <w:rPr>
          <w:b w:val="0"/>
          <w:color w:val="4F81BD" w:themeColor="accent1"/>
          <w:sz w:val="24"/>
          <w:szCs w:val="24"/>
        </w:rPr>
      </w:pPr>
      <w:r w:rsidRPr="00AE267F">
        <w:rPr>
          <w:b w:val="0"/>
          <w:color w:val="4F81BD" w:themeColor="accent1"/>
          <w:sz w:val="24"/>
          <w:szCs w:val="24"/>
        </w:rPr>
        <w:t>Quality Review Team (QRT) Program Specialists and Coaches/Assistant Coaches</w:t>
      </w:r>
    </w:p>
    <w:p w14:paraId="04465D55" w14:textId="4E56EB92" w:rsidR="00D62E01" w:rsidRPr="005537F7" w:rsidRDefault="005537F7" w:rsidP="00D62E01">
      <w:pPr>
        <w:pStyle w:val="Heading4"/>
        <w:rPr>
          <w:sz w:val="24"/>
          <w:szCs w:val="24"/>
        </w:rPr>
      </w:pPr>
      <w:r w:rsidRPr="005537F7">
        <w:rPr>
          <w:sz w:val="24"/>
          <w:szCs w:val="24"/>
        </w:rPr>
        <w:t>Discussion:</w:t>
      </w:r>
    </w:p>
    <w:p w14:paraId="6B110788" w14:textId="2E1372C4" w:rsidR="005537F7" w:rsidRDefault="00F50BC2" w:rsidP="00D62E01">
      <w:pPr>
        <w:rPr>
          <w:sz w:val="24"/>
          <w:szCs w:val="24"/>
        </w:rPr>
      </w:pPr>
      <w:r w:rsidRPr="00F50BC2">
        <w:rPr>
          <w:sz w:val="24"/>
          <w:szCs w:val="24"/>
        </w:rPr>
        <w:t>During the summer of 2022, P&amp;F Service with the assistance of the hubs developed three Step-by-Step Quality Review Guides to assist quality reviewers when completing an individual quality review of a completed transaction.  P&amp;F Service decided not to publish these guides.  There are concerns with controlling the accuracy of the guides over time since they rely heavily on the FPM which changes often.  Any FPM change would require a change to the guides.  This information was shared with the Fiduciary Advisory Committee.</w:t>
      </w:r>
      <w:r w:rsidR="00565C0A">
        <w:rPr>
          <w:sz w:val="24"/>
          <w:szCs w:val="24"/>
        </w:rPr>
        <w:t xml:space="preserve"> However, P&amp;F Service is in the process of creating QRT IQR using the unpublished guides as a reference.  We also anticipate publishing changes to M21-4 Chapter 8 to include QRT IQR procedures by March 3, 2023.</w:t>
      </w:r>
    </w:p>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620"/>
        <w:gridCol w:w="4970"/>
        <w:gridCol w:w="1324"/>
        <w:gridCol w:w="2310"/>
      </w:tblGrid>
      <w:tr w:rsidR="00D62E01" w:rsidRPr="00D60069" w14:paraId="4ED19404" w14:textId="77777777" w:rsidTr="006344A8">
        <w:tc>
          <w:tcPr>
            <w:tcW w:w="1620" w:type="dxa"/>
          </w:tcPr>
          <w:bookmarkEnd w:id="2"/>
          <w:p w14:paraId="2AE34BA9" w14:textId="2B9CE8BF" w:rsidR="00D62E01" w:rsidRPr="00D60069" w:rsidRDefault="00000000" w:rsidP="006344A8">
            <w:pPr>
              <w:pStyle w:val="Heading2"/>
            </w:pPr>
            <w:sdt>
              <w:sdtPr>
                <w:id w:val="885458630"/>
                <w:placeholder>
                  <w:docPart w:val="5C526D49C19E4A4DA765D72573DF8370"/>
                </w:placeholder>
                <w:temporary/>
                <w:showingPlcHdr/>
                <w15:appearance w15:val="hidden"/>
              </w:sdtPr>
              <w:sdtContent>
                <w:r w:rsidR="00D62E01" w:rsidRPr="005537F7">
                  <w:rPr>
                    <w:color w:val="8064A2" w:themeColor="accent4"/>
                    <w:sz w:val="24"/>
                    <w:szCs w:val="24"/>
                  </w:rPr>
                  <w:t>Agenda item:</w:t>
                </w:r>
              </w:sdtContent>
            </w:sdt>
          </w:p>
        </w:tc>
        <w:tc>
          <w:tcPr>
            <w:tcW w:w="4970" w:type="dxa"/>
          </w:tcPr>
          <w:p w14:paraId="6CDA5EBE" w14:textId="3FEA66DA" w:rsidR="00D62E01" w:rsidRPr="00F15EBC" w:rsidRDefault="00AE267F" w:rsidP="006344A8">
            <w:bookmarkStart w:id="4" w:name="THREE_"/>
            <w:bookmarkEnd w:id="4"/>
            <w:r>
              <w:rPr>
                <w:rFonts w:asciiTheme="majorHAnsi" w:eastAsiaTheme="majorEastAsia" w:hAnsiTheme="majorHAnsi" w:cs="Arial"/>
                <w:bCs/>
                <w:iCs/>
                <w:color w:val="8064A2" w:themeColor="accent4"/>
                <w:sz w:val="24"/>
                <w:szCs w:val="24"/>
              </w:rPr>
              <w:t>Quality Coalition Update</w:t>
            </w:r>
          </w:p>
        </w:tc>
        <w:tc>
          <w:tcPr>
            <w:tcW w:w="1324" w:type="dxa"/>
          </w:tcPr>
          <w:p w14:paraId="1071A2C0" w14:textId="77777777" w:rsidR="00D62E01" w:rsidRPr="00D60069" w:rsidRDefault="00000000" w:rsidP="006344A8">
            <w:pPr>
              <w:pStyle w:val="Heading2"/>
            </w:pPr>
            <w:sdt>
              <w:sdtPr>
                <w:id w:val="-765931208"/>
                <w:placeholder>
                  <w:docPart w:val="02EA8C92C8104148B1800799423752F6"/>
                </w:placeholder>
                <w:temporary/>
                <w:showingPlcHdr/>
                <w15:appearance w15:val="hidden"/>
              </w:sdtPr>
              <w:sdtContent>
                <w:r w:rsidR="00D62E01" w:rsidRPr="005537F7">
                  <w:rPr>
                    <w:color w:val="8064A2" w:themeColor="accent4"/>
                    <w:sz w:val="24"/>
                    <w:szCs w:val="24"/>
                  </w:rPr>
                  <w:t>Presenter:</w:t>
                </w:r>
              </w:sdtContent>
            </w:sdt>
          </w:p>
        </w:tc>
        <w:tc>
          <w:tcPr>
            <w:tcW w:w="2310" w:type="dxa"/>
          </w:tcPr>
          <w:p w14:paraId="727D5FD0" w14:textId="38B5286C" w:rsidR="00D62E01" w:rsidRPr="00D60069" w:rsidRDefault="00AE267F" w:rsidP="006344A8">
            <w:r>
              <w:rPr>
                <w:color w:val="8064A2" w:themeColor="accent4"/>
                <w:sz w:val="24"/>
                <w:szCs w:val="24"/>
              </w:rPr>
              <w:t>Gary Hodge, Lead Analyst</w:t>
            </w:r>
          </w:p>
        </w:tc>
      </w:tr>
    </w:tbl>
    <w:p w14:paraId="59283531" w14:textId="77777777" w:rsidR="00D62E01" w:rsidRPr="005537F7" w:rsidRDefault="005537F7" w:rsidP="00D62E01">
      <w:pPr>
        <w:pStyle w:val="Heading4"/>
        <w:rPr>
          <w:color w:val="548DD4" w:themeColor="text2" w:themeTint="99"/>
          <w:sz w:val="24"/>
          <w:szCs w:val="24"/>
        </w:rPr>
      </w:pPr>
      <w:r w:rsidRPr="005537F7">
        <w:rPr>
          <w:color w:val="548DD4" w:themeColor="text2" w:themeTint="99"/>
          <w:sz w:val="24"/>
          <w:szCs w:val="24"/>
        </w:rPr>
        <w:t>Target Audience:</w:t>
      </w:r>
    </w:p>
    <w:p w14:paraId="32C3968A" w14:textId="77777777" w:rsidR="00AE267F" w:rsidRDefault="00AE267F" w:rsidP="00D62E01">
      <w:pPr>
        <w:pStyle w:val="Heading4"/>
        <w:rPr>
          <w:b w:val="0"/>
          <w:color w:val="4F81BD" w:themeColor="accent1"/>
          <w:sz w:val="24"/>
          <w:szCs w:val="24"/>
        </w:rPr>
      </w:pPr>
      <w:r w:rsidRPr="00AE267F">
        <w:rPr>
          <w:b w:val="0"/>
          <w:color w:val="4F81BD" w:themeColor="accent1"/>
          <w:sz w:val="24"/>
          <w:szCs w:val="24"/>
        </w:rPr>
        <w:t>Quality Review Team (QRT) Program Specialists and Coaches/Assistant Coaches</w:t>
      </w:r>
    </w:p>
    <w:p w14:paraId="2F7BC0D3" w14:textId="48A310AD" w:rsidR="00D62E01" w:rsidRPr="005537F7" w:rsidRDefault="005537F7" w:rsidP="00D62E01">
      <w:pPr>
        <w:pStyle w:val="Heading4"/>
        <w:rPr>
          <w:sz w:val="24"/>
          <w:szCs w:val="24"/>
        </w:rPr>
      </w:pPr>
      <w:r w:rsidRPr="005537F7">
        <w:rPr>
          <w:sz w:val="24"/>
          <w:szCs w:val="24"/>
        </w:rPr>
        <w:t>Discussion:</w:t>
      </w:r>
    </w:p>
    <w:p w14:paraId="75B3F177" w14:textId="08381D11" w:rsidR="005537F7" w:rsidRPr="005537F7" w:rsidRDefault="00F50BC2" w:rsidP="00D62E01">
      <w:pPr>
        <w:rPr>
          <w:sz w:val="24"/>
          <w:szCs w:val="24"/>
        </w:rPr>
      </w:pPr>
      <w:r w:rsidRPr="00F50BC2">
        <w:rPr>
          <w:sz w:val="24"/>
          <w:szCs w:val="24"/>
        </w:rPr>
        <w:t>P&amp;F Service started the Quality Coalition in December 2022.  We have already met with each of the three hubs participating in the program for coaching and mentoring sessions.  We appreciate the cooperation and candid conversation from each hub.  P&amp;F Service continues to monitor quality results to determine if any changes are needed in the hubs that are participating.</w:t>
      </w:r>
    </w:p>
    <w:p w14:paraId="18CADD55" w14:textId="3999B695" w:rsidR="00F15EBC" w:rsidRDefault="00F15EBC"/>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620"/>
        <w:gridCol w:w="4970"/>
        <w:gridCol w:w="1324"/>
        <w:gridCol w:w="2310"/>
      </w:tblGrid>
      <w:tr w:rsidR="00F15EBC" w:rsidRPr="00D60069" w14:paraId="1C51ADAB" w14:textId="77777777" w:rsidTr="003A3841">
        <w:tc>
          <w:tcPr>
            <w:tcW w:w="1620" w:type="dxa"/>
          </w:tcPr>
          <w:p w14:paraId="12626D14" w14:textId="77777777" w:rsidR="00F15EBC" w:rsidRPr="00075FC0" w:rsidRDefault="00000000" w:rsidP="003A3841">
            <w:pPr>
              <w:pStyle w:val="Heading2"/>
              <w:rPr>
                <w:color w:val="8064A2" w:themeColor="accent4"/>
              </w:rPr>
            </w:pPr>
            <w:sdt>
              <w:sdtPr>
                <w:rPr>
                  <w:color w:val="8064A2" w:themeColor="accent4"/>
                </w:rPr>
                <w:id w:val="1322472255"/>
                <w:placeholder>
                  <w:docPart w:val="63F8F156A0BA49FD94B529EB45F4DDD9"/>
                </w:placeholder>
                <w:temporary/>
                <w:showingPlcHdr/>
                <w15:appearance w15:val="hidden"/>
              </w:sdtPr>
              <w:sdtContent>
                <w:r w:rsidR="00F15EBC" w:rsidRPr="00075FC0">
                  <w:rPr>
                    <w:color w:val="8064A2" w:themeColor="accent4"/>
                    <w:sz w:val="24"/>
                    <w:szCs w:val="24"/>
                  </w:rPr>
                  <w:t>Agenda item:</w:t>
                </w:r>
              </w:sdtContent>
            </w:sdt>
          </w:p>
        </w:tc>
        <w:tc>
          <w:tcPr>
            <w:tcW w:w="4970" w:type="dxa"/>
          </w:tcPr>
          <w:p w14:paraId="64FF6032" w14:textId="77B24831" w:rsidR="00F15EBC" w:rsidRPr="007E4418" w:rsidRDefault="00F53446" w:rsidP="003A3841">
            <w:pPr>
              <w:rPr>
                <w:color w:val="8064A2" w:themeColor="accent4"/>
                <w:sz w:val="24"/>
                <w:szCs w:val="24"/>
              </w:rPr>
            </w:pPr>
            <w:bookmarkStart w:id="5" w:name="FOUR_"/>
            <w:bookmarkEnd w:id="5"/>
            <w:r>
              <w:rPr>
                <w:rFonts w:asciiTheme="majorHAnsi" w:eastAsiaTheme="majorEastAsia" w:hAnsiTheme="majorHAnsi" w:cs="Arial"/>
                <w:bCs/>
                <w:iCs/>
                <w:color w:val="8064A2" w:themeColor="accent4"/>
                <w:sz w:val="24"/>
                <w:szCs w:val="24"/>
              </w:rPr>
              <w:t xml:space="preserve">VA Form 21-555 </w:t>
            </w:r>
            <w:r w:rsidR="00AE267F">
              <w:rPr>
                <w:rFonts w:asciiTheme="majorHAnsi" w:eastAsiaTheme="majorEastAsia" w:hAnsiTheme="majorHAnsi" w:cs="Arial"/>
                <w:bCs/>
                <w:iCs/>
                <w:color w:val="8064A2" w:themeColor="accent4"/>
                <w:sz w:val="24"/>
                <w:szCs w:val="24"/>
              </w:rPr>
              <w:t>Form</w:t>
            </w:r>
            <w:r>
              <w:rPr>
                <w:rFonts w:asciiTheme="majorHAnsi" w:eastAsiaTheme="majorEastAsia" w:hAnsiTheme="majorHAnsi" w:cs="Arial"/>
                <w:bCs/>
                <w:iCs/>
                <w:color w:val="8064A2" w:themeColor="accent4"/>
                <w:sz w:val="24"/>
                <w:szCs w:val="24"/>
              </w:rPr>
              <w:t xml:space="preserve"> Certification to Receive and Disburse Benefits and Fee Authorization </w:t>
            </w:r>
          </w:p>
        </w:tc>
        <w:tc>
          <w:tcPr>
            <w:tcW w:w="1324" w:type="dxa"/>
          </w:tcPr>
          <w:p w14:paraId="341A4664" w14:textId="47216349" w:rsidR="00F15EBC" w:rsidRPr="00075FC0" w:rsidRDefault="00BE5ACE" w:rsidP="003A3841">
            <w:pPr>
              <w:pStyle w:val="Heading2"/>
              <w:rPr>
                <w:color w:val="8064A2" w:themeColor="accent4"/>
              </w:rPr>
            </w:pPr>
            <w:r>
              <w:rPr>
                <w:color w:val="8064A2" w:themeColor="accent4"/>
              </w:rPr>
              <w:t xml:space="preserve">  </w:t>
            </w:r>
            <w:sdt>
              <w:sdtPr>
                <w:rPr>
                  <w:color w:val="8064A2" w:themeColor="accent4"/>
                </w:rPr>
                <w:id w:val="-295382365"/>
                <w:placeholder>
                  <w:docPart w:val="B9AD265B8BA14DF9BFC87494C85D00AA"/>
                </w:placeholder>
                <w:temporary/>
                <w:showingPlcHdr/>
                <w15:appearance w15:val="hidden"/>
              </w:sdtPr>
              <w:sdtContent>
                <w:r w:rsidR="00F15EBC" w:rsidRPr="00075FC0">
                  <w:rPr>
                    <w:color w:val="8064A2" w:themeColor="accent4"/>
                    <w:sz w:val="24"/>
                    <w:szCs w:val="24"/>
                  </w:rPr>
                  <w:t>Presenter:</w:t>
                </w:r>
              </w:sdtContent>
            </w:sdt>
          </w:p>
        </w:tc>
        <w:tc>
          <w:tcPr>
            <w:tcW w:w="2310" w:type="dxa"/>
          </w:tcPr>
          <w:p w14:paraId="6F0B3734" w14:textId="4B3DF25B" w:rsidR="00F15EBC" w:rsidRPr="007E4418" w:rsidRDefault="00AE267F" w:rsidP="003A3841">
            <w:pPr>
              <w:rPr>
                <w:color w:val="8064A2" w:themeColor="accent4"/>
                <w:sz w:val="24"/>
                <w:szCs w:val="24"/>
              </w:rPr>
            </w:pPr>
            <w:r>
              <w:rPr>
                <w:color w:val="8064A2" w:themeColor="accent4"/>
                <w:sz w:val="24"/>
                <w:szCs w:val="24"/>
              </w:rPr>
              <w:t>David Gunnell, Analyst</w:t>
            </w:r>
          </w:p>
        </w:tc>
      </w:tr>
    </w:tbl>
    <w:p w14:paraId="048042A1" w14:textId="77777777" w:rsidR="00F15EBC" w:rsidRPr="00075FC0" w:rsidRDefault="00F15EBC" w:rsidP="00F15EBC">
      <w:pPr>
        <w:pStyle w:val="Heading4"/>
        <w:rPr>
          <w:color w:val="548DD4" w:themeColor="text2" w:themeTint="99"/>
          <w:sz w:val="24"/>
          <w:szCs w:val="24"/>
        </w:rPr>
      </w:pPr>
      <w:r w:rsidRPr="00075FC0">
        <w:rPr>
          <w:color w:val="548DD4" w:themeColor="text2" w:themeTint="99"/>
          <w:sz w:val="24"/>
          <w:szCs w:val="24"/>
        </w:rPr>
        <w:t>Target Audience:</w:t>
      </w:r>
    </w:p>
    <w:p w14:paraId="459B59FD" w14:textId="77777777" w:rsidR="00AE267F" w:rsidRDefault="00AE267F" w:rsidP="00F15EBC">
      <w:pPr>
        <w:pStyle w:val="Heading4"/>
        <w:rPr>
          <w:b w:val="0"/>
          <w:color w:val="4F81BD" w:themeColor="accent1"/>
          <w:sz w:val="24"/>
          <w:szCs w:val="24"/>
        </w:rPr>
      </w:pPr>
      <w:r w:rsidRPr="00AE267F">
        <w:rPr>
          <w:b w:val="0"/>
          <w:color w:val="4F81BD" w:themeColor="accent1"/>
          <w:sz w:val="24"/>
          <w:szCs w:val="24"/>
        </w:rPr>
        <w:t>Quality Review Team (QRT) Program Specialists and Coaches/Assistant Coaches</w:t>
      </w:r>
    </w:p>
    <w:p w14:paraId="676921DB" w14:textId="661B6FC2" w:rsidR="00F15EBC" w:rsidRPr="005537F7" w:rsidRDefault="00F15EBC" w:rsidP="00F15EBC">
      <w:pPr>
        <w:pStyle w:val="Heading4"/>
        <w:rPr>
          <w:sz w:val="24"/>
          <w:szCs w:val="24"/>
        </w:rPr>
      </w:pPr>
      <w:r w:rsidRPr="005537F7">
        <w:rPr>
          <w:sz w:val="24"/>
          <w:szCs w:val="24"/>
        </w:rPr>
        <w:t>Discussion:</w:t>
      </w:r>
    </w:p>
    <w:p w14:paraId="33419D18" w14:textId="173D197E" w:rsidR="00F15EBC" w:rsidRPr="005537F7" w:rsidRDefault="00C13AEC" w:rsidP="00F15EBC">
      <w:pPr>
        <w:rPr>
          <w:sz w:val="24"/>
          <w:szCs w:val="24"/>
        </w:rPr>
      </w:pPr>
      <w:r w:rsidRPr="00C13AEC">
        <w:rPr>
          <w:sz w:val="24"/>
          <w:szCs w:val="24"/>
        </w:rPr>
        <w:t>P&amp;F Service is continuing to find VAF 21P-555s with legacy fiduciary types. The fiduciary type in the VBMS-beneficiary profile must match the fiduciary type of the most recent VAF 21P-555. If the form does not match the fiduciary type, is not of record due to applied procedures at the time or requires an SIA field examination, due to changes in the qualification or oversight of the fiduciary. An updated 21P-555 is required.</w:t>
      </w:r>
    </w:p>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10218"/>
        <w:gridCol w:w="6"/>
      </w:tblGrid>
      <w:tr w:rsidR="00F53446" w:rsidRPr="00D60069" w14:paraId="6B2BB114" w14:textId="77777777" w:rsidTr="00F53446">
        <w:trPr>
          <w:trHeight w:val="484"/>
          <w:tblHeader/>
        </w:trPr>
        <w:tc>
          <w:tcPr>
            <w:tcW w:w="8443" w:type="dxa"/>
            <w:vAlign w:val="bottom"/>
          </w:tcPr>
          <w:p w14:paraId="77347124" w14:textId="77777777" w:rsidR="00F53446" w:rsidRPr="005537F7" w:rsidRDefault="00F53446" w:rsidP="003A3841">
            <w:pPr>
              <w:pStyle w:val="Heading2"/>
              <w:spacing w:after="80"/>
              <w:rPr>
                <w:sz w:val="24"/>
                <w:szCs w:val="24"/>
              </w:rPr>
            </w:pPr>
            <w:r w:rsidRPr="005537F7">
              <w:rPr>
                <w:sz w:val="24"/>
                <w:szCs w:val="24"/>
              </w:rPr>
              <w:t>References/Contacts</w:t>
            </w:r>
          </w:p>
        </w:tc>
        <w:tc>
          <w:tcPr>
            <w:tcW w:w="1839" w:type="dxa"/>
            <w:vAlign w:val="bottom"/>
          </w:tcPr>
          <w:p w14:paraId="47B7A46C" w14:textId="77777777" w:rsidR="00F53446" w:rsidRPr="00D60069" w:rsidRDefault="00F53446" w:rsidP="003A3841">
            <w:pPr>
              <w:pStyle w:val="Heading2"/>
              <w:spacing w:after="80"/>
            </w:pPr>
          </w:p>
        </w:tc>
      </w:tr>
      <w:tr w:rsidR="00F53446" w:rsidRPr="00D60069" w14:paraId="37F46BD1" w14:textId="77777777" w:rsidTr="00F53446">
        <w:trPr>
          <w:trHeight w:val="1608"/>
        </w:trPr>
        <w:tc>
          <w:tcPr>
            <w:tcW w:w="8443" w:type="dxa"/>
          </w:tcPr>
          <w:p w14:paraId="1412449C" w14:textId="1580E269" w:rsidR="00F53446" w:rsidRPr="00F53446" w:rsidRDefault="00000000" w:rsidP="00F53446">
            <w:pPr>
              <w:pStyle w:val="ListBullet"/>
              <w:rPr>
                <w:sz w:val="24"/>
                <w:szCs w:val="24"/>
              </w:rPr>
            </w:pPr>
            <w:hyperlink r:id="rId12" w:anchor="4" w:history="1">
              <w:r w:rsidR="00F53446" w:rsidRPr="00BE5ACE">
                <w:rPr>
                  <w:rStyle w:val="Hyperlink"/>
                  <w:sz w:val="24"/>
                  <w:szCs w:val="24"/>
                </w:rPr>
                <w:t>FPM, II.1.C.4.o, Assessing Fund Usage Reports</w:t>
              </w:r>
            </w:hyperlink>
          </w:p>
          <w:p w14:paraId="1BDEE17A" w14:textId="2BEC7B35" w:rsidR="00F53446" w:rsidRPr="00F53446" w:rsidRDefault="00000000" w:rsidP="00F53446">
            <w:pPr>
              <w:pStyle w:val="ListBullet"/>
              <w:rPr>
                <w:sz w:val="24"/>
                <w:szCs w:val="24"/>
              </w:rPr>
            </w:pPr>
            <w:hyperlink r:id="rId13" w:anchor="3d" w:history="1">
              <w:r w:rsidR="00F53446" w:rsidRPr="00BE5ACE">
                <w:rPr>
                  <w:rStyle w:val="Hyperlink"/>
                  <w:sz w:val="24"/>
                  <w:szCs w:val="24"/>
                </w:rPr>
                <w:t>FPM, I.1.B.3.d, Certifying Appointment (21P-555 not of record at the time)</w:t>
              </w:r>
            </w:hyperlink>
          </w:p>
          <w:p w14:paraId="423A9FA7" w14:textId="4B814C4D" w:rsidR="00F53446" w:rsidRPr="00027747" w:rsidRDefault="00000000" w:rsidP="00F53446">
            <w:pPr>
              <w:pStyle w:val="ListBullet"/>
              <w:rPr>
                <w:rStyle w:val="Hyperlink"/>
                <w:color w:val="auto"/>
                <w:sz w:val="24"/>
                <w:szCs w:val="24"/>
                <w:u w:val="none"/>
              </w:rPr>
            </w:pPr>
            <w:hyperlink r:id="rId14" w:anchor="5a" w:history="1">
              <w:r w:rsidR="00F53446" w:rsidRPr="00BE5ACE">
                <w:rPr>
                  <w:rStyle w:val="Hyperlink"/>
                  <w:sz w:val="24"/>
                  <w:szCs w:val="24"/>
                </w:rPr>
                <w:t>FPM, I.2.C.5.a, General Policy on Appointment and Fiduciary Types</w:t>
              </w:r>
            </w:hyperlink>
          </w:p>
          <w:p w14:paraId="3A590907" w14:textId="124E6FD7" w:rsidR="00027747" w:rsidRPr="00DE4164" w:rsidRDefault="00000000" w:rsidP="00F53446">
            <w:pPr>
              <w:pStyle w:val="ListBullet"/>
              <w:rPr>
                <w:rStyle w:val="Hyperlink"/>
                <w:color w:val="auto"/>
                <w:sz w:val="24"/>
                <w:szCs w:val="24"/>
                <w:u w:val="none"/>
              </w:rPr>
            </w:pPr>
            <w:hyperlink r:id="rId15" w:anchor="6" w:history="1">
              <w:r w:rsidR="00027747" w:rsidRPr="00027747">
                <w:rPr>
                  <w:rStyle w:val="Hyperlink"/>
                  <w:sz w:val="24"/>
                  <w:szCs w:val="24"/>
                </w:rPr>
                <w:t>FPM, I.1.B.6.d Additional Benefit Responsibilities (LIE)</w:t>
              </w:r>
            </w:hyperlink>
          </w:p>
          <w:p w14:paraId="7F7E248B" w14:textId="77777777" w:rsidR="00DE4164" w:rsidRDefault="00DE4164" w:rsidP="00DE4164">
            <w:pPr>
              <w:pStyle w:val="ListBullet"/>
              <w:numPr>
                <w:ilvl w:val="0"/>
                <w:numId w:val="0"/>
              </w:numPr>
              <w:ind w:left="360" w:hanging="360"/>
              <w:rPr>
                <w:sz w:val="24"/>
                <w:szCs w:val="24"/>
              </w:rPr>
            </w:pPr>
          </w:p>
          <w:tbl>
            <w:tblPr>
              <w:tblW w:w="10440" w:type="dxa"/>
              <w:tblBorders>
                <w:top w:val="single" w:sz="4" w:space="0" w:color="auto"/>
              </w:tblBorders>
              <w:tblCellMar>
                <w:left w:w="0" w:type="dxa"/>
                <w:right w:w="0" w:type="dxa"/>
              </w:tblCellMar>
              <w:tblLook w:val="0000" w:firstRow="0" w:lastRow="0" w:firstColumn="0" w:lastColumn="0" w:noHBand="0" w:noVBand="0"/>
              <w:tblDescription w:val="Content table"/>
            </w:tblPr>
            <w:tblGrid>
              <w:gridCol w:w="1570"/>
              <w:gridCol w:w="4010"/>
              <w:gridCol w:w="1260"/>
              <w:gridCol w:w="3600"/>
            </w:tblGrid>
            <w:tr w:rsidR="00F50BC2" w:rsidRPr="00D60069" w14:paraId="29136E05" w14:textId="77777777" w:rsidTr="00C10571">
              <w:trPr>
                <w:trHeight w:val="990"/>
              </w:trPr>
              <w:tc>
                <w:tcPr>
                  <w:tcW w:w="1570" w:type="dxa"/>
                </w:tcPr>
                <w:p w14:paraId="72F1DF2A" w14:textId="77777777" w:rsidR="00DE4164" w:rsidRPr="00D60069" w:rsidRDefault="00000000" w:rsidP="00DE4164">
                  <w:pPr>
                    <w:pStyle w:val="Heading2"/>
                  </w:pPr>
                  <w:sdt>
                    <w:sdtPr>
                      <w:id w:val="1251549082"/>
                      <w:placeholder>
                        <w:docPart w:val="2436D603F6B9474792F06266374C06BE"/>
                      </w:placeholder>
                      <w:temporary/>
                      <w:showingPlcHdr/>
                      <w15:appearance w15:val="hidden"/>
                    </w:sdtPr>
                    <w:sdtContent>
                      <w:r w:rsidR="00DE4164" w:rsidRPr="005537F7">
                        <w:rPr>
                          <w:color w:val="8064A2" w:themeColor="accent4"/>
                          <w:sz w:val="24"/>
                          <w:szCs w:val="24"/>
                        </w:rPr>
                        <w:t>Agenda item:</w:t>
                      </w:r>
                    </w:sdtContent>
                  </w:sdt>
                </w:p>
              </w:tc>
              <w:tc>
                <w:tcPr>
                  <w:tcW w:w="4010" w:type="dxa"/>
                </w:tcPr>
                <w:p w14:paraId="440B5474" w14:textId="39AE681A" w:rsidR="00DE4164" w:rsidRPr="00F15EBC" w:rsidRDefault="00DE4164" w:rsidP="00DE4164">
                  <w:r>
                    <w:rPr>
                      <w:rFonts w:asciiTheme="majorHAnsi" w:eastAsiaTheme="majorEastAsia" w:hAnsiTheme="majorHAnsi" w:cs="Arial"/>
                      <w:bCs/>
                      <w:iCs/>
                      <w:color w:val="8064A2" w:themeColor="accent4"/>
                      <w:sz w:val="24"/>
                      <w:szCs w:val="24"/>
                    </w:rPr>
                    <w:t>S</w:t>
                  </w:r>
                  <w:r>
                    <w:rPr>
                      <w:color w:val="8064A2" w:themeColor="accent4"/>
                      <w:sz w:val="24"/>
                      <w:szCs w:val="24"/>
                    </w:rPr>
                    <w:t>pecial Focus Review of Field Examination Compliance</w:t>
                  </w:r>
                </w:p>
              </w:tc>
              <w:tc>
                <w:tcPr>
                  <w:tcW w:w="1260" w:type="dxa"/>
                </w:tcPr>
                <w:p w14:paraId="01B3CC46" w14:textId="77777777" w:rsidR="00DE4164" w:rsidRPr="00D60069" w:rsidRDefault="00000000" w:rsidP="00DE4164">
                  <w:pPr>
                    <w:pStyle w:val="Heading2"/>
                  </w:pPr>
                  <w:sdt>
                    <w:sdtPr>
                      <w:id w:val="-1384945372"/>
                      <w:placeholder>
                        <w:docPart w:val="B2387A47A57447F885BD8CB4E7708A29"/>
                      </w:placeholder>
                      <w:temporary/>
                      <w:showingPlcHdr/>
                      <w15:appearance w15:val="hidden"/>
                    </w:sdtPr>
                    <w:sdtContent>
                      <w:r w:rsidR="00DE4164" w:rsidRPr="005537F7">
                        <w:rPr>
                          <w:color w:val="8064A2" w:themeColor="accent4"/>
                          <w:sz w:val="24"/>
                          <w:szCs w:val="24"/>
                        </w:rPr>
                        <w:t>Presenter:</w:t>
                      </w:r>
                    </w:sdtContent>
                  </w:sdt>
                </w:p>
              </w:tc>
              <w:tc>
                <w:tcPr>
                  <w:tcW w:w="3600" w:type="dxa"/>
                </w:tcPr>
                <w:p w14:paraId="69B03CA5" w14:textId="6E15D454" w:rsidR="00DE4164" w:rsidRPr="00D60069" w:rsidRDefault="00DE4164" w:rsidP="00DE4164">
                  <w:r>
                    <w:rPr>
                      <w:color w:val="8064A2" w:themeColor="accent4"/>
                      <w:sz w:val="24"/>
                      <w:szCs w:val="24"/>
                    </w:rPr>
                    <w:t>Glenda Russell, Analyst</w:t>
                  </w:r>
                </w:p>
              </w:tc>
            </w:tr>
          </w:tbl>
          <w:p w14:paraId="69708BC2" w14:textId="77777777" w:rsidR="00DE4164" w:rsidRPr="005537F7" w:rsidRDefault="00DE4164" w:rsidP="00DE4164">
            <w:pPr>
              <w:pStyle w:val="Heading4"/>
              <w:rPr>
                <w:color w:val="548DD4" w:themeColor="text2" w:themeTint="99"/>
                <w:sz w:val="24"/>
                <w:szCs w:val="24"/>
              </w:rPr>
            </w:pPr>
            <w:r w:rsidRPr="005537F7">
              <w:rPr>
                <w:color w:val="548DD4" w:themeColor="text2" w:themeTint="99"/>
                <w:sz w:val="24"/>
                <w:szCs w:val="24"/>
              </w:rPr>
              <w:t>Target Audience:</w:t>
            </w:r>
          </w:p>
          <w:p w14:paraId="1DAE786E" w14:textId="77777777" w:rsidR="00DE4164" w:rsidRDefault="00DE4164" w:rsidP="00DE4164">
            <w:pPr>
              <w:pStyle w:val="Heading4"/>
              <w:rPr>
                <w:b w:val="0"/>
                <w:color w:val="4F81BD" w:themeColor="accent1"/>
                <w:sz w:val="24"/>
                <w:szCs w:val="24"/>
              </w:rPr>
            </w:pPr>
            <w:r w:rsidRPr="00AE267F">
              <w:rPr>
                <w:b w:val="0"/>
                <w:color w:val="4F81BD" w:themeColor="accent1"/>
                <w:sz w:val="24"/>
                <w:szCs w:val="24"/>
              </w:rPr>
              <w:t>Quality Review Team (QRT) Program Specialists and Coaches/Assistant Coaches</w:t>
            </w:r>
          </w:p>
          <w:p w14:paraId="494EDD77" w14:textId="77777777" w:rsidR="00DE4164" w:rsidRPr="005537F7" w:rsidRDefault="00DE4164" w:rsidP="00DE4164">
            <w:pPr>
              <w:pStyle w:val="Heading4"/>
              <w:rPr>
                <w:sz w:val="24"/>
                <w:szCs w:val="24"/>
              </w:rPr>
            </w:pPr>
            <w:r w:rsidRPr="005537F7">
              <w:rPr>
                <w:sz w:val="24"/>
                <w:szCs w:val="24"/>
              </w:rPr>
              <w:t>Discussion:</w:t>
            </w:r>
          </w:p>
          <w:p w14:paraId="2F5A6FAB" w14:textId="18DC8A08" w:rsidR="00DE4164" w:rsidRPr="005537F7" w:rsidRDefault="00247BF9" w:rsidP="00DE4164">
            <w:pPr>
              <w:rPr>
                <w:sz w:val="24"/>
                <w:szCs w:val="24"/>
              </w:rPr>
            </w:pPr>
            <w:r>
              <w:rPr>
                <w:sz w:val="24"/>
                <w:szCs w:val="24"/>
              </w:rPr>
              <w:t xml:space="preserve">P&amp;F Service </w:t>
            </w:r>
            <w:r w:rsidR="00BA4AFF">
              <w:rPr>
                <w:sz w:val="24"/>
                <w:szCs w:val="24"/>
              </w:rPr>
              <w:t>amended</w:t>
            </w:r>
            <w:r>
              <w:rPr>
                <w:sz w:val="24"/>
                <w:szCs w:val="24"/>
              </w:rPr>
              <w:t xml:space="preserve"> the </w:t>
            </w:r>
            <w:r w:rsidR="00BA4AFF">
              <w:rPr>
                <w:sz w:val="24"/>
                <w:szCs w:val="24"/>
              </w:rPr>
              <w:t xml:space="preserve">Updated Temporary Field Examination Protocol memorandum to resume face-to-face field interviews.  A review of the </w:t>
            </w:r>
            <w:r>
              <w:rPr>
                <w:sz w:val="24"/>
                <w:szCs w:val="24"/>
              </w:rPr>
              <w:t xml:space="preserve">field examinations </w:t>
            </w:r>
            <w:r w:rsidR="00BA4AFF">
              <w:rPr>
                <w:sz w:val="24"/>
                <w:szCs w:val="24"/>
              </w:rPr>
              <w:t>was conducted to verify compliance.</w:t>
            </w:r>
            <w:r w:rsidR="00D038E6">
              <w:rPr>
                <w:sz w:val="24"/>
                <w:szCs w:val="24"/>
              </w:rPr>
              <w:t xml:space="preserve"> The review showed that the field examiners complied with the memorandum 100% of the time</w:t>
            </w:r>
            <w:r w:rsidR="00AD6112">
              <w:rPr>
                <w:sz w:val="24"/>
                <w:szCs w:val="24"/>
              </w:rPr>
              <w:t xml:space="preserve">. </w:t>
            </w:r>
          </w:p>
          <w:p w14:paraId="0635310C" w14:textId="5E0BA321" w:rsidR="00DE4164" w:rsidRPr="007B529C" w:rsidRDefault="00DE4164" w:rsidP="00DE4164">
            <w:pPr>
              <w:pStyle w:val="ListBullet"/>
              <w:numPr>
                <w:ilvl w:val="0"/>
                <w:numId w:val="0"/>
              </w:numPr>
              <w:ind w:left="360" w:hanging="360"/>
              <w:rPr>
                <w:sz w:val="24"/>
                <w:szCs w:val="24"/>
              </w:rPr>
            </w:pPr>
          </w:p>
        </w:tc>
        <w:tc>
          <w:tcPr>
            <w:tcW w:w="1839" w:type="dxa"/>
          </w:tcPr>
          <w:p w14:paraId="7709399E" w14:textId="5EFC0BFF" w:rsidR="00F53446" w:rsidRPr="00D60069" w:rsidRDefault="00F53446" w:rsidP="00F31E9F">
            <w:pPr>
              <w:spacing w:after="80"/>
            </w:pPr>
          </w:p>
        </w:tc>
      </w:tr>
    </w:tbl>
    <w:p w14:paraId="2F1FC90B" w14:textId="227C8B6B" w:rsidR="002768A9" w:rsidRPr="005537F7" w:rsidRDefault="002768A9" w:rsidP="002768A9">
      <w:pPr>
        <w:pStyle w:val="Heading1"/>
        <w:rPr>
          <w:color w:val="8064A2" w:themeColor="accent4"/>
        </w:rPr>
      </w:pPr>
      <w:r>
        <w:rPr>
          <w:color w:val="8064A2" w:themeColor="accent4"/>
        </w:rPr>
        <w:lastRenderedPageBreak/>
        <w:t>Q&amp;A</w:t>
      </w:r>
    </w:p>
    <w:p w14:paraId="5F7F300B" w14:textId="77777777" w:rsidR="00156EAF" w:rsidRPr="00AD6112" w:rsidRDefault="00156EAF" w:rsidP="00156EAF">
      <w:pPr>
        <w:rPr>
          <w:b/>
          <w:bCs/>
          <w:sz w:val="24"/>
          <w:szCs w:val="24"/>
        </w:rPr>
      </w:pPr>
    </w:p>
    <w:p w14:paraId="2D63020B" w14:textId="77777777" w:rsidR="00156EAF" w:rsidRPr="00AD6112" w:rsidRDefault="00156EAF" w:rsidP="00156EAF">
      <w:pPr>
        <w:rPr>
          <w:rFonts w:ascii="Arial" w:hAnsi="Arial" w:cs="Arial"/>
          <w:sz w:val="24"/>
          <w:szCs w:val="24"/>
        </w:rPr>
      </w:pPr>
      <w:r w:rsidRPr="00AD6112">
        <w:rPr>
          <w:rFonts w:ascii="Arial" w:hAnsi="Arial" w:cs="Arial"/>
          <w:b/>
          <w:bCs/>
          <w:sz w:val="24"/>
          <w:szCs w:val="24"/>
        </w:rPr>
        <w:t>Question 1</w:t>
      </w:r>
      <w:r w:rsidRPr="00AD6112">
        <w:rPr>
          <w:rFonts w:ascii="Arial" w:hAnsi="Arial" w:cs="Arial"/>
          <w:sz w:val="24"/>
          <w:szCs w:val="24"/>
        </w:rPr>
        <w:t xml:space="preserve">:  We have an aged accounting that was disapproved for funds exceeding $250,000 at one banking institution and the FPM says those funds must be split.  Although the FPM is not explicit on follow-up actions, the LIE is holding the case in a disapproved status until we receive proof the funds have been split.  We are requesting clarification on FPM II.2.A.2.c, Requirements for Ensuring Security of Investments, when an account is close to or exceeds the FDIC limit, fiduciaries must be </w:t>
      </w:r>
      <w:r w:rsidRPr="00AD6112">
        <w:rPr>
          <w:rFonts w:ascii="Arial" w:hAnsi="Arial" w:cs="Arial"/>
          <w:b/>
          <w:bCs/>
          <w:sz w:val="24"/>
          <w:szCs w:val="24"/>
          <w:u w:val="single"/>
        </w:rPr>
        <w:t>advised and are required</w:t>
      </w:r>
      <w:r w:rsidRPr="00AD6112">
        <w:rPr>
          <w:rFonts w:ascii="Arial" w:hAnsi="Arial" w:cs="Arial"/>
          <w:sz w:val="24"/>
          <w:szCs w:val="24"/>
        </w:rPr>
        <w:t xml:space="preserve"> to split funds into two or more financial institutions.  Since fiduciaries are now required to split the funds, how are the hubs supposed to track the actual splitting of the funds?  FPM II.2.A.2.c does not mention disapproving the accounting until we receive evidence the funds have been split, nor does it mention opening an administrative task.  FPM I.3.D.1.a, Approval Requirements, does not mention this scenario, either.  </w:t>
      </w:r>
    </w:p>
    <w:p w14:paraId="4A5236FD" w14:textId="77777777" w:rsidR="00156EAF" w:rsidRPr="00AD6112" w:rsidRDefault="00156EAF" w:rsidP="00156EAF">
      <w:pPr>
        <w:rPr>
          <w:rFonts w:ascii="Arial" w:hAnsi="Arial" w:cs="Arial"/>
          <w:sz w:val="24"/>
          <w:szCs w:val="24"/>
        </w:rPr>
      </w:pPr>
    </w:p>
    <w:p w14:paraId="4F145D54" w14:textId="77777777" w:rsidR="00156EAF" w:rsidRPr="00AD6112" w:rsidRDefault="00156EAF" w:rsidP="00156EAF">
      <w:pPr>
        <w:rPr>
          <w:rFonts w:ascii="Arial" w:hAnsi="Arial" w:cs="Arial"/>
          <w:sz w:val="24"/>
          <w:szCs w:val="24"/>
        </w:rPr>
      </w:pPr>
      <w:r w:rsidRPr="00AD6112">
        <w:rPr>
          <w:rFonts w:ascii="Arial" w:hAnsi="Arial" w:cs="Arial"/>
          <w:b/>
          <w:bCs/>
          <w:sz w:val="24"/>
          <w:szCs w:val="24"/>
        </w:rPr>
        <w:t>P&amp;F Service Response 1</w:t>
      </w:r>
      <w:r w:rsidRPr="00AD6112">
        <w:rPr>
          <w:rFonts w:ascii="Arial" w:hAnsi="Arial" w:cs="Arial"/>
          <w:sz w:val="24"/>
          <w:szCs w:val="24"/>
        </w:rPr>
        <w:t xml:space="preserve">: Per </w:t>
      </w:r>
      <w:hyperlink r:id="rId16" w:anchor="5" w:history="1">
        <w:r w:rsidRPr="00AD6112">
          <w:rPr>
            <w:rFonts w:ascii="Arial" w:hAnsi="Arial" w:cs="Arial"/>
            <w:color w:val="0000FF" w:themeColor="hyperlink"/>
            <w:sz w:val="24"/>
            <w:szCs w:val="24"/>
            <w:u w:val="single"/>
          </w:rPr>
          <w:t>FPM, Part I, 3.C.5.a</w:t>
        </w:r>
      </w:hyperlink>
      <w:r w:rsidRPr="00AD6112">
        <w:rPr>
          <w:rFonts w:ascii="Arial" w:hAnsi="Arial" w:cs="Arial"/>
          <w:sz w:val="24"/>
          <w:szCs w:val="24"/>
        </w:rPr>
        <w:t xml:space="preserve">, if indications of improper accounts or investments are discovered during the accounting audit, the LIE must act to correct the deficiencies found and disapprove the accounting. FPM, </w:t>
      </w:r>
      <w:hyperlink r:id="rId17" w:anchor="5" w:history="1">
        <w:r w:rsidRPr="00AD6112">
          <w:rPr>
            <w:rFonts w:ascii="Arial" w:hAnsi="Arial" w:cs="Arial"/>
            <w:color w:val="0000FF" w:themeColor="hyperlink"/>
            <w:sz w:val="24"/>
            <w:szCs w:val="24"/>
            <w:u w:val="single"/>
          </w:rPr>
          <w:t>Part I, 3.C.5.b</w:t>
        </w:r>
      </w:hyperlink>
      <w:r w:rsidRPr="00AD6112">
        <w:rPr>
          <w:rFonts w:ascii="Arial" w:hAnsi="Arial" w:cs="Arial"/>
          <w:sz w:val="24"/>
          <w:szCs w:val="24"/>
        </w:rPr>
        <w:t xml:space="preserve"> lists the requirements for VA and other funds under management (FUM) by the fiduciary, to include the requirement for the account to be Federally insured and not exceed current insured limits of protection. When VA FUM is not properly invested in accordance with </w:t>
      </w:r>
      <w:hyperlink r:id="rId18" w:anchor="5" w:history="1">
        <w:r w:rsidRPr="00AD6112">
          <w:rPr>
            <w:rFonts w:ascii="Arial" w:hAnsi="Arial" w:cs="Arial"/>
            <w:color w:val="0000FF" w:themeColor="hyperlink"/>
            <w:sz w:val="24"/>
            <w:szCs w:val="24"/>
            <w:u w:val="single"/>
          </w:rPr>
          <w:t>FPM, Part I, 3.C.5.b</w:t>
        </w:r>
      </w:hyperlink>
      <w:r w:rsidRPr="00AD6112">
        <w:rPr>
          <w:rFonts w:ascii="Arial" w:hAnsi="Arial" w:cs="Arial"/>
          <w:sz w:val="24"/>
          <w:szCs w:val="24"/>
        </w:rPr>
        <w:t xml:space="preserve">, the fiduciary hub (hub) must track corrections through disapproval of the accounting in accordance with </w:t>
      </w:r>
      <w:hyperlink r:id="rId19" w:anchor="2" w:history="1">
        <w:r w:rsidRPr="00AD6112">
          <w:rPr>
            <w:rFonts w:ascii="Arial" w:hAnsi="Arial" w:cs="Arial"/>
            <w:color w:val="0000FF" w:themeColor="hyperlink"/>
            <w:sz w:val="24"/>
            <w:szCs w:val="24"/>
            <w:u w:val="single"/>
          </w:rPr>
          <w:t>FPM, Part I, 3.D.2</w:t>
        </w:r>
      </w:hyperlink>
      <w:r w:rsidRPr="00AD6112">
        <w:rPr>
          <w:rFonts w:ascii="Arial" w:hAnsi="Arial" w:cs="Arial"/>
          <w:sz w:val="24"/>
          <w:szCs w:val="24"/>
        </w:rPr>
        <w:t xml:space="preserve">. </w:t>
      </w:r>
    </w:p>
    <w:p w14:paraId="5B4D3C0D" w14:textId="77777777" w:rsidR="00156EAF" w:rsidRPr="00AD6112" w:rsidRDefault="00156EAF" w:rsidP="00156EAF">
      <w:pPr>
        <w:rPr>
          <w:rFonts w:ascii="Arial" w:hAnsi="Arial" w:cs="Arial"/>
          <w:sz w:val="24"/>
          <w:szCs w:val="24"/>
        </w:rPr>
      </w:pPr>
    </w:p>
    <w:p w14:paraId="3D05A513" w14:textId="77777777" w:rsidR="00156EAF" w:rsidRPr="00AD6112" w:rsidRDefault="00156EAF" w:rsidP="00156EAF">
      <w:pPr>
        <w:rPr>
          <w:rFonts w:ascii="Arial" w:hAnsi="Arial" w:cs="Arial"/>
          <w:sz w:val="24"/>
          <w:szCs w:val="24"/>
        </w:rPr>
      </w:pPr>
      <w:r w:rsidRPr="00AD6112">
        <w:rPr>
          <w:rFonts w:ascii="Arial" w:hAnsi="Arial" w:cs="Arial"/>
          <w:b/>
          <w:bCs/>
          <w:sz w:val="24"/>
          <w:szCs w:val="24"/>
        </w:rPr>
        <w:t>Question 2</w:t>
      </w:r>
      <w:r w:rsidRPr="00AD6112">
        <w:rPr>
          <w:rFonts w:ascii="Arial" w:hAnsi="Arial" w:cs="Arial"/>
          <w:sz w:val="24"/>
          <w:szCs w:val="24"/>
        </w:rPr>
        <w:t>:  Expedited Initial Appointments (EIA); can a spouse (not on the award) be appointed as a VA appointed Fiduciary under the EIA process? It does not say that the spouse has to be appointed a spouse fiduciary, BUT does the spouse have to be on the award or recognized as a dependent to use the EIA protocol if the spouse will be appointed a VA-appointed fiduciary?  There is some confusion whether the spouse has to be verified on the award as a dependent to use the EIA protocol.</w:t>
      </w:r>
    </w:p>
    <w:p w14:paraId="1C9AA864" w14:textId="77777777" w:rsidR="00156EAF" w:rsidRPr="00AD6112" w:rsidRDefault="00156EAF" w:rsidP="00156EAF">
      <w:pPr>
        <w:rPr>
          <w:rFonts w:ascii="Arial" w:hAnsi="Arial" w:cs="Arial"/>
          <w:sz w:val="24"/>
          <w:szCs w:val="24"/>
        </w:rPr>
      </w:pPr>
    </w:p>
    <w:p w14:paraId="743AB9AD" w14:textId="77777777" w:rsidR="00156EAF" w:rsidRPr="00AD6112" w:rsidRDefault="00156EAF" w:rsidP="00156EAF">
      <w:pPr>
        <w:rPr>
          <w:rFonts w:ascii="Arial" w:hAnsi="Arial" w:cs="Arial"/>
          <w:sz w:val="24"/>
          <w:szCs w:val="24"/>
        </w:rPr>
      </w:pPr>
      <w:r w:rsidRPr="00AD6112">
        <w:rPr>
          <w:rFonts w:ascii="Arial" w:hAnsi="Arial" w:cs="Arial"/>
          <w:b/>
          <w:bCs/>
          <w:sz w:val="24"/>
          <w:szCs w:val="24"/>
        </w:rPr>
        <w:t>P&amp;F Service Response 2</w:t>
      </w:r>
      <w:r w:rsidRPr="00AD6112">
        <w:rPr>
          <w:rFonts w:ascii="Arial" w:hAnsi="Arial" w:cs="Arial"/>
          <w:sz w:val="24"/>
          <w:szCs w:val="24"/>
        </w:rPr>
        <w:t xml:space="preserve">: Per </w:t>
      </w:r>
      <w:hyperlink r:id="rId20" w:anchor="5" w:history="1">
        <w:r w:rsidRPr="00AD6112">
          <w:rPr>
            <w:rFonts w:ascii="Arial" w:hAnsi="Arial" w:cs="Arial"/>
            <w:color w:val="0000FF" w:themeColor="hyperlink"/>
            <w:sz w:val="24"/>
            <w:szCs w:val="24"/>
            <w:u w:val="single"/>
          </w:rPr>
          <w:t>FPM, Part I, 2.C.5.a</w:t>
        </w:r>
      </w:hyperlink>
      <w:r w:rsidRPr="00AD6112">
        <w:rPr>
          <w:rFonts w:ascii="Arial" w:hAnsi="Arial" w:cs="Arial"/>
          <w:sz w:val="24"/>
          <w:szCs w:val="24"/>
        </w:rPr>
        <w:t xml:space="preserve">, determining a spouse for VA purposes is an adjudication decision and hubs will not make this determination, except as outlined under </w:t>
      </w:r>
      <w:hyperlink r:id="rId21" w:history="1">
        <w:r w:rsidRPr="00AD6112">
          <w:rPr>
            <w:rFonts w:ascii="Arial" w:hAnsi="Arial" w:cs="Arial"/>
            <w:color w:val="0000FF" w:themeColor="hyperlink"/>
            <w:sz w:val="24"/>
            <w:szCs w:val="24"/>
            <w:u w:val="single"/>
          </w:rPr>
          <w:t>FPM, Part I, 2.E.3.k</w:t>
        </w:r>
      </w:hyperlink>
      <w:r w:rsidRPr="00AD6112">
        <w:rPr>
          <w:rFonts w:ascii="Arial" w:hAnsi="Arial" w:cs="Arial"/>
          <w:sz w:val="24"/>
          <w:szCs w:val="24"/>
        </w:rPr>
        <w:t xml:space="preserve">. Hubs must follow the guidance in </w:t>
      </w:r>
      <w:hyperlink r:id="rId22" w:anchor="5" w:history="1">
        <w:r w:rsidRPr="00AD6112">
          <w:rPr>
            <w:rFonts w:ascii="Arial" w:hAnsi="Arial" w:cs="Arial"/>
            <w:color w:val="0000FF" w:themeColor="hyperlink"/>
            <w:sz w:val="24"/>
            <w:szCs w:val="24"/>
            <w:u w:val="single"/>
          </w:rPr>
          <w:t>FPM, Part I, 2.C.5.a</w:t>
        </w:r>
      </w:hyperlink>
      <w:r w:rsidRPr="00AD6112">
        <w:rPr>
          <w:rFonts w:ascii="Arial" w:hAnsi="Arial" w:cs="Arial"/>
          <w:color w:val="0000FF" w:themeColor="hyperlink"/>
          <w:sz w:val="24"/>
          <w:szCs w:val="24"/>
          <w:u w:val="single"/>
        </w:rPr>
        <w:t xml:space="preserve"> (including the noted exception) </w:t>
      </w:r>
      <w:r w:rsidRPr="00AD6112">
        <w:rPr>
          <w:rFonts w:ascii="Arial" w:hAnsi="Arial" w:cs="Arial"/>
          <w:sz w:val="24"/>
          <w:szCs w:val="24"/>
        </w:rPr>
        <w:t>to determine whether a fiduciary is considered a spouse for the purposes of conducting an expedited initial appointment (EIA). If the proposed fiduciary cannot be considered a spouse under FPM, Part I, 2.C.5.a, an EIA is not appropriate.</w:t>
      </w:r>
    </w:p>
    <w:p w14:paraId="0BF20847" w14:textId="77777777" w:rsidR="00156EAF" w:rsidRPr="00AD6112" w:rsidRDefault="00156EAF" w:rsidP="00156EAF">
      <w:pPr>
        <w:rPr>
          <w:rFonts w:ascii="Arial" w:hAnsi="Arial" w:cs="Arial"/>
          <w:sz w:val="24"/>
          <w:szCs w:val="24"/>
        </w:rPr>
      </w:pPr>
    </w:p>
    <w:p w14:paraId="5F344AF5" w14:textId="77777777" w:rsidR="00156EAF" w:rsidRPr="00AD6112" w:rsidRDefault="00156EAF" w:rsidP="00156EAF">
      <w:pPr>
        <w:rPr>
          <w:rFonts w:ascii="Arial" w:hAnsi="Arial" w:cs="Arial"/>
          <w:sz w:val="24"/>
          <w:szCs w:val="24"/>
        </w:rPr>
      </w:pPr>
      <w:r w:rsidRPr="00AD6112">
        <w:rPr>
          <w:rFonts w:ascii="Arial" w:hAnsi="Arial" w:cs="Arial"/>
          <w:b/>
          <w:bCs/>
          <w:i/>
          <w:iCs/>
          <w:sz w:val="24"/>
          <w:szCs w:val="24"/>
        </w:rPr>
        <w:t>Notes</w:t>
      </w:r>
      <w:r w:rsidRPr="00AD6112">
        <w:rPr>
          <w:rFonts w:ascii="Arial" w:hAnsi="Arial" w:cs="Arial"/>
          <w:sz w:val="24"/>
          <w:szCs w:val="24"/>
        </w:rPr>
        <w:t xml:space="preserve">:  </w:t>
      </w:r>
    </w:p>
    <w:p w14:paraId="742C7790" w14:textId="77777777" w:rsidR="00156EAF" w:rsidRPr="00AD6112" w:rsidRDefault="00156EAF" w:rsidP="00156EAF">
      <w:pPr>
        <w:numPr>
          <w:ilvl w:val="0"/>
          <w:numId w:val="24"/>
        </w:numPr>
        <w:spacing w:before="0" w:after="0"/>
        <w:contextualSpacing/>
        <w:rPr>
          <w:rFonts w:ascii="Arial" w:eastAsia="Times New Roman" w:hAnsi="Arial" w:cs="Arial"/>
          <w:sz w:val="24"/>
          <w:szCs w:val="24"/>
        </w:rPr>
      </w:pPr>
      <w:r w:rsidRPr="00AD6112">
        <w:rPr>
          <w:rFonts w:ascii="Arial" w:eastAsia="Times New Roman" w:hAnsi="Arial" w:cs="Arial"/>
          <w:sz w:val="24"/>
          <w:szCs w:val="24"/>
        </w:rPr>
        <w:t xml:space="preserve">Hubs may consider the spouse as valid for appointment as a spouse fiduciary, and by extension, the EIA process, when the spouse has been verified on the award as a dependent spouse within the last eight years and since that time was not removed due to death, divorce, or the beneficiary’s request. If the spouse is qualified to be a spouse fiduciary, the spouse must be appointed as such vs. being appointed as a VA-appointed fiduciary. </w:t>
      </w:r>
    </w:p>
    <w:p w14:paraId="68F3B1FE" w14:textId="77777777" w:rsidR="00156EAF" w:rsidRPr="00AD6112" w:rsidRDefault="00156EAF" w:rsidP="00156EAF">
      <w:pPr>
        <w:numPr>
          <w:ilvl w:val="0"/>
          <w:numId w:val="24"/>
        </w:numPr>
        <w:spacing w:before="0" w:after="0"/>
        <w:rPr>
          <w:rFonts w:ascii="Arial" w:eastAsia="Times New Roman" w:hAnsi="Arial" w:cs="Arial"/>
          <w:sz w:val="24"/>
          <w:szCs w:val="24"/>
        </w:rPr>
      </w:pPr>
      <w:r w:rsidRPr="00AD6112">
        <w:rPr>
          <w:rFonts w:ascii="Arial" w:eastAsia="Times New Roman" w:hAnsi="Arial" w:cs="Arial"/>
          <w:sz w:val="24"/>
          <w:szCs w:val="24"/>
        </w:rPr>
        <w:t xml:space="preserve">P&amp;F Service is actively reviewing </w:t>
      </w:r>
      <w:hyperlink r:id="rId23" w:history="1">
        <w:r w:rsidRPr="00AD6112">
          <w:rPr>
            <w:rFonts w:ascii="Arial" w:eastAsia="Times New Roman" w:hAnsi="Arial" w:cs="Arial"/>
            <w:color w:val="0000FF" w:themeColor="hyperlink"/>
            <w:sz w:val="24"/>
            <w:szCs w:val="24"/>
            <w:u w:val="single"/>
          </w:rPr>
          <w:t>FPM, Part I, 2.C.7.a</w:t>
        </w:r>
      </w:hyperlink>
      <w:r w:rsidRPr="00AD6112">
        <w:rPr>
          <w:rFonts w:ascii="Arial" w:eastAsia="Times New Roman" w:hAnsi="Arial" w:cs="Arial"/>
          <w:sz w:val="24"/>
          <w:szCs w:val="24"/>
        </w:rPr>
        <w:t xml:space="preserve"> to determine if clarity should be added regarding a spouse for EIA purposes. If a manual change is implemented, you will </w:t>
      </w:r>
      <w:r w:rsidRPr="00AD6112">
        <w:rPr>
          <w:rFonts w:ascii="Arial" w:eastAsia="Times New Roman" w:hAnsi="Arial" w:cs="Arial"/>
          <w:sz w:val="24"/>
          <w:szCs w:val="24"/>
        </w:rPr>
        <w:lastRenderedPageBreak/>
        <w:t xml:space="preserve">be notified via the Compensation Service Calendar email blast. To subscribe to this email blast, please visit the </w:t>
      </w:r>
      <w:hyperlink r:id="rId24" w:history="1">
        <w:r w:rsidRPr="00AD6112">
          <w:rPr>
            <w:rFonts w:ascii="Arial" w:eastAsia="Times New Roman" w:hAnsi="Arial" w:cs="Arial"/>
            <w:color w:val="0000FF" w:themeColor="hyperlink"/>
            <w:sz w:val="24"/>
            <w:szCs w:val="24"/>
            <w:u w:val="single"/>
          </w:rPr>
          <w:t>Calendar Subscriptions</w:t>
        </w:r>
      </w:hyperlink>
      <w:r w:rsidRPr="00AD6112">
        <w:rPr>
          <w:rFonts w:ascii="Arial" w:eastAsia="Times New Roman" w:hAnsi="Arial" w:cs="Arial"/>
          <w:sz w:val="24"/>
          <w:szCs w:val="24"/>
        </w:rPr>
        <w:t xml:space="preserve"> website.</w:t>
      </w:r>
    </w:p>
    <w:p w14:paraId="68003FA7" w14:textId="77777777" w:rsidR="00156EAF" w:rsidRPr="00AD6112" w:rsidRDefault="00156EAF" w:rsidP="00156EAF">
      <w:pPr>
        <w:rPr>
          <w:b/>
          <w:bCs/>
          <w:sz w:val="24"/>
          <w:szCs w:val="24"/>
        </w:rPr>
      </w:pPr>
    </w:p>
    <w:p w14:paraId="6C96D676" w14:textId="0A5BCE20" w:rsidR="00156EAF" w:rsidRPr="00AD6112" w:rsidRDefault="00156EAF" w:rsidP="00156EAF">
      <w:pPr>
        <w:rPr>
          <w:rFonts w:ascii="Arial" w:hAnsi="Arial" w:cs="Arial"/>
          <w:sz w:val="24"/>
          <w:szCs w:val="24"/>
        </w:rPr>
      </w:pPr>
      <w:r w:rsidRPr="00AD6112">
        <w:rPr>
          <w:rFonts w:ascii="Arial" w:hAnsi="Arial" w:cs="Arial"/>
          <w:b/>
          <w:bCs/>
          <w:sz w:val="24"/>
          <w:szCs w:val="24"/>
        </w:rPr>
        <w:t>Question 3:</w:t>
      </w:r>
      <w:r w:rsidRPr="00AD6112">
        <w:rPr>
          <w:rFonts w:ascii="Arial" w:hAnsi="Arial" w:cs="Arial"/>
          <w:sz w:val="24"/>
          <w:szCs w:val="24"/>
        </w:rPr>
        <w:t xml:space="preserve"> </w:t>
      </w:r>
      <w:r w:rsidR="006E4689" w:rsidRPr="006E4689">
        <w:rPr>
          <w:rFonts w:ascii="Arial" w:hAnsi="Arial" w:cs="Arial"/>
          <w:sz w:val="24"/>
          <w:szCs w:val="24"/>
        </w:rPr>
        <w:t>When should an LIE pull a credit report? I.3.A.3.o. indicates that the LIE must obtain the credit report during the accounting audit (unless they qualify for an exception). If an LIE should disapprove an accounting for other reasons, are they required to pull the credit report prior to disapproving the accounting? Or is the credit report something that just needs to be of record prior to approving the accounting? If the credit report is pulled when the accounting is disapproved, is it required to be pulled again if the accounting is being approved more than 30 days after the first credit report was pulled?</w:t>
      </w:r>
    </w:p>
    <w:p w14:paraId="71AE632D" w14:textId="77777777" w:rsidR="00156EAF" w:rsidRPr="00AD6112" w:rsidRDefault="00156EAF" w:rsidP="00156EAF">
      <w:pPr>
        <w:rPr>
          <w:rFonts w:ascii="Arial" w:hAnsi="Arial" w:cs="Arial"/>
          <w:sz w:val="24"/>
          <w:szCs w:val="24"/>
        </w:rPr>
      </w:pPr>
    </w:p>
    <w:p w14:paraId="4A1FAE5B" w14:textId="04EA32E5" w:rsidR="00156EAF" w:rsidRDefault="00156EAF" w:rsidP="00156EAF">
      <w:pPr>
        <w:rPr>
          <w:rFonts w:ascii="Arial" w:hAnsi="Arial" w:cs="Arial"/>
          <w:sz w:val="24"/>
          <w:szCs w:val="24"/>
        </w:rPr>
      </w:pPr>
      <w:r w:rsidRPr="00AD6112">
        <w:rPr>
          <w:rFonts w:ascii="Arial" w:hAnsi="Arial" w:cs="Arial"/>
          <w:b/>
          <w:bCs/>
          <w:sz w:val="24"/>
          <w:szCs w:val="24"/>
        </w:rPr>
        <w:t xml:space="preserve">P&amp;F Service Response 3: </w:t>
      </w:r>
      <w:r w:rsidRPr="00AD6112">
        <w:rPr>
          <w:rFonts w:ascii="Arial" w:hAnsi="Arial" w:cs="Arial"/>
          <w:sz w:val="24"/>
          <w:szCs w:val="24"/>
        </w:rPr>
        <w:t xml:space="preserve">The LIE must pull a credit report when performing an accounting audit, per  </w:t>
      </w:r>
      <w:hyperlink r:id="rId25" w:anchor="3" w:history="1">
        <w:r w:rsidRPr="00AD6112">
          <w:rPr>
            <w:rFonts w:ascii="Arial" w:hAnsi="Arial" w:cs="Arial"/>
            <w:color w:val="0000FF" w:themeColor="hyperlink"/>
            <w:sz w:val="24"/>
            <w:szCs w:val="24"/>
            <w:u w:val="single"/>
          </w:rPr>
          <w:t>FPM, Part I, 3.A.3.o</w:t>
        </w:r>
      </w:hyperlink>
      <w:r w:rsidRPr="00AD6112">
        <w:rPr>
          <w:rFonts w:ascii="Arial" w:hAnsi="Arial" w:cs="Arial"/>
          <w:color w:val="0000FF" w:themeColor="hyperlink"/>
          <w:sz w:val="24"/>
          <w:szCs w:val="24"/>
          <w:u w:val="single"/>
        </w:rPr>
        <w:t xml:space="preserve">. </w:t>
      </w:r>
      <w:r w:rsidRPr="00AD6112">
        <w:rPr>
          <w:rFonts w:ascii="Arial" w:hAnsi="Arial" w:cs="Arial"/>
          <w:sz w:val="24"/>
          <w:szCs w:val="24"/>
        </w:rPr>
        <w:t>The credit report must be pulled and uploaded to the eFolder regardless of whether the accounting is approved or disapproved. The credit report is an oversight tool separate from the accounting and the results of the credit report do not affect whether an accounting is approvable. There is no requirement to pull another credit report when approving a previously disapproved accounting for the same accounting period.</w:t>
      </w:r>
    </w:p>
    <w:p w14:paraId="27AF4047" w14:textId="7B0D5C96" w:rsidR="00EA4F0D" w:rsidRDefault="00EA4F0D" w:rsidP="00156EAF">
      <w:pPr>
        <w:rPr>
          <w:rFonts w:ascii="Arial" w:hAnsi="Arial" w:cs="Arial"/>
          <w:sz w:val="24"/>
          <w:szCs w:val="24"/>
        </w:rPr>
      </w:pPr>
    </w:p>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620"/>
        <w:gridCol w:w="4970"/>
        <w:gridCol w:w="1324"/>
        <w:gridCol w:w="2310"/>
      </w:tblGrid>
      <w:tr w:rsidR="00EA4F0D" w:rsidRPr="00D60069" w14:paraId="6C40FA3A" w14:textId="77777777" w:rsidTr="005319FD">
        <w:tc>
          <w:tcPr>
            <w:tcW w:w="1620" w:type="dxa"/>
          </w:tcPr>
          <w:p w14:paraId="59E9287A" w14:textId="77777777" w:rsidR="00EA4F0D" w:rsidRPr="00075FC0" w:rsidRDefault="00000000" w:rsidP="005319FD">
            <w:pPr>
              <w:pStyle w:val="Heading2"/>
              <w:rPr>
                <w:color w:val="8064A2" w:themeColor="accent4"/>
              </w:rPr>
            </w:pPr>
            <w:sdt>
              <w:sdtPr>
                <w:rPr>
                  <w:color w:val="8064A2" w:themeColor="accent4"/>
                </w:rPr>
                <w:id w:val="1118797329"/>
                <w:placeholder>
                  <w:docPart w:val="0389CCC2E93E4DF4842A2202FABC57AA"/>
                </w:placeholder>
                <w:temporary/>
                <w:showingPlcHdr/>
                <w15:appearance w15:val="hidden"/>
              </w:sdtPr>
              <w:sdtContent>
                <w:r w:rsidR="00EA4F0D" w:rsidRPr="00075FC0">
                  <w:rPr>
                    <w:color w:val="8064A2" w:themeColor="accent4"/>
                    <w:sz w:val="24"/>
                    <w:szCs w:val="24"/>
                  </w:rPr>
                  <w:t>Agenda item:</w:t>
                </w:r>
              </w:sdtContent>
            </w:sdt>
          </w:p>
        </w:tc>
        <w:tc>
          <w:tcPr>
            <w:tcW w:w="4970" w:type="dxa"/>
          </w:tcPr>
          <w:p w14:paraId="60C2AAFB" w14:textId="77777777" w:rsidR="00EA4F0D" w:rsidRDefault="00EA4F0D" w:rsidP="005319FD">
            <w:pPr>
              <w:rPr>
                <w:color w:val="8064A2" w:themeColor="accent4"/>
                <w:sz w:val="24"/>
                <w:szCs w:val="24"/>
              </w:rPr>
            </w:pPr>
            <w:r>
              <w:rPr>
                <w:color w:val="8064A2" w:themeColor="accent4"/>
                <w:sz w:val="24"/>
                <w:szCs w:val="24"/>
              </w:rPr>
              <w:t xml:space="preserve">Interactive Discussion - Annual Written </w:t>
            </w:r>
          </w:p>
          <w:p w14:paraId="27265725" w14:textId="77777777" w:rsidR="00EA4F0D" w:rsidRPr="007E4418" w:rsidRDefault="00EA4F0D" w:rsidP="005319FD">
            <w:pPr>
              <w:rPr>
                <w:color w:val="8064A2" w:themeColor="accent4"/>
                <w:sz w:val="24"/>
                <w:szCs w:val="24"/>
              </w:rPr>
            </w:pPr>
            <w:r>
              <w:rPr>
                <w:color w:val="8064A2" w:themeColor="accent4"/>
                <w:sz w:val="24"/>
                <w:szCs w:val="24"/>
              </w:rPr>
              <w:t>Contact</w:t>
            </w:r>
          </w:p>
        </w:tc>
        <w:tc>
          <w:tcPr>
            <w:tcW w:w="1324" w:type="dxa"/>
          </w:tcPr>
          <w:p w14:paraId="04E9F8DE" w14:textId="77777777" w:rsidR="00EA4F0D" w:rsidRPr="00075FC0" w:rsidRDefault="00000000" w:rsidP="005319FD">
            <w:pPr>
              <w:pStyle w:val="Heading2"/>
              <w:rPr>
                <w:color w:val="8064A2" w:themeColor="accent4"/>
              </w:rPr>
            </w:pPr>
            <w:sdt>
              <w:sdtPr>
                <w:rPr>
                  <w:color w:val="8064A2" w:themeColor="accent4"/>
                </w:rPr>
                <w:id w:val="-1581064733"/>
                <w:placeholder>
                  <w:docPart w:val="0836168ACF8142A486496CF1C83A464D"/>
                </w:placeholder>
                <w:temporary/>
                <w:showingPlcHdr/>
                <w15:appearance w15:val="hidden"/>
              </w:sdtPr>
              <w:sdtContent>
                <w:r w:rsidR="00EA4F0D" w:rsidRPr="00075FC0">
                  <w:rPr>
                    <w:color w:val="8064A2" w:themeColor="accent4"/>
                    <w:sz w:val="24"/>
                    <w:szCs w:val="24"/>
                  </w:rPr>
                  <w:t>Presenter:</w:t>
                </w:r>
              </w:sdtContent>
            </w:sdt>
          </w:p>
        </w:tc>
        <w:tc>
          <w:tcPr>
            <w:tcW w:w="2310" w:type="dxa"/>
          </w:tcPr>
          <w:p w14:paraId="1EFD08A2" w14:textId="77777777" w:rsidR="00EA4F0D" w:rsidRPr="007E4418" w:rsidRDefault="00EA4F0D" w:rsidP="005319FD">
            <w:pPr>
              <w:rPr>
                <w:color w:val="8064A2" w:themeColor="accent4"/>
                <w:sz w:val="24"/>
                <w:szCs w:val="24"/>
              </w:rPr>
            </w:pPr>
            <w:r>
              <w:rPr>
                <w:color w:val="8064A2" w:themeColor="accent4"/>
                <w:sz w:val="24"/>
                <w:szCs w:val="24"/>
              </w:rPr>
              <w:t>Nicole Weatherall</w:t>
            </w:r>
          </w:p>
        </w:tc>
      </w:tr>
    </w:tbl>
    <w:p w14:paraId="13CC78EF" w14:textId="77777777" w:rsidR="00EA4F0D" w:rsidRPr="00075FC0" w:rsidRDefault="00EA4F0D" w:rsidP="00EA4F0D">
      <w:pPr>
        <w:pStyle w:val="Heading4"/>
        <w:rPr>
          <w:color w:val="548DD4" w:themeColor="text2" w:themeTint="99"/>
          <w:sz w:val="24"/>
          <w:szCs w:val="24"/>
        </w:rPr>
      </w:pPr>
      <w:r w:rsidRPr="00075FC0">
        <w:rPr>
          <w:color w:val="548DD4" w:themeColor="text2" w:themeTint="99"/>
          <w:sz w:val="24"/>
          <w:szCs w:val="24"/>
        </w:rPr>
        <w:t>Target Audience:</w:t>
      </w:r>
    </w:p>
    <w:p w14:paraId="26483806" w14:textId="77777777" w:rsidR="00EA4F0D" w:rsidRDefault="00EA4F0D" w:rsidP="00EA4F0D">
      <w:pPr>
        <w:pStyle w:val="Heading4"/>
        <w:rPr>
          <w:b w:val="0"/>
          <w:color w:val="4F81BD" w:themeColor="accent1"/>
          <w:sz w:val="24"/>
          <w:szCs w:val="24"/>
        </w:rPr>
      </w:pPr>
      <w:r w:rsidRPr="005A0926">
        <w:rPr>
          <w:b w:val="0"/>
          <w:color w:val="4F81BD" w:themeColor="accent1"/>
          <w:sz w:val="24"/>
          <w:szCs w:val="24"/>
        </w:rPr>
        <w:t>Quality Review Team (QRT) Program Specialists and Coaches/Assistant Coaches</w:t>
      </w:r>
    </w:p>
    <w:p w14:paraId="3B9A17CB" w14:textId="77777777" w:rsidR="00EA4F0D" w:rsidRPr="005537F7" w:rsidRDefault="00EA4F0D" w:rsidP="00EA4F0D">
      <w:pPr>
        <w:pStyle w:val="Heading4"/>
        <w:rPr>
          <w:sz w:val="24"/>
          <w:szCs w:val="24"/>
        </w:rPr>
      </w:pPr>
      <w:r w:rsidRPr="005537F7">
        <w:rPr>
          <w:sz w:val="24"/>
          <w:szCs w:val="24"/>
        </w:rPr>
        <w:t>Discussion:</w:t>
      </w:r>
    </w:p>
    <w:p w14:paraId="218FA9E1" w14:textId="77777777" w:rsidR="00EA4F0D" w:rsidRPr="005537F7" w:rsidRDefault="00EA4F0D" w:rsidP="00EA4F0D">
      <w:pPr>
        <w:rPr>
          <w:sz w:val="24"/>
          <w:szCs w:val="24"/>
        </w:rPr>
      </w:pPr>
      <w:proofErr w:type="gramStart"/>
      <w:r w:rsidRPr="00277640">
        <w:rPr>
          <w:sz w:val="24"/>
          <w:szCs w:val="24"/>
        </w:rPr>
        <w:t>In an effort to</w:t>
      </w:r>
      <w:proofErr w:type="gramEnd"/>
      <w:r w:rsidRPr="00277640">
        <w:rPr>
          <w:sz w:val="24"/>
          <w:szCs w:val="24"/>
        </w:rPr>
        <w:t xml:space="preserve"> engage the hubs in determining some best practices while performing local quality reviews, P&amp;F Service will host and facilitate an Interactive Discussion at the end of each quality call.</w:t>
      </w:r>
    </w:p>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5310"/>
        <w:gridCol w:w="3483"/>
        <w:gridCol w:w="1431"/>
      </w:tblGrid>
      <w:tr w:rsidR="00EA4F0D" w:rsidRPr="00D60069" w14:paraId="73DB14E9" w14:textId="77777777" w:rsidTr="005319FD">
        <w:trPr>
          <w:tblHeader/>
        </w:trPr>
        <w:tc>
          <w:tcPr>
            <w:tcW w:w="5310" w:type="dxa"/>
            <w:vAlign w:val="bottom"/>
          </w:tcPr>
          <w:p w14:paraId="1F74DC21" w14:textId="77777777" w:rsidR="00EA4F0D" w:rsidRPr="005537F7" w:rsidRDefault="00EA4F0D" w:rsidP="005319FD">
            <w:pPr>
              <w:pStyle w:val="Heading2"/>
              <w:spacing w:after="80"/>
              <w:rPr>
                <w:sz w:val="24"/>
                <w:szCs w:val="24"/>
              </w:rPr>
            </w:pPr>
            <w:r w:rsidRPr="005537F7">
              <w:rPr>
                <w:sz w:val="24"/>
                <w:szCs w:val="24"/>
              </w:rPr>
              <w:t>References/Contacts</w:t>
            </w:r>
          </w:p>
        </w:tc>
        <w:tc>
          <w:tcPr>
            <w:tcW w:w="3483" w:type="dxa"/>
            <w:vAlign w:val="bottom"/>
          </w:tcPr>
          <w:p w14:paraId="612DAB16" w14:textId="77777777" w:rsidR="00EA4F0D" w:rsidRPr="00D60069" w:rsidRDefault="00EA4F0D" w:rsidP="005319FD">
            <w:pPr>
              <w:pStyle w:val="Heading2"/>
              <w:spacing w:after="80"/>
            </w:pPr>
          </w:p>
        </w:tc>
        <w:tc>
          <w:tcPr>
            <w:tcW w:w="1431" w:type="dxa"/>
            <w:vAlign w:val="bottom"/>
          </w:tcPr>
          <w:p w14:paraId="300967AD" w14:textId="77777777" w:rsidR="00EA4F0D" w:rsidRPr="00D60069" w:rsidRDefault="00EA4F0D" w:rsidP="005319FD">
            <w:pPr>
              <w:pStyle w:val="Heading2"/>
              <w:spacing w:after="80"/>
            </w:pPr>
          </w:p>
        </w:tc>
      </w:tr>
      <w:tr w:rsidR="00EA4F0D" w:rsidRPr="00D60069" w14:paraId="608F7578" w14:textId="77777777" w:rsidTr="005319FD">
        <w:tc>
          <w:tcPr>
            <w:tcW w:w="5310" w:type="dxa"/>
          </w:tcPr>
          <w:p w14:paraId="36BE3045" w14:textId="77777777" w:rsidR="00EA4F0D" w:rsidRPr="00027747" w:rsidRDefault="00000000" w:rsidP="005319FD">
            <w:pPr>
              <w:pStyle w:val="ListBullet"/>
              <w:numPr>
                <w:ilvl w:val="0"/>
                <w:numId w:val="23"/>
              </w:numPr>
              <w:spacing w:before="0"/>
              <w:rPr>
                <w:sz w:val="24"/>
                <w:szCs w:val="24"/>
              </w:rPr>
            </w:pPr>
            <w:hyperlink r:id="rId26" w:history="1">
              <w:r w:rsidR="00EA4F0D" w:rsidRPr="00027747">
                <w:rPr>
                  <w:rStyle w:val="Hyperlink"/>
                  <w:sz w:val="24"/>
                  <w:szCs w:val="24"/>
                </w:rPr>
                <w:t>FPM II.2.D Annual Written Contact</w:t>
              </w:r>
            </w:hyperlink>
          </w:p>
        </w:tc>
        <w:tc>
          <w:tcPr>
            <w:tcW w:w="3483" w:type="dxa"/>
          </w:tcPr>
          <w:p w14:paraId="394EAA33" w14:textId="77777777" w:rsidR="00EA4F0D" w:rsidRPr="00F31E9F" w:rsidRDefault="00EA4F0D" w:rsidP="005319FD">
            <w:pPr>
              <w:spacing w:before="0"/>
              <w:rPr>
                <w:sz w:val="24"/>
                <w:szCs w:val="24"/>
              </w:rPr>
            </w:pPr>
          </w:p>
        </w:tc>
        <w:tc>
          <w:tcPr>
            <w:tcW w:w="1431" w:type="dxa"/>
          </w:tcPr>
          <w:p w14:paraId="19E425EB" w14:textId="77777777" w:rsidR="00EA4F0D" w:rsidRPr="00D60069" w:rsidRDefault="00EA4F0D" w:rsidP="005319FD">
            <w:pPr>
              <w:spacing w:after="80"/>
            </w:pPr>
          </w:p>
        </w:tc>
      </w:tr>
    </w:tbl>
    <w:p w14:paraId="4AA5E904" w14:textId="77777777" w:rsidR="00EA4F0D" w:rsidRPr="00AD6112" w:rsidRDefault="00EA4F0D" w:rsidP="00156EAF">
      <w:pPr>
        <w:rPr>
          <w:rFonts w:ascii="Arial" w:hAnsi="Arial" w:cs="Arial"/>
          <w:sz w:val="24"/>
          <w:szCs w:val="24"/>
        </w:rPr>
      </w:pPr>
    </w:p>
    <w:p w14:paraId="7F8145C7" w14:textId="77777777" w:rsidR="00156EAF" w:rsidRPr="00D60069" w:rsidRDefault="00156EAF" w:rsidP="00156EAF"/>
    <w:p w14:paraId="66619FA7" w14:textId="77777777" w:rsidR="00156EAF" w:rsidRDefault="00156EAF"/>
    <w:p w14:paraId="13E0473B" w14:textId="77777777" w:rsidR="00AD6112" w:rsidRPr="005537F7" w:rsidRDefault="00AD6112" w:rsidP="00AD6112">
      <w:pPr>
        <w:pStyle w:val="Heading1"/>
        <w:rPr>
          <w:color w:val="8064A2" w:themeColor="accent4"/>
        </w:rPr>
      </w:pPr>
      <w:bookmarkStart w:id="6" w:name="_Hlk127513080"/>
      <w:r w:rsidRPr="005537F7">
        <w:rPr>
          <w:color w:val="8064A2" w:themeColor="accent4"/>
        </w:rPr>
        <w:t>Closing Comment</w:t>
      </w:r>
      <w:r>
        <w:rPr>
          <w:color w:val="8064A2" w:themeColor="accent4"/>
        </w:rPr>
        <w:t>s</w:t>
      </w:r>
    </w:p>
    <w:bookmarkEnd w:id="6"/>
    <w:p w14:paraId="1E195FBA" w14:textId="77777777" w:rsidR="00AD6112" w:rsidRPr="004B1C80" w:rsidRDefault="00AD6112" w:rsidP="00AD6112">
      <w:pPr>
        <w:pStyle w:val="Heading4"/>
        <w:rPr>
          <w:sz w:val="24"/>
          <w:szCs w:val="24"/>
        </w:rPr>
      </w:pPr>
      <w:r w:rsidRPr="004B1C80">
        <w:rPr>
          <w:sz w:val="24"/>
          <w:szCs w:val="24"/>
        </w:rPr>
        <w:t>P&amp;F Quality Mailbox:</w:t>
      </w:r>
    </w:p>
    <w:p w14:paraId="4E7A2C60" w14:textId="77777777" w:rsidR="00AD6112" w:rsidRPr="004B1C80" w:rsidRDefault="00AD6112" w:rsidP="00AD6112">
      <w:pPr>
        <w:rPr>
          <w:sz w:val="24"/>
          <w:szCs w:val="24"/>
        </w:rPr>
      </w:pPr>
      <w:r w:rsidRPr="004B1C80">
        <w:rPr>
          <w:sz w:val="24"/>
          <w:szCs w:val="24"/>
        </w:rPr>
        <w:t xml:space="preserve">We will solicit for agenda topic(s) for each future Quality Call.  If you have a specific topic suggestion, please feel free to email it to the Pension and Fiduciary (P&amp;F) Quality mailbox at </w:t>
      </w:r>
      <w:hyperlink r:id="rId27" w:history="1">
        <w:r w:rsidRPr="004B1C80">
          <w:rPr>
            <w:rStyle w:val="Hyperlink"/>
            <w:sz w:val="24"/>
            <w:szCs w:val="24"/>
          </w:rPr>
          <w:t>PFTNGQUALOVRST.VBACO@va.gov</w:t>
        </w:r>
      </w:hyperlink>
    </w:p>
    <w:p w14:paraId="4005357E" w14:textId="77777777" w:rsidR="00AD6112" w:rsidRDefault="00AD6112" w:rsidP="00AD6112">
      <w:pPr>
        <w:pStyle w:val="Heading4"/>
        <w:spacing w:before="0"/>
      </w:pPr>
    </w:p>
    <w:p w14:paraId="22E1FBB7" w14:textId="77777777" w:rsidR="00AD6112" w:rsidRPr="004B1C80" w:rsidRDefault="00AD6112" w:rsidP="00AD6112">
      <w:pPr>
        <w:pStyle w:val="Heading4"/>
        <w:spacing w:before="0"/>
        <w:rPr>
          <w:sz w:val="24"/>
          <w:szCs w:val="24"/>
        </w:rPr>
      </w:pPr>
      <w:r w:rsidRPr="004B1C80">
        <w:rPr>
          <w:sz w:val="24"/>
          <w:szCs w:val="24"/>
        </w:rPr>
        <w:t>Quality Call Bulletins</w:t>
      </w:r>
    </w:p>
    <w:p w14:paraId="52826642" w14:textId="77777777" w:rsidR="00AD6112" w:rsidRPr="004B1C80" w:rsidRDefault="00AD6112" w:rsidP="00AD6112">
      <w:pPr>
        <w:rPr>
          <w:color w:val="FF0000"/>
          <w:sz w:val="24"/>
          <w:szCs w:val="24"/>
        </w:rPr>
      </w:pPr>
      <w:r w:rsidRPr="004B1C80">
        <w:rPr>
          <w:sz w:val="24"/>
          <w:szCs w:val="24"/>
        </w:rPr>
        <w:t xml:space="preserve">Quality Call Bulletins can be found in the following locations:  </w:t>
      </w:r>
      <w:hyperlink r:id="rId28" w:history="1">
        <w:r w:rsidRPr="00AC032E">
          <w:rPr>
            <w:rStyle w:val="Hyperlink"/>
            <w:sz w:val="24"/>
            <w:szCs w:val="24"/>
          </w:rPr>
          <w:t>https://vbaw.vba.va.gov/PENSIONANDFIDUCIARY/Quality_Call_Bulletins.asp</w:t>
        </w:r>
      </w:hyperlink>
      <w:r>
        <w:rPr>
          <w:color w:val="000000" w:themeColor="text1"/>
          <w:sz w:val="24"/>
          <w:szCs w:val="24"/>
        </w:rPr>
        <w:t>. The next Quality Call is tentatively scheduled for April 2023.</w:t>
      </w:r>
    </w:p>
    <w:p w14:paraId="6F99D674" w14:textId="77777777" w:rsidR="00AD6112" w:rsidRDefault="00AD6112" w:rsidP="00AD6112">
      <w:pPr>
        <w:pStyle w:val="Heading4"/>
        <w:spacing w:before="0"/>
      </w:pPr>
    </w:p>
    <w:p w14:paraId="7BC5103B" w14:textId="77777777" w:rsidR="00AD6112" w:rsidRPr="005A0926" w:rsidRDefault="00AD6112" w:rsidP="00AD6112">
      <w:pPr>
        <w:keepNext/>
        <w:spacing w:before="0" w:after="120"/>
        <w:outlineLvl w:val="3"/>
        <w:rPr>
          <w:b/>
          <w:sz w:val="24"/>
          <w:szCs w:val="24"/>
        </w:rPr>
      </w:pPr>
      <w:r w:rsidRPr="005A0926">
        <w:rPr>
          <w:b/>
          <w:sz w:val="24"/>
          <w:szCs w:val="24"/>
        </w:rPr>
        <w:t>TMS Courses</w:t>
      </w:r>
    </w:p>
    <w:p w14:paraId="520C9D72" w14:textId="77777777" w:rsidR="00AD6112" w:rsidRPr="005A0926" w:rsidRDefault="00AD6112" w:rsidP="00AD6112">
      <w:pPr>
        <w:rPr>
          <w:sz w:val="24"/>
          <w:szCs w:val="24"/>
        </w:rPr>
      </w:pPr>
      <w:r w:rsidRPr="005A0926">
        <w:rPr>
          <w:sz w:val="24"/>
          <w:szCs w:val="24"/>
        </w:rPr>
        <w:t>All P&amp;F Service Quality Calls and bulletins will be available in TMS. Once the monthly bulletin is finalized, information will be sent to the PMCs and Fiduciary Hubs, which will include the TMS #.</w:t>
      </w:r>
    </w:p>
    <w:p w14:paraId="68BD406E" w14:textId="3F5DB113" w:rsidR="00AD6112" w:rsidRDefault="00AD6112"/>
    <w:p w14:paraId="4CF300F6" w14:textId="2178C632" w:rsidR="00AD6112" w:rsidRDefault="00AD6112">
      <w:pPr>
        <w:rPr>
          <w:b/>
          <w:bCs/>
        </w:rPr>
      </w:pPr>
    </w:p>
    <w:p w14:paraId="1F1A8223" w14:textId="77777777" w:rsidR="00F15EBC" w:rsidRPr="00D60069" w:rsidRDefault="00F15EBC"/>
    <w:sectPr w:rsidR="00F15EBC" w:rsidRPr="00D60069">
      <w:footerReference w:type="default" r:id="rId29"/>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0A2D" w14:textId="77777777" w:rsidR="00BC7904" w:rsidRDefault="00BC7904">
      <w:pPr>
        <w:spacing w:before="0" w:after="0"/>
      </w:pPr>
      <w:r>
        <w:separator/>
      </w:r>
    </w:p>
  </w:endnote>
  <w:endnote w:type="continuationSeparator" w:id="0">
    <w:p w14:paraId="1FCF5C75" w14:textId="77777777" w:rsidR="00BC7904" w:rsidRDefault="00BC79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96814"/>
      <w:docPartObj>
        <w:docPartGallery w:val="Page Numbers (Bottom of Page)"/>
        <w:docPartUnique/>
      </w:docPartObj>
    </w:sdtPr>
    <w:sdtEndPr>
      <w:rPr>
        <w:noProof/>
      </w:rPr>
    </w:sdtEndPr>
    <w:sdtContent>
      <w:p w14:paraId="0378161C" w14:textId="77777777" w:rsidR="002B2D13" w:rsidRDefault="006344A8">
        <w:pPr>
          <w:pStyle w:val="Footer"/>
        </w:pPr>
        <w:r>
          <w:fldChar w:fldCharType="begin"/>
        </w:r>
        <w:r>
          <w:instrText xml:space="preserve"> PAGE   \* MERGEFORMAT </w:instrText>
        </w:r>
        <w:r>
          <w:fldChar w:fldCharType="separate"/>
        </w:r>
        <w:r w:rsidR="003D5BF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7E25" w14:textId="77777777" w:rsidR="00BC7904" w:rsidRDefault="00BC7904">
      <w:pPr>
        <w:spacing w:before="0" w:after="0"/>
      </w:pPr>
      <w:r>
        <w:separator/>
      </w:r>
    </w:p>
  </w:footnote>
  <w:footnote w:type="continuationSeparator" w:id="0">
    <w:p w14:paraId="7B8A35D7" w14:textId="77777777" w:rsidR="00BC7904" w:rsidRDefault="00BC790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A18DBD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0CFFDC"/>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3E977059"/>
    <w:multiLevelType w:val="hybridMultilevel"/>
    <w:tmpl w:val="AB383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D3A5F8C"/>
    <w:multiLevelType w:val="hybridMultilevel"/>
    <w:tmpl w:val="B5A4E3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8521855">
    <w:abstractNumId w:val="4"/>
  </w:num>
  <w:num w:numId="2" w16cid:durableId="245188876">
    <w:abstractNumId w:val="5"/>
  </w:num>
  <w:num w:numId="3" w16cid:durableId="1166238952">
    <w:abstractNumId w:val="1"/>
  </w:num>
  <w:num w:numId="4" w16cid:durableId="1912424826">
    <w:abstractNumId w:val="0"/>
  </w:num>
  <w:num w:numId="5" w16cid:durableId="156775906">
    <w:abstractNumId w:val="1"/>
    <w:lvlOverride w:ilvl="0">
      <w:startOverride w:val="1"/>
    </w:lvlOverride>
  </w:num>
  <w:num w:numId="6" w16cid:durableId="359476493">
    <w:abstractNumId w:val="1"/>
    <w:lvlOverride w:ilvl="0">
      <w:startOverride w:val="1"/>
    </w:lvlOverride>
  </w:num>
  <w:num w:numId="7" w16cid:durableId="426849428">
    <w:abstractNumId w:val="1"/>
  </w:num>
  <w:num w:numId="8" w16cid:durableId="458497813">
    <w:abstractNumId w:val="1"/>
  </w:num>
  <w:num w:numId="9" w16cid:durableId="1952780924">
    <w:abstractNumId w:val="1"/>
  </w:num>
  <w:num w:numId="10" w16cid:durableId="1460535340">
    <w:abstractNumId w:val="1"/>
  </w:num>
  <w:num w:numId="11" w16cid:durableId="31392821">
    <w:abstractNumId w:val="1"/>
  </w:num>
  <w:num w:numId="12" w16cid:durableId="476655030">
    <w:abstractNumId w:val="1"/>
  </w:num>
  <w:num w:numId="13" w16cid:durableId="1553998542">
    <w:abstractNumId w:val="1"/>
  </w:num>
  <w:num w:numId="14" w16cid:durableId="395932440">
    <w:abstractNumId w:val="1"/>
  </w:num>
  <w:num w:numId="15" w16cid:durableId="2011834703">
    <w:abstractNumId w:val="1"/>
  </w:num>
  <w:num w:numId="16" w16cid:durableId="616716873">
    <w:abstractNumId w:val="1"/>
  </w:num>
  <w:num w:numId="17" w16cid:durableId="1165977633">
    <w:abstractNumId w:val="1"/>
  </w:num>
  <w:num w:numId="18" w16cid:durableId="1196043465">
    <w:abstractNumId w:val="1"/>
  </w:num>
  <w:num w:numId="19" w16cid:durableId="493447883">
    <w:abstractNumId w:val="1"/>
  </w:num>
  <w:num w:numId="20" w16cid:durableId="1918585905">
    <w:abstractNumId w:val="1"/>
  </w:num>
  <w:num w:numId="21" w16cid:durableId="1099255395">
    <w:abstractNumId w:val="1"/>
  </w:num>
  <w:num w:numId="22" w16cid:durableId="390078285">
    <w:abstractNumId w:val="1"/>
  </w:num>
  <w:num w:numId="23" w16cid:durableId="1536889698">
    <w:abstractNumId w:val="3"/>
  </w:num>
  <w:num w:numId="24" w16cid:durableId="1577010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00"/>
    <w:rsid w:val="00027747"/>
    <w:rsid w:val="000367B4"/>
    <w:rsid w:val="000406F8"/>
    <w:rsid w:val="00047521"/>
    <w:rsid w:val="00075FC0"/>
    <w:rsid w:val="000A26B0"/>
    <w:rsid w:val="000D431A"/>
    <w:rsid w:val="001479B9"/>
    <w:rsid w:val="00156EAF"/>
    <w:rsid w:val="00194788"/>
    <w:rsid w:val="0019730E"/>
    <w:rsid w:val="001E0877"/>
    <w:rsid w:val="00221FDF"/>
    <w:rsid w:val="00222A05"/>
    <w:rsid w:val="00247BF9"/>
    <w:rsid w:val="002768A9"/>
    <w:rsid w:val="00277640"/>
    <w:rsid w:val="00290A0E"/>
    <w:rsid w:val="002B2D13"/>
    <w:rsid w:val="002C0EBF"/>
    <w:rsid w:val="0034721D"/>
    <w:rsid w:val="003B1430"/>
    <w:rsid w:val="003D5BF7"/>
    <w:rsid w:val="003F1B99"/>
    <w:rsid w:val="003F257D"/>
    <w:rsid w:val="00406094"/>
    <w:rsid w:val="004C6763"/>
    <w:rsid w:val="004D3FEF"/>
    <w:rsid w:val="004F2C34"/>
    <w:rsid w:val="005027D2"/>
    <w:rsid w:val="005537F7"/>
    <w:rsid w:val="00565C0A"/>
    <w:rsid w:val="005853EF"/>
    <w:rsid w:val="005A0926"/>
    <w:rsid w:val="005A7328"/>
    <w:rsid w:val="00611058"/>
    <w:rsid w:val="006344A8"/>
    <w:rsid w:val="0063741D"/>
    <w:rsid w:val="006E4689"/>
    <w:rsid w:val="00712087"/>
    <w:rsid w:val="00734EEC"/>
    <w:rsid w:val="007B529C"/>
    <w:rsid w:val="007D5F00"/>
    <w:rsid w:val="007E4418"/>
    <w:rsid w:val="007F04FA"/>
    <w:rsid w:val="00800723"/>
    <w:rsid w:val="008901FD"/>
    <w:rsid w:val="008B0207"/>
    <w:rsid w:val="008E706D"/>
    <w:rsid w:val="0095694D"/>
    <w:rsid w:val="009D0787"/>
    <w:rsid w:val="00A070BE"/>
    <w:rsid w:val="00A42887"/>
    <w:rsid w:val="00A43E46"/>
    <w:rsid w:val="00AD162A"/>
    <w:rsid w:val="00AD6112"/>
    <w:rsid w:val="00AE267F"/>
    <w:rsid w:val="00B30142"/>
    <w:rsid w:val="00B312D0"/>
    <w:rsid w:val="00B335B7"/>
    <w:rsid w:val="00BA4AFF"/>
    <w:rsid w:val="00BC7904"/>
    <w:rsid w:val="00BD3B56"/>
    <w:rsid w:val="00BE5ACE"/>
    <w:rsid w:val="00C10571"/>
    <w:rsid w:val="00C13AEC"/>
    <w:rsid w:val="00D038E6"/>
    <w:rsid w:val="00D34264"/>
    <w:rsid w:val="00D60069"/>
    <w:rsid w:val="00D62E01"/>
    <w:rsid w:val="00D661EE"/>
    <w:rsid w:val="00DC42BF"/>
    <w:rsid w:val="00DE4164"/>
    <w:rsid w:val="00E048B4"/>
    <w:rsid w:val="00E134D2"/>
    <w:rsid w:val="00E5025A"/>
    <w:rsid w:val="00E54C1A"/>
    <w:rsid w:val="00E80383"/>
    <w:rsid w:val="00EA3B76"/>
    <w:rsid w:val="00EA4F0D"/>
    <w:rsid w:val="00ED748F"/>
    <w:rsid w:val="00EE1706"/>
    <w:rsid w:val="00EF3937"/>
    <w:rsid w:val="00F10231"/>
    <w:rsid w:val="00F15EBC"/>
    <w:rsid w:val="00F31E9F"/>
    <w:rsid w:val="00F343B6"/>
    <w:rsid w:val="00F434DD"/>
    <w:rsid w:val="00F50BC2"/>
    <w:rsid w:val="00F53446"/>
    <w:rsid w:val="00F61499"/>
    <w:rsid w:val="00F767DA"/>
    <w:rsid w:val="00F96A26"/>
    <w:rsid w:val="00FA2398"/>
    <w:rsid w:val="00FE0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28948"/>
  <w15:docId w15:val="{ACEFD8FA-3FA5-458A-938B-06FC1F72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164"/>
  </w:style>
  <w:style w:type="paragraph" w:styleId="Heading1">
    <w:name w:val="heading 1"/>
    <w:basedOn w:val="Normal"/>
    <w:link w:val="Heading1Char"/>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7E4418"/>
    <w:rPr>
      <w:sz w:val="16"/>
      <w:szCs w:val="16"/>
    </w:rPr>
  </w:style>
  <w:style w:type="paragraph" w:styleId="CommentText">
    <w:name w:val="annotation text"/>
    <w:basedOn w:val="Normal"/>
    <w:link w:val="CommentTextChar"/>
    <w:uiPriority w:val="99"/>
    <w:semiHidden/>
    <w:unhideWhenUsed/>
    <w:rsid w:val="007E4418"/>
    <w:rPr>
      <w:sz w:val="20"/>
      <w:szCs w:val="20"/>
    </w:rPr>
  </w:style>
  <w:style w:type="character" w:customStyle="1" w:styleId="CommentTextChar">
    <w:name w:val="Comment Text Char"/>
    <w:basedOn w:val="DefaultParagraphFont"/>
    <w:link w:val="CommentText"/>
    <w:uiPriority w:val="99"/>
    <w:semiHidden/>
    <w:rsid w:val="007E4418"/>
    <w:rPr>
      <w:sz w:val="20"/>
      <w:szCs w:val="20"/>
    </w:rPr>
  </w:style>
  <w:style w:type="paragraph" w:styleId="CommentSubject">
    <w:name w:val="annotation subject"/>
    <w:basedOn w:val="CommentText"/>
    <w:next w:val="CommentText"/>
    <w:link w:val="CommentSubjectChar"/>
    <w:uiPriority w:val="99"/>
    <w:semiHidden/>
    <w:unhideWhenUsed/>
    <w:rsid w:val="007E4418"/>
    <w:rPr>
      <w:b/>
      <w:bCs/>
    </w:rPr>
  </w:style>
  <w:style w:type="character" w:customStyle="1" w:styleId="CommentSubjectChar">
    <w:name w:val="Comment Subject Char"/>
    <w:basedOn w:val="CommentTextChar"/>
    <w:link w:val="CommentSubject"/>
    <w:uiPriority w:val="99"/>
    <w:semiHidden/>
    <w:rsid w:val="007E4418"/>
    <w:rPr>
      <w:b/>
      <w:bCs/>
      <w:sz w:val="20"/>
      <w:szCs w:val="20"/>
    </w:rPr>
  </w:style>
  <w:style w:type="character" w:styleId="Hyperlink">
    <w:name w:val="Hyperlink"/>
    <w:basedOn w:val="DefaultParagraphFont"/>
    <w:uiPriority w:val="99"/>
    <w:unhideWhenUsed/>
    <w:rsid w:val="007B529C"/>
    <w:rPr>
      <w:color w:val="0000FF" w:themeColor="hyperlink"/>
      <w:u w:val="single"/>
    </w:rPr>
  </w:style>
  <w:style w:type="character" w:styleId="UnresolvedMention">
    <w:name w:val="Unresolved Mention"/>
    <w:basedOn w:val="DefaultParagraphFont"/>
    <w:uiPriority w:val="99"/>
    <w:semiHidden/>
    <w:unhideWhenUsed/>
    <w:rsid w:val="007B529C"/>
    <w:rPr>
      <w:color w:val="605E5C"/>
      <w:shd w:val="clear" w:color="auto" w:fill="E1DFDD"/>
    </w:rPr>
  </w:style>
  <w:style w:type="character" w:styleId="FollowedHyperlink">
    <w:name w:val="FollowedHyperlink"/>
    <w:basedOn w:val="DefaultParagraphFont"/>
    <w:uiPriority w:val="99"/>
    <w:semiHidden/>
    <w:unhideWhenUsed/>
    <w:rsid w:val="00EE1706"/>
    <w:rPr>
      <w:color w:val="800080" w:themeColor="followedHyperlink"/>
      <w:u w:val="single"/>
    </w:rPr>
  </w:style>
  <w:style w:type="character" w:customStyle="1" w:styleId="Heading1Char">
    <w:name w:val="Heading 1 Char"/>
    <w:basedOn w:val="DefaultParagraphFont"/>
    <w:link w:val="Heading1"/>
    <w:uiPriority w:val="9"/>
    <w:rsid w:val="00AD6112"/>
    <w:rPr>
      <w:rFonts w:asciiTheme="majorHAnsi" w:eastAsiaTheme="majorEastAsia" w:hAnsiTheme="majorHAnsi" w:cs="Arial"/>
      <w:b/>
      <w:bCs/>
      <w:i/>
      <w:kern w:val="32"/>
      <w:sz w:val="28"/>
      <w:szCs w:val="32"/>
    </w:rPr>
  </w:style>
  <w:style w:type="paragraph" w:styleId="Revision">
    <w:name w:val="Revision"/>
    <w:hidden/>
    <w:uiPriority w:val="99"/>
    <w:semiHidden/>
    <w:rsid w:val="00B312D0"/>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11813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aww.vrm.km.va.gov/system/templates/selfservice/va_kanew/help/agent/locale/en-US/portal/554400000001030/content/554400000153946/FPM-Part-I-Chapter-1-Section-B-General-Information-on-the-Fiduciary-Program" TargetMode="External"/><Relationship Id="rId18" Type="http://schemas.openxmlformats.org/officeDocument/2006/relationships/hyperlink" Target="https://vaww.vrm.km.va.gov/system/templates/selfservice/va_kanew/help/agent/locale/en-US/portal/554400000001030/content/554400000153957/FPM-Part-I-Chapter-3-Section-C-Audits" TargetMode="External"/><Relationship Id="rId26" Type="http://schemas.openxmlformats.org/officeDocument/2006/relationships/hyperlink" Target="https://vaww.vrm.km.va.gov/system/templates/selfservice/va_kanew/help/agent/locale/en-US/portal/554400000001030/content/554400000154889/FPM-Part-II-Chapter-2-Section-D-Annual-Contact" TargetMode="External"/><Relationship Id="rId3" Type="http://schemas.openxmlformats.org/officeDocument/2006/relationships/styles" Target="styles.xml"/><Relationship Id="rId21" Type="http://schemas.openxmlformats.org/officeDocument/2006/relationships/hyperlink" Target="https://vaww.vrm.km.va.gov/system/templates/selfservice/va_kanew/help/agent/locale/en-US/portal/554400000001030/content/554400000153953/FPM,-Part-I,-Chapter-2,-Section-E---Field-Examination-Documentation" TargetMode="External"/><Relationship Id="rId7" Type="http://schemas.openxmlformats.org/officeDocument/2006/relationships/endnotes" Target="endnotes.xml"/><Relationship Id="rId12" Type="http://schemas.openxmlformats.org/officeDocument/2006/relationships/hyperlink" Target="https://vaww.vrm.km.va.gov/system/templates/selfservice/va_kanew/help/agent/locale/en-US/portal/554400000001030/content/554400000153966/FPM-Part-II-Chapter-1-Section-C-Issues-Regarding-Beneficiarys-Funds" TargetMode="External"/><Relationship Id="rId17" Type="http://schemas.openxmlformats.org/officeDocument/2006/relationships/hyperlink" Target="https://vaww.vrm.km.va.gov/system/templates/selfservice/va_kanew/help/agent/locale/en-US/portal/554400000001030/content/554400000153957/FPM-Part-I-Chapter-3-Section-C-Audits" TargetMode="External"/><Relationship Id="rId25" Type="http://schemas.openxmlformats.org/officeDocument/2006/relationships/hyperlink" Target="https://www.knowva.ebenefits.va.gov/system/templates/selfservice/va_ssnew/help/customer/locale/en-US/portal/554400000001018/content/554400000153954/FPM-Part-I-Chapter-3-Section-A-Accounting-Process-and-Requirements" TargetMode="External"/><Relationship Id="rId2" Type="http://schemas.openxmlformats.org/officeDocument/2006/relationships/numbering" Target="numbering.xml"/><Relationship Id="rId16" Type="http://schemas.openxmlformats.org/officeDocument/2006/relationships/hyperlink" Target="https://vaww.vrm.km.va.gov/system/templates/selfservice/va_kanew/help/agent/locale/en-US/portal/554400000001030/content/554400000153957/FPM-Part-I-Chapter-3-Section-C-Audits" TargetMode="External"/><Relationship Id="rId20" Type="http://schemas.openxmlformats.org/officeDocument/2006/relationships/hyperlink" Target="https://vaww.vrm.km.va.gov/system/templates/selfservice/va_kanew/help/agent/locale/en-US/portal/554400000001030/content/554400000153950/FPM-Part-I-Chapter-2-Section-C-Initial-Appointments-IAs-and-Successor-IAs-SIA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ww.vrm.km.va.gov/system/templates/selfservice/va_kanew/help/agent/locale/en-US/portal/554400000001030/content/554400000153966/FPM-Part-II-Chapter-1-Section-C-Issues-Regarding-Beneficiarys-Funds" TargetMode="External"/><Relationship Id="rId24" Type="http://schemas.openxmlformats.org/officeDocument/2006/relationships/hyperlink" Target="http://vbacoweb03.dva.va.gov/bl/21/Calendar/cal_Subscribe.as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aww.vrm.km.va.gov/system/templates/selfservice/va_kanew/help/agent/locale/en-US/portal/554400000001030/content/554400000153946/FPM-Part-I-Chapter-1-Section-B-General-Information-on-the-Fiduciary-Program" TargetMode="External"/><Relationship Id="rId23" Type="http://schemas.openxmlformats.org/officeDocument/2006/relationships/hyperlink" Target="https://vaww.vrm.km.va.gov/system/templates/selfservice/va_kanew/help/agent/locale/en-US/portal/554400000001030/content/554400000153950/FPM-Part-I-Chapter-2-Section-C-Initial-Appointments-IAs-and-Successor-IAs-SIAs" TargetMode="External"/><Relationship Id="rId28" Type="http://schemas.openxmlformats.org/officeDocument/2006/relationships/hyperlink" Target="https://vbaw.vba.va.gov/PENSIONANDFIDUCIARY/Quality_Call_Bulletins.asp" TargetMode="External"/><Relationship Id="rId10" Type="http://schemas.openxmlformats.org/officeDocument/2006/relationships/hyperlink" Target="https://vaww.vrm.km.va.gov/system/templates/selfservice/va_kanew/help/agent/locale/en-US/portal/554400000001030/content/554400000153966/FPM-Part-II-Chapter-1-Section-C-Issues-Regarding-Beneficiarys-Funds" TargetMode="External"/><Relationship Id="rId19" Type="http://schemas.openxmlformats.org/officeDocument/2006/relationships/hyperlink" Target="https://vaww.vrm.km.va.gov/system/templates/selfservice/va_kanew/help/agent/locale/en-US/portal/554400000001030/content/554400000153959/FPM-Part-I-Chapter-3-Section-D-Accounting-Disposition"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vaww.vrm.km.va.gov/system/templates/selfservice/va_kanew/help/agent/locale/en-US/portal/554400000001030/content/554400000153966/FPM-Part-II-Chapter-1-Section-C-Issues-Regarding-Beneficiarys-Funds" TargetMode="External"/><Relationship Id="rId14" Type="http://schemas.openxmlformats.org/officeDocument/2006/relationships/hyperlink" Target="https://vaww.vrm.km.va.gov/system/templates/selfservice/va_kanew/help/agent/locale/en-US/portal/554400000001030/content/554400000153950/FPM-Part-I-Chapter-2-Section-C-Initial-Appointments-IAs-and-Successor-IAs-SIAs" TargetMode="External"/><Relationship Id="rId22" Type="http://schemas.openxmlformats.org/officeDocument/2006/relationships/hyperlink" Target="https://vaww.vrm.km.va.gov/system/templates/selfservice/va_kanew/help/agent/locale/en-US/portal/554400000001030/content/554400000153950/FPM-Part-I-Chapter-2-Section-C-Initial-Appointments-IAs-and-Successor-IAs-SIAs" TargetMode="External"/><Relationship Id="rId27" Type="http://schemas.openxmlformats.org/officeDocument/2006/relationships/hyperlink" Target="mailto:PFTNGQUALOVRST.VBACO@va.gov"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DCOYL\AppData\Roaming\Microsoft\Templates\In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5DDF16B8D840B4B01294AF94A69C40"/>
        <w:category>
          <w:name w:val="General"/>
          <w:gallery w:val="placeholder"/>
        </w:category>
        <w:types>
          <w:type w:val="bbPlcHdr"/>
        </w:types>
        <w:behaviors>
          <w:behavior w:val="content"/>
        </w:behaviors>
        <w:guid w:val="{BE621820-A021-4478-B288-84D99DB3AFF9}"/>
      </w:docPartPr>
      <w:docPartBody>
        <w:p w:rsidR="00F91AC9" w:rsidRDefault="0050150A">
          <w:pPr>
            <w:pStyle w:val="0E5DDF16B8D840B4B01294AF94A69C40"/>
          </w:pPr>
          <w:r>
            <w:t>Date</w:t>
          </w:r>
        </w:p>
      </w:docPartBody>
    </w:docPart>
    <w:docPart>
      <w:docPartPr>
        <w:name w:val="20DE57C5D5E449D1A227C0884E237AD8"/>
        <w:category>
          <w:name w:val="General"/>
          <w:gallery w:val="placeholder"/>
        </w:category>
        <w:types>
          <w:type w:val="bbPlcHdr"/>
        </w:types>
        <w:behaviors>
          <w:behavior w:val="content"/>
        </w:behaviors>
        <w:guid w:val="{09008CE1-9DCF-4300-8643-5394F1432026}"/>
      </w:docPartPr>
      <w:docPartBody>
        <w:p w:rsidR="00F91AC9" w:rsidRDefault="0050150A">
          <w:pPr>
            <w:pStyle w:val="20DE57C5D5E449D1A227C0884E237AD8"/>
          </w:pPr>
          <w:r>
            <w:t>Agenda item:</w:t>
          </w:r>
        </w:p>
      </w:docPartBody>
    </w:docPart>
    <w:docPart>
      <w:docPartPr>
        <w:name w:val="351F97E736274FF0994F1CE60D68DE77"/>
        <w:category>
          <w:name w:val="General"/>
          <w:gallery w:val="placeholder"/>
        </w:category>
        <w:types>
          <w:type w:val="bbPlcHdr"/>
        </w:types>
        <w:behaviors>
          <w:behavior w:val="content"/>
        </w:behaviors>
        <w:guid w:val="{39FE9B49-D436-4B92-9650-7F2267C8D06E}"/>
      </w:docPartPr>
      <w:docPartBody>
        <w:p w:rsidR="00F91AC9" w:rsidRDefault="0050150A">
          <w:pPr>
            <w:pStyle w:val="351F97E736274FF0994F1CE60D68DE77"/>
          </w:pPr>
          <w:r>
            <w:t>Presenter:</w:t>
          </w:r>
        </w:p>
      </w:docPartBody>
    </w:docPart>
    <w:docPart>
      <w:docPartPr>
        <w:name w:val="BEEE93B5055349CDA16253D1263663B8"/>
        <w:category>
          <w:name w:val="General"/>
          <w:gallery w:val="placeholder"/>
        </w:category>
        <w:types>
          <w:type w:val="bbPlcHdr"/>
        </w:types>
        <w:behaviors>
          <w:behavior w:val="content"/>
        </w:behaviors>
        <w:guid w:val="{6B625FD9-9BA0-4429-B5EF-B0EF4AADC695}"/>
      </w:docPartPr>
      <w:docPartBody>
        <w:p w:rsidR="00F91AC9" w:rsidRDefault="0050150A">
          <w:pPr>
            <w:pStyle w:val="BEEE93B5055349CDA16253D1263663B8"/>
          </w:pPr>
          <w:r>
            <w:t>Agenda item:</w:t>
          </w:r>
        </w:p>
      </w:docPartBody>
    </w:docPart>
    <w:docPart>
      <w:docPartPr>
        <w:name w:val="EE2DA83037A34D638D4ED63942E9D9E4"/>
        <w:category>
          <w:name w:val="General"/>
          <w:gallery w:val="placeholder"/>
        </w:category>
        <w:types>
          <w:type w:val="bbPlcHdr"/>
        </w:types>
        <w:behaviors>
          <w:behavior w:val="content"/>
        </w:behaviors>
        <w:guid w:val="{46D50C73-5137-4064-9B41-B7454747B0D4}"/>
      </w:docPartPr>
      <w:docPartBody>
        <w:p w:rsidR="00F91AC9" w:rsidRDefault="0050150A">
          <w:pPr>
            <w:pStyle w:val="EE2DA83037A34D638D4ED63942E9D9E4"/>
          </w:pPr>
          <w:r>
            <w:t>Presenter:</w:t>
          </w:r>
        </w:p>
      </w:docPartBody>
    </w:docPart>
    <w:docPart>
      <w:docPartPr>
        <w:name w:val="5C526D49C19E4A4DA765D72573DF8370"/>
        <w:category>
          <w:name w:val="General"/>
          <w:gallery w:val="placeholder"/>
        </w:category>
        <w:types>
          <w:type w:val="bbPlcHdr"/>
        </w:types>
        <w:behaviors>
          <w:behavior w:val="content"/>
        </w:behaviors>
        <w:guid w:val="{C9E0606B-E1D8-4A40-A157-D6E8C5A2776C}"/>
      </w:docPartPr>
      <w:docPartBody>
        <w:p w:rsidR="00F91AC9" w:rsidRDefault="0050150A">
          <w:pPr>
            <w:pStyle w:val="5C526D49C19E4A4DA765D72573DF8370"/>
          </w:pPr>
          <w:r>
            <w:t>Agenda item:</w:t>
          </w:r>
        </w:p>
      </w:docPartBody>
    </w:docPart>
    <w:docPart>
      <w:docPartPr>
        <w:name w:val="02EA8C92C8104148B1800799423752F6"/>
        <w:category>
          <w:name w:val="General"/>
          <w:gallery w:val="placeholder"/>
        </w:category>
        <w:types>
          <w:type w:val="bbPlcHdr"/>
        </w:types>
        <w:behaviors>
          <w:behavior w:val="content"/>
        </w:behaviors>
        <w:guid w:val="{B141B2E8-AC88-4736-871B-B7A512A3FD7C}"/>
      </w:docPartPr>
      <w:docPartBody>
        <w:p w:rsidR="00F91AC9" w:rsidRDefault="0050150A">
          <w:pPr>
            <w:pStyle w:val="02EA8C92C8104148B1800799423752F6"/>
          </w:pPr>
          <w:r>
            <w:t>Presenter:</w:t>
          </w:r>
        </w:p>
      </w:docPartBody>
    </w:docPart>
    <w:docPart>
      <w:docPartPr>
        <w:name w:val="63F8F156A0BA49FD94B529EB45F4DDD9"/>
        <w:category>
          <w:name w:val="General"/>
          <w:gallery w:val="placeholder"/>
        </w:category>
        <w:types>
          <w:type w:val="bbPlcHdr"/>
        </w:types>
        <w:behaviors>
          <w:behavior w:val="content"/>
        </w:behaviors>
        <w:guid w:val="{BCC2497A-6995-4963-9177-CBBDCE096C32}"/>
      </w:docPartPr>
      <w:docPartBody>
        <w:p w:rsidR="00CD1B07" w:rsidRDefault="00C66D9E" w:rsidP="00C66D9E">
          <w:pPr>
            <w:pStyle w:val="63F8F156A0BA49FD94B529EB45F4DDD9"/>
          </w:pPr>
          <w:r>
            <w:t>Agenda item:</w:t>
          </w:r>
        </w:p>
      </w:docPartBody>
    </w:docPart>
    <w:docPart>
      <w:docPartPr>
        <w:name w:val="B9AD265B8BA14DF9BFC87494C85D00AA"/>
        <w:category>
          <w:name w:val="General"/>
          <w:gallery w:val="placeholder"/>
        </w:category>
        <w:types>
          <w:type w:val="bbPlcHdr"/>
        </w:types>
        <w:behaviors>
          <w:behavior w:val="content"/>
        </w:behaviors>
        <w:guid w:val="{6A55160E-50DD-4E9E-89E5-0A8072C981B8}"/>
      </w:docPartPr>
      <w:docPartBody>
        <w:p w:rsidR="00CD1B07" w:rsidRDefault="00C66D9E" w:rsidP="00C66D9E">
          <w:pPr>
            <w:pStyle w:val="B9AD265B8BA14DF9BFC87494C85D00AA"/>
          </w:pPr>
          <w:r>
            <w:t>Presenter:</w:t>
          </w:r>
        </w:p>
      </w:docPartBody>
    </w:docPart>
    <w:docPart>
      <w:docPartPr>
        <w:name w:val="2436D603F6B9474792F06266374C06BE"/>
        <w:category>
          <w:name w:val="General"/>
          <w:gallery w:val="placeholder"/>
        </w:category>
        <w:types>
          <w:type w:val="bbPlcHdr"/>
        </w:types>
        <w:behaviors>
          <w:behavior w:val="content"/>
        </w:behaviors>
        <w:guid w:val="{FB336E66-38CB-4390-A027-357CEC537D4F}"/>
      </w:docPartPr>
      <w:docPartBody>
        <w:p w:rsidR="00720F75" w:rsidRDefault="003E7CE6" w:rsidP="003E7CE6">
          <w:pPr>
            <w:pStyle w:val="2436D603F6B9474792F06266374C06BE"/>
          </w:pPr>
          <w:r>
            <w:t>Agenda item:</w:t>
          </w:r>
        </w:p>
      </w:docPartBody>
    </w:docPart>
    <w:docPart>
      <w:docPartPr>
        <w:name w:val="B2387A47A57447F885BD8CB4E7708A29"/>
        <w:category>
          <w:name w:val="General"/>
          <w:gallery w:val="placeholder"/>
        </w:category>
        <w:types>
          <w:type w:val="bbPlcHdr"/>
        </w:types>
        <w:behaviors>
          <w:behavior w:val="content"/>
        </w:behaviors>
        <w:guid w:val="{FA48B060-CAE8-44EE-B2E0-045164AF3A70}"/>
      </w:docPartPr>
      <w:docPartBody>
        <w:p w:rsidR="00720F75" w:rsidRDefault="003E7CE6" w:rsidP="003E7CE6">
          <w:pPr>
            <w:pStyle w:val="B2387A47A57447F885BD8CB4E7708A29"/>
          </w:pPr>
          <w:r>
            <w:t>Presenter:</w:t>
          </w:r>
        </w:p>
      </w:docPartBody>
    </w:docPart>
    <w:docPart>
      <w:docPartPr>
        <w:name w:val="0389CCC2E93E4DF4842A2202FABC57AA"/>
        <w:category>
          <w:name w:val="General"/>
          <w:gallery w:val="placeholder"/>
        </w:category>
        <w:types>
          <w:type w:val="bbPlcHdr"/>
        </w:types>
        <w:behaviors>
          <w:behavior w:val="content"/>
        </w:behaviors>
        <w:guid w:val="{5D396F93-101B-4E3E-8475-0BD1BD12D4A3}"/>
      </w:docPartPr>
      <w:docPartBody>
        <w:p w:rsidR="002B4D51" w:rsidRDefault="00357FD3" w:rsidP="00357FD3">
          <w:pPr>
            <w:pStyle w:val="0389CCC2E93E4DF4842A2202FABC57AA"/>
          </w:pPr>
          <w:r>
            <w:t>Agenda item:</w:t>
          </w:r>
        </w:p>
      </w:docPartBody>
    </w:docPart>
    <w:docPart>
      <w:docPartPr>
        <w:name w:val="0836168ACF8142A486496CF1C83A464D"/>
        <w:category>
          <w:name w:val="General"/>
          <w:gallery w:val="placeholder"/>
        </w:category>
        <w:types>
          <w:type w:val="bbPlcHdr"/>
        </w:types>
        <w:behaviors>
          <w:behavior w:val="content"/>
        </w:behaviors>
        <w:guid w:val="{E9912F32-22CB-4CAC-AB24-66010091B88A}"/>
      </w:docPartPr>
      <w:docPartBody>
        <w:p w:rsidR="002B4D51" w:rsidRDefault="00357FD3" w:rsidP="00357FD3">
          <w:pPr>
            <w:pStyle w:val="0836168ACF8142A486496CF1C83A464D"/>
          </w:pPr>
          <w:r>
            <w:t>Presenter: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C6"/>
    <w:rsid w:val="00192A17"/>
    <w:rsid w:val="002B4D51"/>
    <w:rsid w:val="00357FD3"/>
    <w:rsid w:val="003E7CE6"/>
    <w:rsid w:val="004A3ED8"/>
    <w:rsid w:val="0050150A"/>
    <w:rsid w:val="00720F75"/>
    <w:rsid w:val="009A11DC"/>
    <w:rsid w:val="00C06A53"/>
    <w:rsid w:val="00C66D9E"/>
    <w:rsid w:val="00CD1B07"/>
    <w:rsid w:val="00CF7EE1"/>
    <w:rsid w:val="00D502CB"/>
    <w:rsid w:val="00D9187D"/>
    <w:rsid w:val="00ED13C6"/>
    <w:rsid w:val="00F91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5DDF16B8D840B4B01294AF94A69C40">
    <w:name w:val="0E5DDF16B8D840B4B01294AF94A69C40"/>
  </w:style>
  <w:style w:type="paragraph" w:customStyle="1" w:styleId="20DE57C5D5E449D1A227C0884E237AD8">
    <w:name w:val="20DE57C5D5E449D1A227C0884E237AD8"/>
  </w:style>
  <w:style w:type="paragraph" w:customStyle="1" w:styleId="351F97E736274FF0994F1CE60D68DE77">
    <w:name w:val="351F97E736274FF0994F1CE60D68DE77"/>
  </w:style>
  <w:style w:type="paragraph" w:customStyle="1" w:styleId="BEEE93B5055349CDA16253D1263663B8">
    <w:name w:val="BEEE93B5055349CDA16253D1263663B8"/>
  </w:style>
  <w:style w:type="paragraph" w:customStyle="1" w:styleId="EE2DA83037A34D638D4ED63942E9D9E4">
    <w:name w:val="EE2DA83037A34D638D4ED63942E9D9E4"/>
  </w:style>
  <w:style w:type="paragraph" w:customStyle="1" w:styleId="5C526D49C19E4A4DA765D72573DF8370">
    <w:name w:val="5C526D49C19E4A4DA765D72573DF8370"/>
  </w:style>
  <w:style w:type="paragraph" w:customStyle="1" w:styleId="02EA8C92C8104148B1800799423752F6">
    <w:name w:val="02EA8C92C8104148B1800799423752F6"/>
  </w:style>
  <w:style w:type="paragraph" w:customStyle="1" w:styleId="63F8F156A0BA49FD94B529EB45F4DDD9">
    <w:name w:val="63F8F156A0BA49FD94B529EB45F4DDD9"/>
    <w:rsid w:val="00C66D9E"/>
  </w:style>
  <w:style w:type="paragraph" w:customStyle="1" w:styleId="B9AD265B8BA14DF9BFC87494C85D00AA">
    <w:name w:val="B9AD265B8BA14DF9BFC87494C85D00AA"/>
    <w:rsid w:val="00C66D9E"/>
  </w:style>
  <w:style w:type="paragraph" w:customStyle="1" w:styleId="2436D603F6B9474792F06266374C06BE">
    <w:name w:val="2436D603F6B9474792F06266374C06BE"/>
    <w:rsid w:val="003E7CE6"/>
  </w:style>
  <w:style w:type="paragraph" w:customStyle="1" w:styleId="B2387A47A57447F885BD8CB4E7708A29">
    <w:name w:val="B2387A47A57447F885BD8CB4E7708A29"/>
    <w:rsid w:val="003E7CE6"/>
  </w:style>
  <w:style w:type="paragraph" w:customStyle="1" w:styleId="0389CCC2E93E4DF4842A2202FABC57AA">
    <w:name w:val="0389CCC2E93E4DF4842A2202FABC57AA"/>
    <w:rsid w:val="00357FD3"/>
  </w:style>
  <w:style w:type="paragraph" w:customStyle="1" w:styleId="0836168ACF8142A486496CF1C83A464D">
    <w:name w:val="0836168ACF8142A486496CF1C83A464D"/>
    <w:rsid w:val="00357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271F3-0229-41A9-830E-142959DF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minutes</Template>
  <TotalTime>198</TotalTime>
  <Pages>6</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Pension and Fiduciary Service Quality Call - Fiduciary February 2023 Bulletin</vt:lpstr>
    </vt:vector>
  </TitlesOfParts>
  <Company>Veterans Benefits Administration</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and Fiduciary Service Quality Call - Fiduciary February 2023 Bulletin</dc:title>
  <dc:subject/>
  <dc:creator>Department of Veterans Affairs, Veterans Benefits Administration, Fiduciary Service, STAFF</dc:creator>
  <cp:keywords/>
  <dc:description/>
  <cp:lastModifiedBy>Kathy Poole</cp:lastModifiedBy>
  <cp:revision>5</cp:revision>
  <dcterms:created xsi:type="dcterms:W3CDTF">2023-02-27T19:50:00Z</dcterms:created>
  <dcterms:modified xsi:type="dcterms:W3CDTF">2023-03-01T20:33:00Z</dcterms:modified>
  <cp:category>NTC Curriculum</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