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E28D" w14:textId="0F99506F" w:rsidR="00290A0E" w:rsidRDefault="00F10231" w:rsidP="00290A0E">
      <w:pPr>
        <w:spacing w:after="0"/>
        <w:jc w:val="center"/>
        <w:rPr>
          <w:rFonts w:ascii="Arial" w:eastAsia="Helvetica" w:hAnsi="Arial" w:cs="Arial"/>
          <w:b/>
          <w:sz w:val="28"/>
          <w:szCs w:val="20"/>
        </w:rPr>
      </w:pPr>
      <w:r>
        <w:rPr>
          <w:noProof/>
        </w:rPr>
        <w:drawing>
          <wp:anchor distT="0" distB="0" distL="114300" distR="114300" simplePos="0" relativeHeight="251659264" behindDoc="0" locked="0" layoutInCell="1" allowOverlap="1" wp14:anchorId="1DD474FF" wp14:editId="07AF79E2">
            <wp:simplePos x="0" y="0"/>
            <wp:positionH relativeFrom="margin">
              <wp:align>left</wp:align>
            </wp:positionH>
            <wp:positionV relativeFrom="paragraph">
              <wp:posOffset>-13970</wp:posOffset>
            </wp:positionV>
            <wp:extent cx="1950720" cy="584259"/>
            <wp:effectExtent l="0" t="0" r="0" b="6350"/>
            <wp:wrapNone/>
            <wp:docPr id="1" name="Picture 1">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48536" t="79948" r="15227"/>
                    <a:stretch>
                      <a:fillRect/>
                    </a:stretch>
                  </pic:blipFill>
                  <pic:spPr bwMode="auto">
                    <a:xfrm>
                      <a:off x="0" y="0"/>
                      <a:ext cx="1950720" cy="584259"/>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r w:rsidR="00290A0E">
        <w:tab/>
      </w:r>
    </w:p>
    <w:p w14:paraId="7D11C2D2" w14:textId="77777777" w:rsidR="00290A0E" w:rsidRDefault="00290A0E" w:rsidP="00290A0E">
      <w:pPr>
        <w:spacing w:after="0"/>
        <w:rPr>
          <w:rFonts w:ascii="Arial" w:eastAsia="Helvetica" w:hAnsi="Arial" w:cs="Arial"/>
          <w:b/>
          <w:sz w:val="28"/>
          <w:szCs w:val="20"/>
        </w:rPr>
      </w:pPr>
    </w:p>
    <w:p w14:paraId="435DAE87" w14:textId="77777777" w:rsidR="00F10231" w:rsidRPr="00F10231" w:rsidRDefault="00F10231" w:rsidP="00F10231">
      <w:pPr>
        <w:spacing w:after="0"/>
        <w:rPr>
          <w:rFonts w:ascii="Arial" w:eastAsia="Helvetica" w:hAnsi="Arial" w:cs="Arial"/>
          <w:b/>
          <w:sz w:val="20"/>
          <w:szCs w:val="20"/>
        </w:rPr>
      </w:pPr>
    </w:p>
    <w:p w14:paraId="2D6BDB9A" w14:textId="71E3987C" w:rsidR="00290A0E" w:rsidRPr="00A43E46" w:rsidRDefault="00290A0E" w:rsidP="00F10231">
      <w:pPr>
        <w:spacing w:after="0"/>
        <w:rPr>
          <w:rFonts w:ascii="Arial" w:eastAsia="Helvetica" w:hAnsi="Arial" w:cs="Arial"/>
          <w:b/>
          <w:sz w:val="52"/>
          <w:szCs w:val="52"/>
        </w:rPr>
      </w:pPr>
      <w:r w:rsidRPr="00A43E46">
        <w:rPr>
          <w:rFonts w:ascii="Arial" w:eastAsia="Helvetica" w:hAnsi="Arial" w:cs="Arial"/>
          <w:b/>
          <w:sz w:val="52"/>
          <w:szCs w:val="52"/>
        </w:rPr>
        <w:t>Pension and Fiduciary (P&amp;F) Service</w:t>
      </w:r>
    </w:p>
    <w:p w14:paraId="43B35C89" w14:textId="77777777" w:rsidR="007D5F00" w:rsidRDefault="007D5F00"/>
    <w:tbl>
      <w:tblPr>
        <w:tblStyle w:val="TableGrid"/>
        <w:tblW w:w="500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7650"/>
        <w:gridCol w:w="2574"/>
      </w:tblGrid>
      <w:tr w:rsidR="002B2D13" w:rsidRPr="00D60069" w14:paraId="44BA1CAA" w14:textId="77777777" w:rsidTr="001E0877">
        <w:tc>
          <w:tcPr>
            <w:tcW w:w="7650" w:type="dxa"/>
          </w:tcPr>
          <w:p w14:paraId="52F1DEFE" w14:textId="6F69E6E2" w:rsidR="002B2D13" w:rsidRPr="00A43E46" w:rsidRDefault="0063741D">
            <w:pPr>
              <w:pStyle w:val="Title"/>
              <w:rPr>
                <w:sz w:val="44"/>
                <w:szCs w:val="44"/>
              </w:rPr>
            </w:pPr>
            <w:r w:rsidRPr="00A43E46">
              <w:rPr>
                <w:sz w:val="44"/>
                <w:szCs w:val="44"/>
              </w:rPr>
              <w:t>Fiduciary</w:t>
            </w:r>
            <w:r w:rsidR="007D5F00" w:rsidRPr="00A43E46">
              <w:rPr>
                <w:sz w:val="44"/>
                <w:szCs w:val="44"/>
              </w:rPr>
              <w:t xml:space="preserve"> Quality Call</w:t>
            </w:r>
          </w:p>
        </w:tc>
        <w:tc>
          <w:tcPr>
            <w:tcW w:w="2574" w:type="dxa"/>
            <w:vAlign w:val="bottom"/>
          </w:tcPr>
          <w:p w14:paraId="24048D58" w14:textId="1AAD3930" w:rsidR="00D62E01" w:rsidRPr="00D60069" w:rsidRDefault="00000000">
            <w:pPr>
              <w:pStyle w:val="Heading3"/>
            </w:pPr>
            <w:sdt>
              <w:sdtPr>
                <w:id w:val="2006626827"/>
                <w:placeholder>
                  <w:docPart w:val="0E5DDF16B8D840B4B01294AF94A69C40"/>
                </w:placeholder>
                <w:temporary/>
                <w:showingPlcHdr/>
                <w15:appearance w15:val="hidden"/>
              </w:sdtPr>
              <w:sdtContent>
                <w:r w:rsidR="00D62E01" w:rsidRPr="00D60069">
                  <w:t>Date</w:t>
                </w:r>
              </w:sdtContent>
            </w:sdt>
            <w:r w:rsidR="007D5F00">
              <w:t xml:space="preserve">: </w:t>
            </w:r>
            <w:r w:rsidR="00012B79">
              <w:t>December 20, 2022</w:t>
            </w:r>
          </w:p>
          <w:p w14:paraId="5DAF1EFE" w14:textId="11E3BF3E" w:rsidR="00D62E01" w:rsidRPr="00D60069" w:rsidRDefault="007D5F00">
            <w:pPr>
              <w:pStyle w:val="Heading3"/>
            </w:pPr>
            <w:r w:rsidRPr="005242EA">
              <w:t xml:space="preserve">TMS: # VA </w:t>
            </w:r>
            <w:r w:rsidR="005242EA" w:rsidRPr="005242EA">
              <w:t>4637732</w:t>
            </w:r>
          </w:p>
          <w:p w14:paraId="2244CEB1" w14:textId="77777777" w:rsidR="002B2D13" w:rsidRPr="00D60069" w:rsidRDefault="002B2D13" w:rsidP="00D62E01">
            <w:pPr>
              <w:pStyle w:val="Heading3"/>
            </w:pPr>
          </w:p>
        </w:tc>
      </w:tr>
    </w:tbl>
    <w:tbl>
      <w:tblPr>
        <w:tblW w:w="9050" w:type="pct"/>
        <w:tblCellMar>
          <w:top w:w="14" w:type="dxa"/>
          <w:left w:w="0" w:type="dxa"/>
          <w:bottom w:w="14" w:type="dxa"/>
          <w:right w:w="0" w:type="dxa"/>
        </w:tblCellMar>
        <w:tblLook w:val="0000" w:firstRow="0" w:lastRow="0" w:firstColumn="0" w:lastColumn="0" w:noHBand="0" w:noVBand="0"/>
        <w:tblDescription w:val="Layout table"/>
      </w:tblPr>
      <w:tblGrid>
        <w:gridCol w:w="10260"/>
        <w:gridCol w:w="8245"/>
      </w:tblGrid>
      <w:tr w:rsidR="00F96A26" w:rsidRPr="00D60069" w14:paraId="11430F0D" w14:textId="77777777" w:rsidTr="00EE1706">
        <w:tc>
          <w:tcPr>
            <w:tcW w:w="10260" w:type="dxa"/>
          </w:tcPr>
          <w:p w14:paraId="3F7A1F59" w14:textId="5E6CD1CB" w:rsidR="00EE1706" w:rsidRPr="00075FC0" w:rsidRDefault="00EE1706" w:rsidP="00EE1706">
            <w:pPr>
              <w:pStyle w:val="Heading1"/>
              <w:rPr>
                <w:color w:val="8064A2" w:themeColor="accent4"/>
              </w:rPr>
            </w:pPr>
            <w:r w:rsidRPr="00075FC0">
              <w:rPr>
                <w:color w:val="8064A2" w:themeColor="accent4"/>
              </w:rPr>
              <w:t>AGENDA</w:t>
            </w:r>
            <w:r>
              <w:rPr>
                <w:color w:val="8064A2" w:themeColor="accent4"/>
              </w:rPr>
              <w:t xml:space="preserve"> TOPICS</w:t>
            </w:r>
          </w:p>
          <w:p w14:paraId="2E226181" w14:textId="77777777" w:rsidR="00EE1706" w:rsidRDefault="00EE1706" w:rsidP="00D34264"/>
          <w:p w14:paraId="40BBF538" w14:textId="4DB88C8A" w:rsidR="00222A05" w:rsidRDefault="00000000" w:rsidP="00D34264">
            <w:pPr>
              <w:rPr>
                <w:sz w:val="22"/>
                <w:szCs w:val="22"/>
              </w:rPr>
            </w:pPr>
            <w:hyperlink w:anchor="ONE_" w:history="1">
              <w:r w:rsidR="008E706D" w:rsidRPr="008E706D">
                <w:rPr>
                  <w:rStyle w:val="Hyperlink"/>
                  <w:sz w:val="22"/>
                  <w:szCs w:val="22"/>
                </w:rPr>
                <w:t xml:space="preserve">ITEM 1:  </w:t>
              </w:r>
              <w:r w:rsidR="00012B79">
                <w:rPr>
                  <w:rStyle w:val="Hyperlink"/>
                  <w:sz w:val="22"/>
                  <w:szCs w:val="22"/>
                </w:rPr>
                <w:t>Quality</w:t>
              </w:r>
            </w:hyperlink>
            <w:r w:rsidR="00012B79">
              <w:rPr>
                <w:rStyle w:val="Hyperlink"/>
                <w:sz w:val="22"/>
                <w:szCs w:val="22"/>
              </w:rPr>
              <w:t xml:space="preserve"> Error Analysis</w:t>
            </w:r>
            <w:r w:rsidR="001601B5">
              <w:rPr>
                <w:rStyle w:val="Hyperlink"/>
                <w:sz w:val="22"/>
                <w:szCs w:val="22"/>
              </w:rPr>
              <w:t xml:space="preserve"> and Case Study</w:t>
            </w:r>
          </w:p>
          <w:p w14:paraId="337F9C12" w14:textId="33E3D2CD" w:rsidR="008E706D" w:rsidRDefault="00000000" w:rsidP="00D34264">
            <w:pPr>
              <w:rPr>
                <w:sz w:val="22"/>
                <w:szCs w:val="22"/>
              </w:rPr>
            </w:pPr>
            <w:hyperlink w:anchor="TWO_" w:history="1">
              <w:r w:rsidR="008E706D" w:rsidRPr="008E706D">
                <w:rPr>
                  <w:rStyle w:val="Hyperlink"/>
                  <w:sz w:val="22"/>
                  <w:szCs w:val="22"/>
                </w:rPr>
                <w:t xml:space="preserve">ITEM 2:  </w:t>
              </w:r>
              <w:r w:rsidR="00012B79">
                <w:rPr>
                  <w:rStyle w:val="Hyperlink"/>
                  <w:sz w:val="22"/>
                  <w:szCs w:val="22"/>
                </w:rPr>
                <w:t>SOAR</w:t>
              </w:r>
            </w:hyperlink>
            <w:r w:rsidR="00012B79">
              <w:rPr>
                <w:rStyle w:val="Hyperlink"/>
                <w:sz w:val="22"/>
                <w:szCs w:val="22"/>
              </w:rPr>
              <w:t xml:space="preserve"> Changes</w:t>
            </w:r>
          </w:p>
          <w:p w14:paraId="3239230C" w14:textId="1D6B7668" w:rsidR="008E706D" w:rsidRDefault="00000000" w:rsidP="00D34264">
            <w:pPr>
              <w:rPr>
                <w:sz w:val="22"/>
                <w:szCs w:val="22"/>
              </w:rPr>
            </w:pPr>
            <w:hyperlink w:anchor="THREE_" w:history="1">
              <w:r w:rsidR="008E706D" w:rsidRPr="008E706D">
                <w:rPr>
                  <w:rStyle w:val="Hyperlink"/>
                  <w:sz w:val="22"/>
                  <w:szCs w:val="22"/>
                </w:rPr>
                <w:t xml:space="preserve">ITEM 3:  </w:t>
              </w:r>
              <w:r w:rsidR="00012B79">
                <w:rPr>
                  <w:rStyle w:val="Hyperlink"/>
                  <w:sz w:val="22"/>
                  <w:szCs w:val="22"/>
                </w:rPr>
                <w:t>Accounting</w:t>
              </w:r>
            </w:hyperlink>
            <w:r w:rsidR="00012B79">
              <w:rPr>
                <w:rStyle w:val="Hyperlink"/>
                <w:sz w:val="22"/>
                <w:szCs w:val="22"/>
              </w:rPr>
              <w:t xml:space="preserve"> Reminders</w:t>
            </w:r>
          </w:p>
          <w:p w14:paraId="5EE5F0B7" w14:textId="2ECBC792" w:rsidR="008E706D" w:rsidRDefault="00000000" w:rsidP="00D34264">
            <w:pPr>
              <w:rPr>
                <w:sz w:val="22"/>
                <w:szCs w:val="22"/>
              </w:rPr>
            </w:pPr>
            <w:hyperlink w:anchor="FOUR_" w:history="1">
              <w:r w:rsidR="008E706D" w:rsidRPr="008E706D">
                <w:rPr>
                  <w:rStyle w:val="Hyperlink"/>
                  <w:sz w:val="22"/>
                  <w:szCs w:val="22"/>
                </w:rPr>
                <w:t xml:space="preserve">ITEM 4:  </w:t>
              </w:r>
              <w:r w:rsidR="00012B79">
                <w:rPr>
                  <w:rStyle w:val="Hyperlink"/>
                  <w:sz w:val="22"/>
                  <w:szCs w:val="22"/>
                </w:rPr>
                <w:t>Interactive</w:t>
              </w:r>
            </w:hyperlink>
            <w:r w:rsidR="00012B79">
              <w:rPr>
                <w:rStyle w:val="Hyperlink"/>
                <w:sz w:val="22"/>
                <w:szCs w:val="22"/>
              </w:rPr>
              <w:t xml:space="preserve"> Discussions</w:t>
            </w:r>
            <w:r w:rsidR="007709C3">
              <w:rPr>
                <w:rStyle w:val="Hyperlink"/>
                <w:sz w:val="22"/>
                <w:szCs w:val="22"/>
              </w:rPr>
              <w:t xml:space="preserve"> Customer Service/Phones &amp; FUR</w:t>
            </w:r>
          </w:p>
          <w:p w14:paraId="42D76178" w14:textId="067B4B58" w:rsidR="008E706D" w:rsidRDefault="00000000" w:rsidP="00D34264">
            <w:pPr>
              <w:rPr>
                <w:sz w:val="22"/>
                <w:szCs w:val="22"/>
              </w:rPr>
            </w:pPr>
            <w:hyperlink w:anchor="FIVE_" w:history="1">
              <w:r w:rsidR="008E706D" w:rsidRPr="008E706D">
                <w:rPr>
                  <w:rStyle w:val="Hyperlink"/>
                  <w:sz w:val="22"/>
                  <w:szCs w:val="22"/>
                </w:rPr>
                <w:t xml:space="preserve">ITEM 5:  </w:t>
              </w:r>
              <w:r w:rsidR="00012B79">
                <w:rPr>
                  <w:rStyle w:val="Hyperlink"/>
                  <w:sz w:val="22"/>
                  <w:szCs w:val="22"/>
                </w:rPr>
                <w:t>VBMS</w:t>
              </w:r>
            </w:hyperlink>
            <w:r w:rsidR="00012B79">
              <w:rPr>
                <w:rStyle w:val="Hyperlink"/>
                <w:sz w:val="22"/>
                <w:szCs w:val="22"/>
              </w:rPr>
              <w:t xml:space="preserve"> Beneficiary Record Maintenance Training</w:t>
            </w:r>
          </w:p>
          <w:p w14:paraId="42DD5B55" w14:textId="074FE6EA" w:rsidR="008E706D" w:rsidRPr="00EE1706" w:rsidRDefault="00000000" w:rsidP="00D34264">
            <w:pPr>
              <w:rPr>
                <w:sz w:val="22"/>
                <w:szCs w:val="22"/>
              </w:rPr>
            </w:pPr>
            <w:hyperlink w:anchor="CLOSING_" w:history="1">
              <w:r w:rsidR="008E706D" w:rsidRPr="008E706D">
                <w:rPr>
                  <w:rStyle w:val="Hyperlink"/>
                  <w:sz w:val="22"/>
                  <w:szCs w:val="22"/>
                </w:rPr>
                <w:t>C</w:t>
              </w:r>
              <w:r w:rsidR="00F06E5B">
                <w:rPr>
                  <w:rStyle w:val="Hyperlink"/>
                  <w:sz w:val="22"/>
                  <w:szCs w:val="22"/>
                </w:rPr>
                <w:t>losing, Questions, Next Quality Call</w:t>
              </w:r>
            </w:hyperlink>
          </w:p>
        </w:tc>
        <w:tc>
          <w:tcPr>
            <w:tcW w:w="8245" w:type="dxa"/>
          </w:tcPr>
          <w:p w14:paraId="4105A977" w14:textId="77777777" w:rsidR="00F96A26" w:rsidRPr="00D60069" w:rsidRDefault="00F96A26" w:rsidP="00D62E01"/>
        </w:tc>
      </w:tr>
    </w:tbl>
    <w:p w14:paraId="54A530E0" w14:textId="77777777" w:rsidR="002B2D13" w:rsidRPr="00075FC0" w:rsidRDefault="007D5F00">
      <w:pPr>
        <w:pStyle w:val="Heading1"/>
        <w:rPr>
          <w:color w:val="8064A2" w:themeColor="accent4"/>
        </w:rPr>
      </w:pPr>
      <w:r w:rsidRPr="00075FC0">
        <w:rPr>
          <w:color w:val="8064A2" w:themeColor="accent4"/>
        </w:rPr>
        <w:t>AGENDA</w:t>
      </w:r>
      <w:r w:rsidR="005537F7">
        <w:rPr>
          <w:color w:val="8064A2" w:themeColor="accent4"/>
        </w:rPr>
        <w:t xml:space="preserve"> ITEMS</w:t>
      </w:r>
    </w:p>
    <w:tbl>
      <w:tblPr>
        <w:tblW w:w="5000" w:type="pct"/>
        <w:tblCellMar>
          <w:left w:w="0" w:type="dxa"/>
          <w:right w:w="0" w:type="dxa"/>
        </w:tblCellMar>
        <w:tblLook w:val="0000" w:firstRow="0" w:lastRow="0" w:firstColumn="0" w:lastColumn="0" w:noHBand="0" w:noVBand="0"/>
        <w:tblDescription w:val="Layout table"/>
      </w:tblPr>
      <w:tblGrid>
        <w:gridCol w:w="1620"/>
        <w:gridCol w:w="4970"/>
        <w:gridCol w:w="1324"/>
        <w:gridCol w:w="2310"/>
      </w:tblGrid>
      <w:tr w:rsidR="002B2D13" w:rsidRPr="00D60069" w14:paraId="6A9A53A7" w14:textId="77777777" w:rsidTr="00D62E01">
        <w:tc>
          <w:tcPr>
            <w:tcW w:w="1620" w:type="dxa"/>
          </w:tcPr>
          <w:p w14:paraId="6050E255" w14:textId="77777777" w:rsidR="002B2D13" w:rsidRPr="00075FC0" w:rsidRDefault="00000000">
            <w:pPr>
              <w:pStyle w:val="Heading2"/>
              <w:rPr>
                <w:color w:val="8064A2" w:themeColor="accent4"/>
              </w:rPr>
            </w:pPr>
            <w:sdt>
              <w:sdtPr>
                <w:rPr>
                  <w:color w:val="8064A2" w:themeColor="accent4"/>
                </w:rPr>
                <w:id w:val="90904773"/>
                <w:placeholder>
                  <w:docPart w:val="20DE57C5D5E449D1A227C0884E237AD8"/>
                </w:placeholder>
                <w:temporary/>
                <w:showingPlcHdr/>
                <w15:appearance w15:val="hidden"/>
              </w:sdtPr>
              <w:sdtContent>
                <w:r w:rsidR="006344A8" w:rsidRPr="007E4418">
                  <w:rPr>
                    <w:color w:val="8064A2" w:themeColor="accent4"/>
                    <w:sz w:val="24"/>
                    <w:szCs w:val="24"/>
                  </w:rPr>
                  <w:t>Agenda item:</w:t>
                </w:r>
              </w:sdtContent>
            </w:sdt>
          </w:p>
        </w:tc>
        <w:tc>
          <w:tcPr>
            <w:tcW w:w="4970" w:type="dxa"/>
          </w:tcPr>
          <w:p w14:paraId="1A07B25E" w14:textId="34F82FB5" w:rsidR="002B2D13" w:rsidRPr="00075FC0" w:rsidRDefault="00012B79">
            <w:pPr>
              <w:rPr>
                <w:color w:val="8064A2" w:themeColor="accent4"/>
                <w:sz w:val="24"/>
                <w:szCs w:val="24"/>
              </w:rPr>
            </w:pPr>
            <w:bookmarkStart w:id="0" w:name="ONE_"/>
            <w:bookmarkEnd w:id="0"/>
            <w:r>
              <w:rPr>
                <w:color w:val="8064A2" w:themeColor="accent4"/>
                <w:sz w:val="24"/>
                <w:szCs w:val="24"/>
              </w:rPr>
              <w:t>Quality Error Analysis</w:t>
            </w:r>
          </w:p>
        </w:tc>
        <w:tc>
          <w:tcPr>
            <w:tcW w:w="1324" w:type="dxa"/>
          </w:tcPr>
          <w:p w14:paraId="345291AC" w14:textId="77777777" w:rsidR="002B2D13" w:rsidRPr="00075FC0" w:rsidRDefault="00000000">
            <w:pPr>
              <w:pStyle w:val="Heading2"/>
              <w:rPr>
                <w:color w:val="8064A2" w:themeColor="accent4"/>
              </w:rPr>
            </w:pPr>
            <w:sdt>
              <w:sdtPr>
                <w:rPr>
                  <w:color w:val="8064A2" w:themeColor="accent4"/>
                </w:rPr>
                <w:id w:val="1737199064"/>
                <w:placeholder>
                  <w:docPart w:val="351F97E736274FF0994F1CE60D68DE77"/>
                </w:placeholder>
                <w:temporary/>
                <w:showingPlcHdr/>
                <w15:appearance w15:val="hidden"/>
              </w:sdtPr>
              <w:sdtContent>
                <w:r w:rsidR="006344A8" w:rsidRPr="00075FC0">
                  <w:rPr>
                    <w:color w:val="8064A2" w:themeColor="accent4"/>
                    <w:sz w:val="24"/>
                    <w:szCs w:val="24"/>
                  </w:rPr>
                  <w:t>Presenter:</w:t>
                </w:r>
              </w:sdtContent>
            </w:sdt>
          </w:p>
        </w:tc>
        <w:tc>
          <w:tcPr>
            <w:tcW w:w="2310" w:type="dxa"/>
          </w:tcPr>
          <w:p w14:paraId="5EAB3EF0" w14:textId="4E65AE9C" w:rsidR="002B2D13" w:rsidRPr="00075FC0" w:rsidRDefault="00012B79">
            <w:pPr>
              <w:rPr>
                <w:color w:val="8064A2" w:themeColor="accent4"/>
                <w:sz w:val="24"/>
                <w:szCs w:val="24"/>
              </w:rPr>
            </w:pPr>
            <w:r>
              <w:rPr>
                <w:color w:val="8064A2" w:themeColor="accent4"/>
                <w:sz w:val="24"/>
                <w:szCs w:val="24"/>
              </w:rPr>
              <w:t>Alvin Hill, Analyst</w:t>
            </w:r>
          </w:p>
        </w:tc>
      </w:tr>
    </w:tbl>
    <w:p w14:paraId="2B53EB58" w14:textId="77777777" w:rsidR="00DC4360" w:rsidRDefault="00DC4360">
      <w:pPr>
        <w:pStyle w:val="Heading4"/>
        <w:rPr>
          <w:color w:val="548DD4" w:themeColor="text2" w:themeTint="99"/>
          <w:sz w:val="24"/>
          <w:szCs w:val="24"/>
        </w:rPr>
      </w:pPr>
    </w:p>
    <w:p w14:paraId="3D881F09" w14:textId="5EE5A766" w:rsidR="002B2D13" w:rsidRPr="00075FC0" w:rsidRDefault="00075FC0">
      <w:pPr>
        <w:pStyle w:val="Heading4"/>
        <w:rPr>
          <w:color w:val="548DD4" w:themeColor="text2" w:themeTint="99"/>
          <w:sz w:val="24"/>
          <w:szCs w:val="24"/>
        </w:rPr>
      </w:pPr>
      <w:r w:rsidRPr="00075FC0">
        <w:rPr>
          <w:color w:val="548DD4" w:themeColor="text2" w:themeTint="99"/>
          <w:sz w:val="24"/>
          <w:szCs w:val="24"/>
        </w:rPr>
        <w:t>Target Audience:</w:t>
      </w:r>
    </w:p>
    <w:p w14:paraId="1D97B47E" w14:textId="77777777" w:rsidR="00012B79" w:rsidRPr="004C6763" w:rsidRDefault="00012B79" w:rsidP="00012B79">
      <w:pPr>
        <w:rPr>
          <w:color w:val="4F81BD" w:themeColor="accent1"/>
          <w:sz w:val="24"/>
          <w:szCs w:val="24"/>
        </w:rPr>
      </w:pPr>
      <w:r>
        <w:rPr>
          <w:color w:val="4F81BD" w:themeColor="accent1"/>
          <w:sz w:val="24"/>
          <w:szCs w:val="24"/>
        </w:rPr>
        <w:t>Quality Review Team (QRT) Program Specialists and Coaches/Assistant Coaches</w:t>
      </w:r>
    </w:p>
    <w:p w14:paraId="79894D9C" w14:textId="77777777" w:rsidR="002B2D13" w:rsidRPr="00075FC0" w:rsidRDefault="005537F7">
      <w:pPr>
        <w:pStyle w:val="Heading4"/>
        <w:rPr>
          <w:sz w:val="24"/>
          <w:szCs w:val="24"/>
        </w:rPr>
      </w:pPr>
      <w:r>
        <w:rPr>
          <w:sz w:val="24"/>
          <w:szCs w:val="24"/>
        </w:rPr>
        <w:t>Discussion</w:t>
      </w:r>
      <w:r w:rsidR="00075FC0" w:rsidRPr="00075FC0">
        <w:rPr>
          <w:sz w:val="24"/>
          <w:szCs w:val="24"/>
        </w:rPr>
        <w:t>:</w:t>
      </w:r>
    </w:p>
    <w:p w14:paraId="45B2FD39" w14:textId="500EFA5F" w:rsidR="00DC4360" w:rsidRDefault="003A340E" w:rsidP="003A340E">
      <w:pPr>
        <w:rPr>
          <w:rFonts w:ascii="Arial" w:hAnsi="Arial" w:cs="Arial"/>
          <w:sz w:val="24"/>
          <w:szCs w:val="24"/>
        </w:rPr>
      </w:pPr>
      <w:r>
        <w:rPr>
          <w:rFonts w:ascii="Arial" w:hAnsi="Arial" w:cs="Arial"/>
          <w:sz w:val="24"/>
          <w:szCs w:val="24"/>
        </w:rPr>
        <w:t>A total of 87 Financial Review errors were found during the</w:t>
      </w:r>
      <w:r w:rsidR="0080005F">
        <w:rPr>
          <w:rFonts w:ascii="Arial" w:hAnsi="Arial" w:cs="Arial"/>
          <w:sz w:val="24"/>
          <w:szCs w:val="24"/>
        </w:rPr>
        <w:t xml:space="preserve"> 4th</w:t>
      </w:r>
      <w:r>
        <w:rPr>
          <w:rFonts w:ascii="Arial" w:hAnsi="Arial" w:cs="Arial"/>
          <w:sz w:val="24"/>
          <w:szCs w:val="24"/>
        </w:rPr>
        <w:t xml:space="preserve"> quarter resulting in 60 (69%) being noncritical errors and 27 (3</w:t>
      </w:r>
      <w:r w:rsidR="00CE1752">
        <w:rPr>
          <w:rFonts w:ascii="Arial" w:hAnsi="Arial" w:cs="Arial"/>
          <w:sz w:val="24"/>
          <w:szCs w:val="24"/>
        </w:rPr>
        <w:t>1</w:t>
      </w:r>
      <w:r>
        <w:rPr>
          <w:rFonts w:ascii="Arial" w:hAnsi="Arial" w:cs="Arial"/>
          <w:sz w:val="24"/>
          <w:szCs w:val="24"/>
        </w:rPr>
        <w:t xml:space="preserve">%) being critical errors. </w:t>
      </w:r>
      <w:r w:rsidR="00CB231B">
        <w:rPr>
          <w:rFonts w:ascii="Arial" w:hAnsi="Arial" w:cs="Arial"/>
          <w:sz w:val="24"/>
          <w:szCs w:val="24"/>
        </w:rPr>
        <w:t xml:space="preserve">Of the 27 </w:t>
      </w:r>
      <w:r>
        <w:rPr>
          <w:rFonts w:ascii="Arial" w:hAnsi="Arial" w:cs="Arial"/>
          <w:sz w:val="24"/>
          <w:szCs w:val="24"/>
        </w:rPr>
        <w:t>critical errors</w:t>
      </w:r>
      <w:r w:rsidR="00CB231B">
        <w:rPr>
          <w:rFonts w:ascii="Arial" w:hAnsi="Arial" w:cs="Arial"/>
          <w:sz w:val="24"/>
          <w:szCs w:val="24"/>
        </w:rPr>
        <w:t>,</w:t>
      </w:r>
      <w:r>
        <w:rPr>
          <w:rFonts w:ascii="Arial" w:hAnsi="Arial" w:cs="Arial"/>
          <w:sz w:val="24"/>
          <w:szCs w:val="24"/>
        </w:rPr>
        <w:t xml:space="preserve"> </w:t>
      </w:r>
      <w:r w:rsidR="00CB231B">
        <w:rPr>
          <w:rFonts w:ascii="Arial" w:hAnsi="Arial" w:cs="Arial"/>
          <w:sz w:val="24"/>
          <w:szCs w:val="24"/>
        </w:rPr>
        <w:t xml:space="preserve">19 were Accounting and 8 were </w:t>
      </w:r>
      <w:r w:rsidR="00CB231B" w:rsidRPr="00CB231B">
        <w:rPr>
          <w:rFonts w:ascii="Arial" w:hAnsi="Arial" w:cs="Arial"/>
          <w:sz w:val="24"/>
          <w:szCs w:val="24"/>
        </w:rPr>
        <w:t>Fund Usage Reviews (FUR)</w:t>
      </w:r>
      <w:r w:rsidR="00CB231B">
        <w:rPr>
          <w:rFonts w:ascii="Arial" w:hAnsi="Arial" w:cs="Arial"/>
          <w:sz w:val="24"/>
          <w:szCs w:val="24"/>
        </w:rPr>
        <w:t xml:space="preserve">. </w:t>
      </w:r>
    </w:p>
    <w:p w14:paraId="3EA695D4" w14:textId="77777777" w:rsidR="00DC4360" w:rsidRDefault="00DC4360" w:rsidP="003A340E">
      <w:pPr>
        <w:rPr>
          <w:rFonts w:ascii="Arial" w:hAnsi="Arial" w:cs="Arial"/>
          <w:sz w:val="24"/>
          <w:szCs w:val="24"/>
        </w:rPr>
      </w:pPr>
    </w:p>
    <w:p w14:paraId="13DEA17B" w14:textId="482EE0FF" w:rsidR="00DC4360" w:rsidRDefault="00DC4360" w:rsidP="003A340E">
      <w:pPr>
        <w:rPr>
          <w:rFonts w:ascii="Arial" w:hAnsi="Arial" w:cs="Arial"/>
          <w:sz w:val="24"/>
          <w:szCs w:val="24"/>
        </w:rPr>
      </w:pPr>
    </w:p>
    <w:p w14:paraId="012BB949" w14:textId="77BE5B0F" w:rsidR="003A340E" w:rsidRDefault="003A340E" w:rsidP="003A340E">
      <w:pPr>
        <w:rPr>
          <w:rFonts w:ascii="Arial" w:hAnsi="Arial" w:cs="Arial"/>
          <w:sz w:val="24"/>
          <w:szCs w:val="24"/>
        </w:rPr>
      </w:pPr>
      <w:r>
        <w:rPr>
          <w:rFonts w:ascii="Arial" w:hAnsi="Arial" w:cs="Arial"/>
          <w:sz w:val="24"/>
          <w:szCs w:val="24"/>
        </w:rPr>
        <w:t>There were three consistently reoccurring questions that were the primary Financial Review errors found during the quarter.  Two of the questions (13A and 13B) were accounting related and one (21A) was related to FUR.</w:t>
      </w:r>
    </w:p>
    <w:p w14:paraId="0929C5E4" w14:textId="22997154" w:rsidR="00220042" w:rsidRDefault="00220042" w:rsidP="003A340E">
      <w:pPr>
        <w:rPr>
          <w:rFonts w:ascii="Arial" w:hAnsi="Arial" w:cs="Arial"/>
          <w:sz w:val="24"/>
          <w:szCs w:val="24"/>
        </w:rPr>
      </w:pPr>
    </w:p>
    <w:p w14:paraId="739D7183" w14:textId="5CB85518" w:rsidR="00220042" w:rsidRDefault="00220042" w:rsidP="003A340E">
      <w:pPr>
        <w:rPr>
          <w:rFonts w:ascii="Arial" w:hAnsi="Arial" w:cs="Arial"/>
          <w:sz w:val="24"/>
          <w:szCs w:val="24"/>
        </w:rPr>
      </w:pPr>
    </w:p>
    <w:p w14:paraId="26A5634B" w14:textId="31DF0B77" w:rsidR="004512E2" w:rsidRDefault="004512E2" w:rsidP="003A340E">
      <w:pPr>
        <w:rPr>
          <w:rFonts w:ascii="Arial" w:hAnsi="Arial" w:cs="Arial"/>
          <w:sz w:val="24"/>
          <w:szCs w:val="24"/>
        </w:rPr>
      </w:pPr>
    </w:p>
    <w:p w14:paraId="54C79831" w14:textId="77777777" w:rsidR="004512E2" w:rsidRDefault="004512E2" w:rsidP="003A340E">
      <w:pPr>
        <w:rPr>
          <w:rFonts w:ascii="Arial" w:hAnsi="Arial" w:cs="Arial"/>
          <w:sz w:val="24"/>
          <w:szCs w:val="24"/>
        </w:rPr>
      </w:pPr>
    </w:p>
    <w:p w14:paraId="2077CD9A" w14:textId="2F17466B" w:rsidR="00220042" w:rsidRDefault="00220042" w:rsidP="003A340E">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769"/>
        <w:gridCol w:w="1098"/>
        <w:gridCol w:w="734"/>
        <w:gridCol w:w="6797"/>
      </w:tblGrid>
      <w:tr w:rsidR="003A340E" w14:paraId="03DC0BEE" w14:textId="77777777" w:rsidTr="00DC4360">
        <w:trPr>
          <w:trHeight w:val="300"/>
        </w:trPr>
        <w:tc>
          <w:tcPr>
            <w:tcW w:w="76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CAB59EB" w14:textId="77777777" w:rsidR="003A340E" w:rsidRDefault="003A340E">
            <w:pPr>
              <w:rPr>
                <w:b/>
                <w:bCs/>
              </w:rPr>
            </w:pPr>
            <w:r>
              <w:rPr>
                <w:rFonts w:eastAsia="Times New Roman"/>
              </w:rPr>
              <w:lastRenderedPageBreak/>
              <w:br w:type="page"/>
            </w:r>
            <w:r>
              <w:rPr>
                <w:b/>
                <w:bCs/>
              </w:rPr>
              <w:t>Error</w:t>
            </w:r>
          </w:p>
        </w:tc>
        <w:tc>
          <w:tcPr>
            <w:tcW w:w="109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4A5553C" w14:textId="77777777" w:rsidR="003A340E" w:rsidRDefault="003A340E">
            <w:pPr>
              <w:rPr>
                <w:b/>
                <w:bCs/>
              </w:rPr>
            </w:pPr>
            <w:r>
              <w:rPr>
                <w:b/>
                <w:bCs/>
              </w:rPr>
              <w:t>Instances</w:t>
            </w:r>
          </w:p>
        </w:tc>
        <w:tc>
          <w:tcPr>
            <w:tcW w:w="73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5C3B694" w14:textId="77777777" w:rsidR="003A340E" w:rsidRDefault="003A340E">
            <w:pPr>
              <w:rPr>
                <w:b/>
                <w:bCs/>
              </w:rPr>
            </w:pPr>
            <w:r>
              <w:rPr>
                <w:b/>
                <w:bCs/>
              </w:rPr>
              <w:t>Type</w:t>
            </w:r>
          </w:p>
        </w:tc>
        <w:tc>
          <w:tcPr>
            <w:tcW w:w="679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0400A69" w14:textId="77777777" w:rsidR="003A340E" w:rsidRDefault="003A340E">
            <w:pPr>
              <w:jc w:val="center"/>
              <w:rPr>
                <w:b/>
                <w:bCs/>
              </w:rPr>
            </w:pPr>
            <w:r>
              <w:rPr>
                <w:b/>
                <w:bCs/>
              </w:rPr>
              <w:t>Root Cause</w:t>
            </w:r>
          </w:p>
        </w:tc>
      </w:tr>
      <w:tr w:rsidR="003A340E" w14:paraId="67BF2C50" w14:textId="77777777" w:rsidTr="00DC4360">
        <w:trPr>
          <w:trHeight w:val="600"/>
        </w:trPr>
        <w:tc>
          <w:tcPr>
            <w:tcW w:w="7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C25C44" w14:textId="77777777" w:rsidR="003A340E" w:rsidRDefault="003A340E">
            <w:pPr>
              <w:jc w:val="center"/>
            </w:pPr>
            <w:r>
              <w:t>13a</w:t>
            </w:r>
          </w:p>
        </w:tc>
        <w:tc>
          <w:tcPr>
            <w:tcW w:w="10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5A5606" w14:textId="77777777" w:rsidR="003A340E" w:rsidRDefault="003A340E">
            <w:pPr>
              <w:jc w:val="center"/>
            </w:pPr>
            <w:r>
              <w:t>5</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A2FC4B" w14:textId="77777777" w:rsidR="003A340E" w:rsidRDefault="003A340E">
            <w:r>
              <w:t>ACCT</w:t>
            </w:r>
          </w:p>
        </w:tc>
        <w:tc>
          <w:tcPr>
            <w:tcW w:w="6797" w:type="dxa"/>
            <w:tcBorders>
              <w:top w:val="nil"/>
              <w:left w:val="nil"/>
              <w:bottom w:val="single" w:sz="8" w:space="0" w:color="auto"/>
              <w:right w:val="single" w:sz="8" w:space="0" w:color="auto"/>
            </w:tcBorders>
            <w:tcMar>
              <w:top w:w="0" w:type="dxa"/>
              <w:left w:w="108" w:type="dxa"/>
              <w:bottom w:w="0" w:type="dxa"/>
              <w:right w:w="108" w:type="dxa"/>
            </w:tcMar>
            <w:hideMark/>
          </w:tcPr>
          <w:p w14:paraId="45B5BA76" w14:textId="77777777" w:rsidR="003A340E" w:rsidRDefault="003A340E">
            <w:r>
              <w:t>The accounting was approved without receipt of a complete VA Form 21P-4706b, 21P-4706c and/or financial statements for the entire accounting period.</w:t>
            </w:r>
          </w:p>
        </w:tc>
      </w:tr>
      <w:tr w:rsidR="003A340E" w14:paraId="52CA0595" w14:textId="77777777" w:rsidTr="00DC4360">
        <w:trPr>
          <w:trHeight w:val="300"/>
        </w:trPr>
        <w:tc>
          <w:tcPr>
            <w:tcW w:w="7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13E509" w14:textId="77777777" w:rsidR="003A340E" w:rsidRDefault="003A340E">
            <w:pPr>
              <w:jc w:val="center"/>
            </w:pPr>
            <w:r>
              <w:t>13b</w:t>
            </w:r>
          </w:p>
        </w:tc>
        <w:tc>
          <w:tcPr>
            <w:tcW w:w="10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465A4C" w14:textId="77777777" w:rsidR="003A340E" w:rsidRDefault="003A340E">
            <w:pPr>
              <w:jc w:val="center"/>
            </w:pPr>
            <w:r>
              <w:t>5</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02C8C9" w14:textId="77777777" w:rsidR="003A340E" w:rsidRDefault="003A340E">
            <w:r>
              <w:t>ACCT</w:t>
            </w:r>
          </w:p>
        </w:tc>
        <w:tc>
          <w:tcPr>
            <w:tcW w:w="6797" w:type="dxa"/>
            <w:tcBorders>
              <w:top w:val="nil"/>
              <w:left w:val="nil"/>
              <w:bottom w:val="single" w:sz="8" w:space="0" w:color="auto"/>
              <w:right w:val="single" w:sz="8" w:space="0" w:color="auto"/>
            </w:tcBorders>
            <w:tcMar>
              <w:top w:w="0" w:type="dxa"/>
              <w:left w:w="108" w:type="dxa"/>
              <w:bottom w:w="0" w:type="dxa"/>
              <w:right w:w="108" w:type="dxa"/>
            </w:tcMar>
            <w:hideMark/>
          </w:tcPr>
          <w:p w14:paraId="75DDA32E" w14:textId="77777777" w:rsidR="003A340E" w:rsidRDefault="003A340E">
            <w:r>
              <w:t>A credit report has not been obtained and reviewed, if applicable.</w:t>
            </w:r>
          </w:p>
        </w:tc>
      </w:tr>
      <w:tr w:rsidR="003A340E" w14:paraId="119A9A0A" w14:textId="77777777" w:rsidTr="00DC4360">
        <w:trPr>
          <w:trHeight w:val="600"/>
        </w:trPr>
        <w:tc>
          <w:tcPr>
            <w:tcW w:w="7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45184C" w14:textId="77777777" w:rsidR="003A340E" w:rsidRDefault="003A340E">
            <w:pPr>
              <w:jc w:val="center"/>
            </w:pPr>
            <w:r>
              <w:t>21a</w:t>
            </w:r>
          </w:p>
        </w:tc>
        <w:tc>
          <w:tcPr>
            <w:tcW w:w="10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C1D60E" w14:textId="77777777" w:rsidR="003A340E" w:rsidRDefault="003A340E">
            <w:pPr>
              <w:jc w:val="center"/>
            </w:pPr>
            <w:r>
              <w:t>6</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3DA4A2" w14:textId="77777777" w:rsidR="003A340E" w:rsidRDefault="003A340E">
            <w:r>
              <w:t>FUR</w:t>
            </w:r>
          </w:p>
        </w:tc>
        <w:tc>
          <w:tcPr>
            <w:tcW w:w="6797" w:type="dxa"/>
            <w:tcBorders>
              <w:top w:val="nil"/>
              <w:left w:val="nil"/>
              <w:bottom w:val="single" w:sz="8" w:space="0" w:color="auto"/>
              <w:right w:val="single" w:sz="8" w:space="0" w:color="auto"/>
            </w:tcBorders>
            <w:tcMar>
              <w:top w:w="0" w:type="dxa"/>
              <w:left w:w="108" w:type="dxa"/>
              <w:bottom w:w="0" w:type="dxa"/>
              <w:right w:w="108" w:type="dxa"/>
            </w:tcMar>
            <w:hideMark/>
          </w:tcPr>
          <w:p w14:paraId="36E1DAFB" w14:textId="77777777" w:rsidR="003A340E" w:rsidRDefault="003A340E">
            <w:r>
              <w:t>The Hub did not receive all financial institution statements for the previous three-month FUR period.</w:t>
            </w:r>
          </w:p>
        </w:tc>
      </w:tr>
    </w:tbl>
    <w:p w14:paraId="731436B7" w14:textId="77777777" w:rsidR="003A340E" w:rsidRDefault="003A340E" w:rsidP="00645C6C">
      <w:pPr>
        <w:spacing w:before="0" w:after="0"/>
        <w:rPr>
          <w:rFonts w:ascii="Calibri" w:eastAsiaTheme="minorHAnsi" w:hAnsi="Calibri" w:cs="Calibri"/>
          <w:sz w:val="22"/>
          <w:szCs w:val="22"/>
        </w:rPr>
      </w:pPr>
    </w:p>
    <w:p w14:paraId="6983F673" w14:textId="48FE1AB0" w:rsidR="003A340E" w:rsidRDefault="003A340E" w:rsidP="00645C6C">
      <w:pPr>
        <w:spacing w:before="0" w:after="0"/>
        <w:rPr>
          <w:rFonts w:ascii="Arial" w:hAnsi="Arial" w:cs="Arial"/>
          <w:sz w:val="24"/>
          <w:szCs w:val="24"/>
        </w:rPr>
      </w:pPr>
      <w:r>
        <w:rPr>
          <w:rFonts w:ascii="Arial" w:hAnsi="Arial" w:cs="Arial"/>
          <w:sz w:val="24"/>
          <w:szCs w:val="24"/>
        </w:rPr>
        <w:t>Accounting and FUR continue to be the primary area of concern for national quality accuracy. A review of the error narratives associated with each error does not identify a systemic nor procedural root cause. However, the review does present a commonality of the lack of attention to detail when reviewing financial statements and accounts during accounting audits and FUR reviews.</w:t>
      </w:r>
    </w:p>
    <w:p w14:paraId="0692903E" w14:textId="77777777" w:rsidR="003A340E" w:rsidRDefault="003A340E" w:rsidP="00645C6C">
      <w:pPr>
        <w:spacing w:before="0" w:after="0"/>
        <w:rPr>
          <w:rFonts w:ascii="Arial" w:hAnsi="Arial" w:cs="Arial"/>
          <w:sz w:val="24"/>
          <w:szCs w:val="24"/>
        </w:rPr>
      </w:pPr>
    </w:p>
    <w:p w14:paraId="3FB454AB" w14:textId="0394F6B5" w:rsidR="003A340E" w:rsidRDefault="003A340E" w:rsidP="00645C6C">
      <w:pPr>
        <w:spacing w:before="0" w:after="0"/>
        <w:rPr>
          <w:rFonts w:ascii="Arial" w:hAnsi="Arial" w:cs="Arial"/>
          <w:sz w:val="24"/>
          <w:szCs w:val="24"/>
        </w:rPr>
      </w:pPr>
      <w:r>
        <w:rPr>
          <w:rFonts w:ascii="Arial" w:hAnsi="Arial" w:cs="Arial"/>
          <w:sz w:val="24"/>
          <w:szCs w:val="24"/>
        </w:rPr>
        <w:t xml:space="preserve">The hubs continue to demonstrate proficiency in field examinations resulting in no current concerns. </w:t>
      </w:r>
    </w:p>
    <w:p w14:paraId="04C9355B" w14:textId="299784E8" w:rsidR="006F031C" w:rsidRDefault="006F031C" w:rsidP="003A340E">
      <w:pPr>
        <w:rPr>
          <w:rFonts w:ascii="Arial" w:hAnsi="Arial" w:cs="Arial"/>
          <w:sz w:val="24"/>
          <w:szCs w:val="24"/>
        </w:rPr>
      </w:pPr>
    </w:p>
    <w:p w14:paraId="34D28229" w14:textId="0F831A0F" w:rsidR="006F031C" w:rsidRPr="006F031C" w:rsidRDefault="006F031C" w:rsidP="003A340E">
      <w:pPr>
        <w:rPr>
          <w:rFonts w:ascii="Arial" w:hAnsi="Arial" w:cs="Arial"/>
          <w:b/>
          <w:bCs/>
          <w:sz w:val="24"/>
          <w:szCs w:val="24"/>
          <w:u w:val="single"/>
        </w:rPr>
      </w:pPr>
      <w:r w:rsidRPr="006F031C">
        <w:rPr>
          <w:rFonts w:ascii="Arial" w:hAnsi="Arial" w:cs="Arial"/>
          <w:b/>
          <w:bCs/>
          <w:sz w:val="24"/>
          <w:szCs w:val="24"/>
          <w:u w:val="single"/>
        </w:rPr>
        <w:t>References/Contacts</w:t>
      </w:r>
    </w:p>
    <w:p w14:paraId="338B6AD8" w14:textId="197CC18B" w:rsidR="006F031C" w:rsidRDefault="00000000" w:rsidP="003A340E">
      <w:pPr>
        <w:rPr>
          <w:rFonts w:ascii="Arial" w:hAnsi="Arial" w:cs="Arial"/>
          <w:sz w:val="24"/>
          <w:szCs w:val="24"/>
        </w:rPr>
      </w:pPr>
      <w:hyperlink r:id="rId9" w:anchor="4" w:history="1">
        <w:r w:rsidR="006F031C" w:rsidRPr="006F031C">
          <w:rPr>
            <w:rStyle w:val="Hyperlink"/>
            <w:rFonts w:ascii="Arial" w:hAnsi="Arial" w:cs="Arial"/>
            <w:sz w:val="24"/>
            <w:szCs w:val="24"/>
          </w:rPr>
          <w:t>FPM II.1.C.4.e - Fund Usage Report Past Due Notification Requirement</w:t>
        </w:r>
      </w:hyperlink>
    </w:p>
    <w:p w14:paraId="5B67A8FE" w14:textId="115270D2" w:rsidR="006F031C" w:rsidRDefault="00000000" w:rsidP="003A340E">
      <w:pPr>
        <w:rPr>
          <w:rFonts w:ascii="Arial" w:hAnsi="Arial" w:cs="Arial"/>
          <w:sz w:val="24"/>
          <w:szCs w:val="24"/>
        </w:rPr>
      </w:pPr>
      <w:hyperlink r:id="rId10" w:anchor="4" w:history="1">
        <w:r w:rsidR="006F031C" w:rsidRPr="006F031C">
          <w:rPr>
            <w:rStyle w:val="Hyperlink"/>
            <w:rFonts w:ascii="Arial" w:hAnsi="Arial" w:cs="Arial"/>
            <w:sz w:val="24"/>
            <w:szCs w:val="24"/>
          </w:rPr>
          <w:t>FPM, II.1.C.4.p - Elements of a Complete Fund Usage Report Submission</w:t>
        </w:r>
      </w:hyperlink>
    </w:p>
    <w:p w14:paraId="1FF80EFB" w14:textId="6B1A3B44" w:rsidR="006F031C" w:rsidRDefault="00000000" w:rsidP="003A340E">
      <w:pPr>
        <w:rPr>
          <w:rFonts w:ascii="Arial" w:hAnsi="Arial" w:cs="Arial"/>
          <w:sz w:val="24"/>
          <w:szCs w:val="24"/>
        </w:rPr>
      </w:pPr>
      <w:hyperlink r:id="rId11" w:anchor="4" w:history="1">
        <w:r w:rsidR="006F031C" w:rsidRPr="006F031C">
          <w:rPr>
            <w:rStyle w:val="Hyperlink"/>
            <w:rFonts w:ascii="Arial" w:hAnsi="Arial" w:cs="Arial"/>
            <w:sz w:val="24"/>
            <w:szCs w:val="24"/>
          </w:rPr>
          <w:t>FPM II.1.C.4.s - Fund Usage Review Completion Activities</w:t>
        </w:r>
      </w:hyperlink>
    </w:p>
    <w:p w14:paraId="19EFE7D9" w14:textId="77777777" w:rsidR="00F96A26" w:rsidRPr="00075FC0" w:rsidRDefault="00F96A26">
      <w:pPr>
        <w:rPr>
          <w:sz w:val="24"/>
          <w:szCs w:val="24"/>
        </w:rPr>
      </w:pPr>
    </w:p>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620"/>
        <w:gridCol w:w="4970"/>
        <w:gridCol w:w="1324"/>
        <w:gridCol w:w="2310"/>
      </w:tblGrid>
      <w:tr w:rsidR="00D62E01" w:rsidRPr="000D431A" w14:paraId="4F7931C7" w14:textId="77777777" w:rsidTr="00D62E01">
        <w:tc>
          <w:tcPr>
            <w:tcW w:w="1620" w:type="dxa"/>
          </w:tcPr>
          <w:bookmarkStart w:id="1" w:name="_Hlk21598834"/>
          <w:p w14:paraId="3E261563" w14:textId="77777777" w:rsidR="00D62E01" w:rsidRPr="00075FC0" w:rsidRDefault="00000000" w:rsidP="006344A8">
            <w:pPr>
              <w:pStyle w:val="Heading2"/>
              <w:rPr>
                <w:color w:val="8064A2" w:themeColor="accent4"/>
              </w:rPr>
            </w:pPr>
            <w:sdt>
              <w:sdtPr>
                <w:rPr>
                  <w:color w:val="8064A2" w:themeColor="accent4"/>
                </w:rPr>
                <w:id w:val="113951409"/>
                <w:placeholder>
                  <w:docPart w:val="BEEE93B5055349CDA16253D1263663B8"/>
                </w:placeholder>
                <w:temporary/>
                <w:showingPlcHdr/>
                <w15:appearance w15:val="hidden"/>
              </w:sdtPr>
              <w:sdtContent>
                <w:r w:rsidR="00D62E01" w:rsidRPr="00075FC0">
                  <w:rPr>
                    <w:color w:val="8064A2" w:themeColor="accent4"/>
                    <w:sz w:val="24"/>
                    <w:szCs w:val="24"/>
                  </w:rPr>
                  <w:t>Agenda item:</w:t>
                </w:r>
              </w:sdtContent>
            </w:sdt>
          </w:p>
        </w:tc>
        <w:tc>
          <w:tcPr>
            <w:tcW w:w="4970" w:type="dxa"/>
          </w:tcPr>
          <w:p w14:paraId="560F39F3" w14:textId="05E6FB7D" w:rsidR="00D62E01" w:rsidRPr="007E4418" w:rsidRDefault="00012B79" w:rsidP="006344A8">
            <w:pPr>
              <w:rPr>
                <w:color w:val="8064A2" w:themeColor="accent4"/>
                <w:sz w:val="24"/>
                <w:szCs w:val="24"/>
              </w:rPr>
            </w:pPr>
            <w:bookmarkStart w:id="2" w:name="TWO_"/>
            <w:bookmarkEnd w:id="2"/>
            <w:r>
              <w:rPr>
                <w:color w:val="8064A2" w:themeColor="accent4"/>
                <w:sz w:val="24"/>
                <w:szCs w:val="24"/>
              </w:rPr>
              <w:t>SOAR Changes</w:t>
            </w:r>
          </w:p>
        </w:tc>
        <w:tc>
          <w:tcPr>
            <w:tcW w:w="1324" w:type="dxa"/>
          </w:tcPr>
          <w:p w14:paraId="212F07F4" w14:textId="77777777" w:rsidR="00D62E01" w:rsidRPr="00075FC0" w:rsidRDefault="00000000" w:rsidP="006344A8">
            <w:pPr>
              <w:pStyle w:val="Heading2"/>
              <w:rPr>
                <w:color w:val="8064A2" w:themeColor="accent4"/>
              </w:rPr>
            </w:pPr>
            <w:sdt>
              <w:sdtPr>
                <w:rPr>
                  <w:color w:val="8064A2" w:themeColor="accent4"/>
                </w:rPr>
                <w:id w:val="1072624145"/>
                <w:placeholder>
                  <w:docPart w:val="EE2DA83037A34D638D4ED63942E9D9E4"/>
                </w:placeholder>
                <w:temporary/>
                <w:showingPlcHdr/>
                <w15:appearance w15:val="hidden"/>
              </w:sdtPr>
              <w:sdtContent>
                <w:r w:rsidR="00D62E01" w:rsidRPr="00075FC0">
                  <w:rPr>
                    <w:color w:val="8064A2" w:themeColor="accent4"/>
                    <w:sz w:val="24"/>
                    <w:szCs w:val="24"/>
                  </w:rPr>
                  <w:t>Presenter:</w:t>
                </w:r>
              </w:sdtContent>
            </w:sdt>
          </w:p>
        </w:tc>
        <w:tc>
          <w:tcPr>
            <w:tcW w:w="2310" w:type="dxa"/>
          </w:tcPr>
          <w:p w14:paraId="2450EBF7" w14:textId="1A0AC911" w:rsidR="00D62E01" w:rsidRPr="007E4418" w:rsidRDefault="00012B79" w:rsidP="006344A8">
            <w:pPr>
              <w:rPr>
                <w:color w:val="8064A2" w:themeColor="accent4"/>
                <w:sz w:val="24"/>
                <w:szCs w:val="24"/>
              </w:rPr>
            </w:pPr>
            <w:r>
              <w:rPr>
                <w:color w:val="8064A2" w:themeColor="accent4"/>
                <w:sz w:val="24"/>
                <w:szCs w:val="24"/>
              </w:rPr>
              <w:t>Alvin Hill, Analyst</w:t>
            </w:r>
          </w:p>
        </w:tc>
      </w:tr>
    </w:tbl>
    <w:p w14:paraId="77779155" w14:textId="77777777" w:rsidR="00D62E01" w:rsidRPr="00075FC0" w:rsidRDefault="00075FC0" w:rsidP="00D62E01">
      <w:pPr>
        <w:pStyle w:val="Heading4"/>
        <w:rPr>
          <w:color w:val="548DD4" w:themeColor="text2" w:themeTint="99"/>
          <w:sz w:val="24"/>
          <w:szCs w:val="24"/>
        </w:rPr>
      </w:pPr>
      <w:r w:rsidRPr="00075FC0">
        <w:rPr>
          <w:color w:val="548DD4" w:themeColor="text2" w:themeTint="99"/>
          <w:sz w:val="24"/>
          <w:szCs w:val="24"/>
        </w:rPr>
        <w:t>Target Audience:</w:t>
      </w:r>
    </w:p>
    <w:p w14:paraId="1CE71621" w14:textId="77777777" w:rsidR="00012B79" w:rsidRPr="004C6763" w:rsidRDefault="00012B79" w:rsidP="00012B79">
      <w:pPr>
        <w:rPr>
          <w:color w:val="4F81BD" w:themeColor="accent1"/>
          <w:sz w:val="24"/>
          <w:szCs w:val="24"/>
        </w:rPr>
      </w:pPr>
      <w:r>
        <w:rPr>
          <w:color w:val="4F81BD" w:themeColor="accent1"/>
          <w:sz w:val="24"/>
          <w:szCs w:val="24"/>
        </w:rPr>
        <w:t>Quality Review Team (QRT) Program Specialists and Coaches/Assistant Coaches</w:t>
      </w:r>
    </w:p>
    <w:p w14:paraId="04465D55" w14:textId="5312B3BE" w:rsidR="00D62E01" w:rsidRDefault="005537F7" w:rsidP="00645C6C">
      <w:pPr>
        <w:pStyle w:val="Heading4"/>
        <w:spacing w:before="0" w:after="0"/>
        <w:rPr>
          <w:sz w:val="24"/>
          <w:szCs w:val="24"/>
        </w:rPr>
      </w:pPr>
      <w:r w:rsidRPr="005537F7">
        <w:rPr>
          <w:sz w:val="24"/>
          <w:szCs w:val="24"/>
        </w:rPr>
        <w:t>Discussion:</w:t>
      </w:r>
    </w:p>
    <w:p w14:paraId="0F865140" w14:textId="77777777" w:rsidR="00645C6C" w:rsidRDefault="00645C6C" w:rsidP="00645C6C">
      <w:pPr>
        <w:pStyle w:val="Heading4"/>
        <w:spacing w:before="0" w:after="0"/>
        <w:rPr>
          <w:sz w:val="24"/>
          <w:szCs w:val="24"/>
        </w:rPr>
      </w:pPr>
    </w:p>
    <w:p w14:paraId="66649C65" w14:textId="48AEC7A9" w:rsidR="002763C4" w:rsidRDefault="002763C4" w:rsidP="00645C6C">
      <w:pPr>
        <w:spacing w:before="0" w:after="0"/>
        <w:rPr>
          <w:rFonts w:ascii="Arial" w:hAnsi="Arial" w:cs="Arial"/>
          <w:sz w:val="24"/>
          <w:szCs w:val="24"/>
        </w:rPr>
      </w:pPr>
      <w:r>
        <w:rPr>
          <w:rFonts w:ascii="Arial" w:hAnsi="Arial" w:cs="Arial"/>
          <w:sz w:val="24"/>
          <w:szCs w:val="24"/>
        </w:rPr>
        <w:t>P&amp;F</w:t>
      </w:r>
      <w:r w:rsidR="000D41CE">
        <w:rPr>
          <w:rFonts w:ascii="Arial" w:hAnsi="Arial" w:cs="Arial"/>
          <w:sz w:val="24"/>
          <w:szCs w:val="24"/>
        </w:rPr>
        <w:t xml:space="preserve"> </w:t>
      </w:r>
      <w:r>
        <w:rPr>
          <w:rFonts w:ascii="Arial" w:hAnsi="Arial" w:cs="Arial"/>
          <w:sz w:val="24"/>
          <w:szCs w:val="24"/>
        </w:rPr>
        <w:t>S</w:t>
      </w:r>
      <w:r w:rsidR="000D41CE">
        <w:rPr>
          <w:rFonts w:ascii="Arial" w:hAnsi="Arial" w:cs="Arial"/>
          <w:sz w:val="24"/>
          <w:szCs w:val="24"/>
        </w:rPr>
        <w:t>ervice</w:t>
      </w:r>
      <w:r>
        <w:rPr>
          <w:rFonts w:ascii="Arial" w:hAnsi="Arial" w:cs="Arial"/>
          <w:sz w:val="24"/>
          <w:szCs w:val="24"/>
        </w:rPr>
        <w:t xml:space="preserve"> updated the Fiduciary Hub Strategic Oversight and Analysis Review (SOAR) topic requirements in the </w:t>
      </w:r>
      <w:hyperlink r:id="rId12" w:history="1">
        <w:r>
          <w:rPr>
            <w:rStyle w:val="Hyperlink"/>
            <w:rFonts w:ascii="Arial" w:hAnsi="Arial" w:cs="Arial"/>
            <w:sz w:val="24"/>
            <w:szCs w:val="24"/>
          </w:rPr>
          <w:t>M21-4, Chapter 5.7.a</w:t>
        </w:r>
      </w:hyperlink>
      <w:r>
        <w:rPr>
          <w:rFonts w:ascii="Arial" w:hAnsi="Arial" w:cs="Arial"/>
          <w:sz w:val="24"/>
          <w:szCs w:val="24"/>
        </w:rPr>
        <w:t xml:space="preserve">. The updates were published to the </w:t>
      </w:r>
      <w:r w:rsidR="000D41CE">
        <w:rPr>
          <w:rFonts w:ascii="Arial" w:hAnsi="Arial" w:cs="Arial"/>
          <w:sz w:val="24"/>
          <w:szCs w:val="24"/>
        </w:rPr>
        <w:t>M21-4</w:t>
      </w:r>
      <w:r>
        <w:rPr>
          <w:rFonts w:ascii="Arial" w:hAnsi="Arial" w:cs="Arial"/>
          <w:sz w:val="24"/>
          <w:szCs w:val="24"/>
        </w:rPr>
        <w:t xml:space="preserve"> on December 9, 2022. Along with updating the topic requirements, the fiscal year (FY) 2023 submission window is being adjusted to January 2023 to March 2023 to accommodate the recent updates. After the initial submissions in FY23, the frequency outlined in </w:t>
      </w:r>
      <w:hyperlink r:id="rId13" w:history="1">
        <w:r>
          <w:rPr>
            <w:rStyle w:val="Hyperlink"/>
            <w:rFonts w:ascii="Arial" w:hAnsi="Arial" w:cs="Arial"/>
            <w:sz w:val="24"/>
            <w:szCs w:val="24"/>
          </w:rPr>
          <w:t>M21-4 Chapter 5.2.c</w:t>
        </w:r>
      </w:hyperlink>
      <w:r>
        <w:rPr>
          <w:rFonts w:ascii="Arial" w:hAnsi="Arial" w:cs="Arial"/>
          <w:sz w:val="24"/>
          <w:szCs w:val="24"/>
        </w:rPr>
        <w:t xml:space="preserve"> should be followed for future submissions.</w:t>
      </w:r>
    </w:p>
    <w:p w14:paraId="3CD0AEAD" w14:textId="77777777" w:rsidR="002763C4" w:rsidRDefault="002763C4" w:rsidP="00645C6C">
      <w:pPr>
        <w:spacing w:before="0" w:after="0"/>
        <w:rPr>
          <w:rFonts w:ascii="Calibri" w:hAnsi="Calibri" w:cs="Calibri"/>
          <w:sz w:val="22"/>
          <w:szCs w:val="22"/>
        </w:rPr>
      </w:pPr>
    </w:p>
    <w:p w14:paraId="2CC9F07A" w14:textId="31261161" w:rsidR="002763C4" w:rsidRDefault="002763C4" w:rsidP="00645C6C">
      <w:pPr>
        <w:spacing w:before="0" w:after="0"/>
        <w:rPr>
          <w:rFonts w:ascii="Arial" w:hAnsi="Arial" w:cs="Arial"/>
          <w:sz w:val="24"/>
          <w:szCs w:val="24"/>
        </w:rPr>
      </w:pPr>
      <w:r>
        <w:rPr>
          <w:rFonts w:ascii="Arial" w:hAnsi="Arial" w:cs="Arial"/>
          <w:sz w:val="24"/>
          <w:szCs w:val="24"/>
        </w:rPr>
        <w:t>For example, the FY23 two annual SOAR windows are:</w:t>
      </w:r>
    </w:p>
    <w:p w14:paraId="1C7585AA" w14:textId="77777777" w:rsidR="00645C6C" w:rsidRPr="00645C6C" w:rsidRDefault="00645C6C" w:rsidP="00645C6C">
      <w:pPr>
        <w:spacing w:before="0" w:after="0"/>
        <w:rPr>
          <w:rFonts w:ascii="Arial" w:hAnsi="Arial" w:cs="Arial"/>
          <w:sz w:val="22"/>
          <w:szCs w:val="22"/>
        </w:rPr>
      </w:pPr>
    </w:p>
    <w:p w14:paraId="5A1B32B0" w14:textId="77777777" w:rsidR="002763C4" w:rsidRDefault="002763C4" w:rsidP="00645C6C">
      <w:pPr>
        <w:numPr>
          <w:ilvl w:val="0"/>
          <w:numId w:val="23"/>
        </w:numPr>
        <w:spacing w:before="0" w:after="0"/>
        <w:rPr>
          <w:rFonts w:ascii="Arial" w:eastAsia="Times New Roman" w:hAnsi="Arial" w:cs="Arial"/>
          <w:sz w:val="24"/>
          <w:szCs w:val="24"/>
        </w:rPr>
      </w:pPr>
      <w:r>
        <w:rPr>
          <w:rFonts w:ascii="Arial" w:eastAsia="Times New Roman" w:hAnsi="Arial" w:cs="Arial"/>
          <w:sz w:val="24"/>
          <w:szCs w:val="24"/>
        </w:rPr>
        <w:t>January to March (modified to accommodate updates), and</w:t>
      </w:r>
    </w:p>
    <w:p w14:paraId="607476E2" w14:textId="77777777" w:rsidR="002763C4" w:rsidRDefault="002763C4" w:rsidP="00645C6C">
      <w:pPr>
        <w:numPr>
          <w:ilvl w:val="0"/>
          <w:numId w:val="23"/>
        </w:numPr>
        <w:spacing w:before="0" w:after="0"/>
        <w:rPr>
          <w:rFonts w:ascii="Arial" w:eastAsia="Times New Roman" w:hAnsi="Arial" w:cs="Arial"/>
          <w:sz w:val="24"/>
          <w:szCs w:val="24"/>
        </w:rPr>
      </w:pPr>
      <w:r>
        <w:rPr>
          <w:rFonts w:ascii="Arial" w:eastAsia="Times New Roman" w:hAnsi="Arial" w:cs="Arial"/>
          <w:sz w:val="24"/>
          <w:szCs w:val="24"/>
        </w:rPr>
        <w:t>June to August</w:t>
      </w:r>
    </w:p>
    <w:p w14:paraId="430AD7B0" w14:textId="77777777" w:rsidR="00645C6C" w:rsidRPr="00645C6C" w:rsidRDefault="00645C6C" w:rsidP="00645C6C">
      <w:pPr>
        <w:spacing w:before="0" w:after="0"/>
        <w:rPr>
          <w:rFonts w:ascii="Arial" w:hAnsi="Arial" w:cs="Arial"/>
          <w:b/>
          <w:bCs/>
          <w:sz w:val="22"/>
          <w:szCs w:val="22"/>
          <w:u w:val="single"/>
        </w:rPr>
      </w:pPr>
    </w:p>
    <w:p w14:paraId="6F0199FC" w14:textId="1201645D" w:rsidR="002763C4" w:rsidRDefault="002763C4" w:rsidP="00645C6C">
      <w:pPr>
        <w:spacing w:before="0" w:after="0"/>
        <w:rPr>
          <w:rFonts w:ascii="Arial" w:hAnsi="Arial" w:cs="Arial"/>
          <w:b/>
          <w:bCs/>
          <w:sz w:val="24"/>
          <w:szCs w:val="24"/>
          <w:u w:val="single"/>
        </w:rPr>
      </w:pPr>
      <w:r w:rsidRPr="002763C4">
        <w:rPr>
          <w:rFonts w:ascii="Arial" w:hAnsi="Arial" w:cs="Arial"/>
          <w:b/>
          <w:bCs/>
          <w:sz w:val="24"/>
          <w:szCs w:val="24"/>
          <w:u w:val="single"/>
        </w:rPr>
        <w:t>Key Updates:</w:t>
      </w:r>
    </w:p>
    <w:p w14:paraId="5A740D10" w14:textId="77777777" w:rsidR="00645C6C" w:rsidRPr="00645C6C" w:rsidRDefault="00645C6C" w:rsidP="00645C6C">
      <w:pPr>
        <w:spacing w:before="0" w:after="0"/>
        <w:rPr>
          <w:rFonts w:ascii="Arial" w:eastAsiaTheme="minorHAnsi" w:hAnsi="Arial" w:cs="Arial"/>
          <w:b/>
          <w:bCs/>
          <w:sz w:val="22"/>
          <w:szCs w:val="22"/>
          <w:u w:val="single"/>
        </w:rPr>
      </w:pPr>
    </w:p>
    <w:p w14:paraId="2B7D493E" w14:textId="77777777" w:rsidR="002763C4" w:rsidRDefault="002763C4" w:rsidP="00645C6C">
      <w:pPr>
        <w:pStyle w:val="ListParagraph"/>
        <w:numPr>
          <w:ilvl w:val="0"/>
          <w:numId w:val="24"/>
        </w:numPr>
        <w:rPr>
          <w:rFonts w:ascii="Arial" w:eastAsia="Times New Roman" w:hAnsi="Arial" w:cs="Arial"/>
          <w:sz w:val="24"/>
          <w:szCs w:val="24"/>
        </w:rPr>
      </w:pPr>
      <w:r>
        <w:rPr>
          <w:rFonts w:ascii="Arial" w:eastAsia="Times New Roman" w:hAnsi="Arial" w:cs="Arial"/>
          <w:sz w:val="24"/>
          <w:szCs w:val="24"/>
        </w:rPr>
        <w:t>Reduction in reporting topics</w:t>
      </w:r>
    </w:p>
    <w:p w14:paraId="006F8A32" w14:textId="77777777" w:rsidR="002763C4" w:rsidRDefault="002763C4" w:rsidP="00645C6C">
      <w:pPr>
        <w:pStyle w:val="ListParagraph"/>
        <w:numPr>
          <w:ilvl w:val="0"/>
          <w:numId w:val="24"/>
        </w:numPr>
        <w:rPr>
          <w:rFonts w:ascii="Arial" w:eastAsia="Times New Roman" w:hAnsi="Arial" w:cs="Arial"/>
          <w:sz w:val="24"/>
          <w:szCs w:val="24"/>
        </w:rPr>
      </w:pPr>
      <w:r>
        <w:rPr>
          <w:rFonts w:ascii="Arial" w:eastAsia="Times New Roman" w:hAnsi="Arial" w:cs="Arial"/>
          <w:sz w:val="24"/>
          <w:szCs w:val="24"/>
        </w:rPr>
        <w:t>Reduction in reporting frequency</w:t>
      </w:r>
    </w:p>
    <w:p w14:paraId="5E55713C" w14:textId="0082B286" w:rsidR="002763C4" w:rsidRPr="002763C4" w:rsidRDefault="002763C4" w:rsidP="00645C6C">
      <w:pPr>
        <w:pStyle w:val="ListParagraph"/>
        <w:numPr>
          <w:ilvl w:val="0"/>
          <w:numId w:val="24"/>
        </w:numPr>
        <w:rPr>
          <w:sz w:val="24"/>
          <w:szCs w:val="24"/>
        </w:rPr>
      </w:pPr>
      <w:r w:rsidRPr="002763C4">
        <w:rPr>
          <w:rFonts w:ascii="Arial" w:eastAsia="Times New Roman" w:hAnsi="Arial" w:cs="Arial"/>
          <w:sz w:val="24"/>
          <w:szCs w:val="24"/>
        </w:rPr>
        <w:t>Strategic performance reporting alignment</w:t>
      </w:r>
    </w:p>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620"/>
        <w:gridCol w:w="4970"/>
        <w:gridCol w:w="1324"/>
        <w:gridCol w:w="2310"/>
      </w:tblGrid>
      <w:tr w:rsidR="00D62E01" w:rsidRPr="00D60069" w14:paraId="4ED19404" w14:textId="77777777" w:rsidTr="006344A8">
        <w:tc>
          <w:tcPr>
            <w:tcW w:w="1620" w:type="dxa"/>
          </w:tcPr>
          <w:bookmarkEnd w:id="1"/>
          <w:p w14:paraId="2AE34BA9" w14:textId="404B353D" w:rsidR="00D62E01" w:rsidRPr="00D60069" w:rsidRDefault="00000000" w:rsidP="006344A8">
            <w:pPr>
              <w:pStyle w:val="Heading2"/>
            </w:pPr>
            <w:sdt>
              <w:sdtPr>
                <w:id w:val="885458630"/>
                <w:placeholder>
                  <w:docPart w:val="5C526D49C19E4A4DA765D72573DF8370"/>
                </w:placeholder>
                <w:temporary/>
                <w:showingPlcHdr/>
                <w15:appearance w15:val="hidden"/>
              </w:sdtPr>
              <w:sdtContent>
                <w:r w:rsidR="00D62E01" w:rsidRPr="005537F7">
                  <w:rPr>
                    <w:color w:val="8064A2" w:themeColor="accent4"/>
                    <w:sz w:val="24"/>
                    <w:szCs w:val="24"/>
                  </w:rPr>
                  <w:t>Agenda item:</w:t>
                </w:r>
              </w:sdtContent>
            </w:sdt>
          </w:p>
        </w:tc>
        <w:tc>
          <w:tcPr>
            <w:tcW w:w="4970" w:type="dxa"/>
          </w:tcPr>
          <w:p w14:paraId="6CDA5EBE" w14:textId="1DFB1686" w:rsidR="00D62E01" w:rsidRPr="00F15EBC" w:rsidRDefault="00012B79" w:rsidP="006344A8">
            <w:bookmarkStart w:id="3" w:name="THREE_"/>
            <w:bookmarkEnd w:id="3"/>
            <w:r>
              <w:rPr>
                <w:rFonts w:asciiTheme="majorHAnsi" w:eastAsiaTheme="majorEastAsia" w:hAnsiTheme="majorHAnsi" w:cs="Arial"/>
                <w:bCs/>
                <w:iCs/>
                <w:color w:val="8064A2" w:themeColor="accent4"/>
                <w:sz w:val="24"/>
                <w:szCs w:val="24"/>
              </w:rPr>
              <w:t>Accounting Reminders</w:t>
            </w:r>
          </w:p>
        </w:tc>
        <w:tc>
          <w:tcPr>
            <w:tcW w:w="1324" w:type="dxa"/>
          </w:tcPr>
          <w:p w14:paraId="1071A2C0" w14:textId="77777777" w:rsidR="00D62E01" w:rsidRPr="00D60069" w:rsidRDefault="00000000" w:rsidP="006344A8">
            <w:pPr>
              <w:pStyle w:val="Heading2"/>
            </w:pPr>
            <w:sdt>
              <w:sdtPr>
                <w:id w:val="-765931208"/>
                <w:placeholder>
                  <w:docPart w:val="02EA8C92C8104148B1800799423752F6"/>
                </w:placeholder>
                <w:temporary/>
                <w:showingPlcHdr/>
                <w15:appearance w15:val="hidden"/>
              </w:sdtPr>
              <w:sdtContent>
                <w:r w:rsidR="00D62E01" w:rsidRPr="005537F7">
                  <w:rPr>
                    <w:color w:val="8064A2" w:themeColor="accent4"/>
                    <w:sz w:val="24"/>
                    <w:szCs w:val="24"/>
                  </w:rPr>
                  <w:t>Presenter:</w:t>
                </w:r>
              </w:sdtContent>
            </w:sdt>
          </w:p>
        </w:tc>
        <w:tc>
          <w:tcPr>
            <w:tcW w:w="2310" w:type="dxa"/>
          </w:tcPr>
          <w:p w14:paraId="727D5FD0" w14:textId="1D8CE1FF" w:rsidR="00D62E01" w:rsidRPr="00D60069" w:rsidRDefault="00012B79" w:rsidP="006344A8">
            <w:r>
              <w:rPr>
                <w:color w:val="8064A2" w:themeColor="accent4"/>
                <w:sz w:val="24"/>
                <w:szCs w:val="24"/>
              </w:rPr>
              <w:t>Nicole Weatherall, Analyst</w:t>
            </w:r>
          </w:p>
        </w:tc>
      </w:tr>
    </w:tbl>
    <w:p w14:paraId="59283531" w14:textId="77777777" w:rsidR="00D62E01" w:rsidRPr="005537F7" w:rsidRDefault="005537F7" w:rsidP="00D62E01">
      <w:pPr>
        <w:pStyle w:val="Heading4"/>
        <w:rPr>
          <w:color w:val="548DD4" w:themeColor="text2" w:themeTint="99"/>
          <w:sz w:val="24"/>
          <w:szCs w:val="24"/>
        </w:rPr>
      </w:pPr>
      <w:r w:rsidRPr="005537F7">
        <w:rPr>
          <w:color w:val="548DD4" w:themeColor="text2" w:themeTint="99"/>
          <w:sz w:val="24"/>
          <w:szCs w:val="24"/>
        </w:rPr>
        <w:t>Target Audience:</w:t>
      </w:r>
    </w:p>
    <w:p w14:paraId="47E8ADA1" w14:textId="77777777" w:rsidR="00012B79" w:rsidRPr="004C6763" w:rsidRDefault="00012B79" w:rsidP="00012B79">
      <w:pPr>
        <w:rPr>
          <w:color w:val="4F81BD" w:themeColor="accent1"/>
          <w:sz w:val="24"/>
          <w:szCs w:val="24"/>
        </w:rPr>
      </w:pPr>
      <w:r>
        <w:rPr>
          <w:color w:val="4F81BD" w:themeColor="accent1"/>
          <w:sz w:val="24"/>
          <w:szCs w:val="24"/>
        </w:rPr>
        <w:t>Quality Review Team (QRT) Program Specialists and Coaches/Assistant Coaches</w:t>
      </w:r>
    </w:p>
    <w:p w14:paraId="784155D5" w14:textId="7D2BE651" w:rsidR="00A81E31" w:rsidRDefault="005537F7" w:rsidP="00D62E01">
      <w:pPr>
        <w:pStyle w:val="Heading4"/>
        <w:rPr>
          <w:sz w:val="24"/>
          <w:szCs w:val="24"/>
        </w:rPr>
      </w:pPr>
      <w:r w:rsidRPr="005537F7">
        <w:rPr>
          <w:sz w:val="24"/>
          <w:szCs w:val="24"/>
        </w:rPr>
        <w:t>Discussion:</w:t>
      </w:r>
    </w:p>
    <w:p w14:paraId="59013A66" w14:textId="77777777" w:rsidR="00A81E31" w:rsidRDefault="00A81E31" w:rsidP="00A81E31">
      <w:pPr>
        <w:pStyle w:val="Heading4"/>
        <w:rPr>
          <w:sz w:val="24"/>
          <w:szCs w:val="24"/>
        </w:rPr>
      </w:pPr>
      <w:r>
        <w:rPr>
          <w:sz w:val="24"/>
          <w:szCs w:val="24"/>
        </w:rPr>
        <w:t>In reviewing the Unscheduled, Scheduled Field Exams, and Accountings, it is critical to remember to:</w:t>
      </w:r>
    </w:p>
    <w:p w14:paraId="1F2A4036" w14:textId="77777777" w:rsidR="00A81E31" w:rsidRPr="0038274B" w:rsidRDefault="00A81E31" w:rsidP="00A81E31">
      <w:pPr>
        <w:pStyle w:val="ListParagraph"/>
        <w:numPr>
          <w:ilvl w:val="0"/>
          <w:numId w:val="25"/>
        </w:numPr>
        <w:rPr>
          <w:rFonts w:ascii="Arial" w:eastAsia="Times New Roman" w:hAnsi="Arial" w:cs="Arial"/>
          <w:sz w:val="24"/>
          <w:szCs w:val="24"/>
        </w:rPr>
      </w:pPr>
      <w:r w:rsidRPr="0038274B">
        <w:rPr>
          <w:rFonts w:ascii="Arial" w:eastAsia="Times New Roman" w:hAnsi="Arial" w:cs="Arial"/>
          <w:sz w:val="24"/>
          <w:szCs w:val="24"/>
        </w:rPr>
        <w:t>Review the most recent budget letter to notice changes in expenses</w:t>
      </w:r>
    </w:p>
    <w:p w14:paraId="32EE1356" w14:textId="77777777" w:rsidR="00A81E31" w:rsidRPr="0038274B" w:rsidRDefault="00A81E31" w:rsidP="00A81E31">
      <w:pPr>
        <w:pStyle w:val="ListParagraph"/>
        <w:numPr>
          <w:ilvl w:val="0"/>
          <w:numId w:val="25"/>
        </w:numPr>
        <w:rPr>
          <w:rFonts w:ascii="Arial" w:eastAsia="Times New Roman" w:hAnsi="Arial" w:cs="Arial"/>
          <w:sz w:val="24"/>
          <w:szCs w:val="24"/>
        </w:rPr>
      </w:pPr>
      <w:r w:rsidRPr="0038274B">
        <w:rPr>
          <w:rFonts w:ascii="Arial" w:eastAsia="Times New Roman" w:hAnsi="Arial" w:cs="Arial"/>
          <w:sz w:val="24"/>
          <w:szCs w:val="24"/>
        </w:rPr>
        <w:t>Review the most recent field examination report to ensure that the any changes noted by the Field Examiner in relation to the needs of the beneficiary and/or their lifestyle</w:t>
      </w:r>
    </w:p>
    <w:p w14:paraId="72689B29" w14:textId="77777777" w:rsidR="00A81E31" w:rsidRPr="0038274B" w:rsidRDefault="00A81E31" w:rsidP="00A81E31">
      <w:pPr>
        <w:pStyle w:val="ListParagraph"/>
        <w:numPr>
          <w:ilvl w:val="0"/>
          <w:numId w:val="25"/>
        </w:numPr>
        <w:rPr>
          <w:rFonts w:ascii="Arial" w:eastAsia="Times New Roman" w:hAnsi="Arial" w:cs="Arial"/>
          <w:sz w:val="24"/>
          <w:szCs w:val="24"/>
        </w:rPr>
      </w:pPr>
      <w:r w:rsidRPr="0038274B">
        <w:rPr>
          <w:rFonts w:ascii="Arial" w:eastAsia="Times New Roman" w:hAnsi="Arial" w:cs="Arial"/>
          <w:sz w:val="24"/>
          <w:szCs w:val="24"/>
        </w:rPr>
        <w:t>Review the most recent accounting to determine if there are any duplicate purchases being made</w:t>
      </w:r>
    </w:p>
    <w:p w14:paraId="32157AB1" w14:textId="77777777" w:rsidR="00A81E31" w:rsidRPr="0038274B" w:rsidRDefault="00A81E31" w:rsidP="00A81E31">
      <w:pPr>
        <w:pStyle w:val="ListParagraph"/>
        <w:numPr>
          <w:ilvl w:val="0"/>
          <w:numId w:val="25"/>
        </w:numPr>
        <w:rPr>
          <w:rFonts w:ascii="Arial" w:eastAsia="Times New Roman" w:hAnsi="Arial" w:cs="Arial"/>
          <w:sz w:val="24"/>
          <w:szCs w:val="24"/>
        </w:rPr>
      </w:pPr>
      <w:r w:rsidRPr="0038274B">
        <w:rPr>
          <w:rFonts w:ascii="Arial" w:eastAsia="Times New Roman" w:hAnsi="Arial" w:cs="Arial"/>
          <w:sz w:val="24"/>
          <w:szCs w:val="24"/>
        </w:rPr>
        <w:t>Review any correspondence and/or phone calls from the fiduciary and/or beneficiary since the last accounting review to determine if anything changed that needs further review</w:t>
      </w:r>
    </w:p>
    <w:p w14:paraId="7D10A972" w14:textId="73837E07" w:rsidR="00A81E31" w:rsidRPr="0038274B" w:rsidRDefault="00A81E31" w:rsidP="00A81E31">
      <w:pPr>
        <w:pStyle w:val="ListParagraph"/>
        <w:numPr>
          <w:ilvl w:val="0"/>
          <w:numId w:val="25"/>
        </w:numPr>
        <w:rPr>
          <w:rFonts w:ascii="Arial" w:eastAsia="Times New Roman" w:hAnsi="Arial" w:cs="Arial"/>
          <w:sz w:val="24"/>
          <w:szCs w:val="24"/>
        </w:rPr>
      </w:pPr>
      <w:r w:rsidRPr="0038274B">
        <w:rPr>
          <w:rFonts w:ascii="Arial" w:eastAsia="Times New Roman" w:hAnsi="Arial" w:cs="Arial"/>
          <w:sz w:val="24"/>
          <w:szCs w:val="24"/>
        </w:rPr>
        <w:t>Review the eFolder and question any expenses that do not seem to benefit the beneficiary and any dependents and/or seem excessive</w:t>
      </w:r>
    </w:p>
    <w:p w14:paraId="1686CEDA" w14:textId="77777777" w:rsidR="00B413B3" w:rsidRPr="0038274B" w:rsidRDefault="00B413B3" w:rsidP="00B413B3">
      <w:pPr>
        <w:pStyle w:val="ListParagraph"/>
        <w:rPr>
          <w:rFonts w:ascii="Arial" w:eastAsia="Times New Roman" w:hAnsi="Arial" w:cs="Arial"/>
          <w:sz w:val="24"/>
          <w:szCs w:val="24"/>
        </w:rPr>
      </w:pPr>
    </w:p>
    <w:p w14:paraId="5B819FAA" w14:textId="39E01447" w:rsidR="009F20D9" w:rsidRDefault="009F20D9" w:rsidP="009F20D9">
      <w:pPr>
        <w:spacing w:after="240"/>
        <w:rPr>
          <w:rFonts w:ascii="Arial" w:eastAsia="Times New Roman" w:hAnsi="Arial" w:cs="Arial"/>
          <w:sz w:val="24"/>
          <w:szCs w:val="24"/>
        </w:rPr>
      </w:pPr>
      <w:r w:rsidRPr="009F20D9">
        <w:rPr>
          <w:rFonts w:ascii="Arial" w:eastAsia="Times New Roman" w:hAnsi="Arial" w:cs="Arial"/>
          <w:b/>
          <w:bCs/>
          <w:sz w:val="24"/>
          <w:szCs w:val="24"/>
          <w:u w:val="single"/>
        </w:rPr>
        <w:t xml:space="preserve">Question </w:t>
      </w:r>
      <w:r w:rsidR="00255CEA">
        <w:rPr>
          <w:rFonts w:ascii="Arial" w:eastAsia="Times New Roman" w:hAnsi="Arial" w:cs="Arial"/>
          <w:b/>
          <w:bCs/>
          <w:sz w:val="24"/>
          <w:szCs w:val="24"/>
          <w:u w:val="single"/>
        </w:rPr>
        <w:t xml:space="preserve">1 </w:t>
      </w:r>
      <w:r w:rsidRPr="009F20D9">
        <w:rPr>
          <w:rFonts w:ascii="Arial" w:eastAsia="Times New Roman" w:hAnsi="Arial" w:cs="Arial"/>
          <w:b/>
          <w:bCs/>
          <w:sz w:val="24"/>
          <w:szCs w:val="24"/>
          <w:u w:val="single"/>
        </w:rPr>
        <w:t>Salt Lake City Fiduciary Hub</w:t>
      </w:r>
      <w:r>
        <w:rPr>
          <w:rFonts w:ascii="Arial" w:eastAsia="Times New Roman" w:hAnsi="Arial" w:cs="Arial"/>
          <w:b/>
          <w:bCs/>
          <w:sz w:val="24"/>
          <w:szCs w:val="24"/>
          <w:u w:val="single"/>
        </w:rPr>
        <w:t>:</w:t>
      </w:r>
      <w:r w:rsidRPr="009F20D9">
        <w:rPr>
          <w:rFonts w:ascii="Arial" w:eastAsia="Times New Roman" w:hAnsi="Arial" w:cs="Arial"/>
          <w:b/>
          <w:bCs/>
          <w:sz w:val="24"/>
          <w:szCs w:val="24"/>
        </w:rPr>
        <w:t xml:space="preserve"> </w:t>
      </w:r>
      <w:bookmarkStart w:id="4" w:name="_Hlk122695724"/>
      <w:r w:rsidRPr="009F20D9">
        <w:rPr>
          <w:rFonts w:ascii="Arial" w:eastAsia="Times New Roman" w:hAnsi="Arial" w:cs="Arial"/>
          <w:sz w:val="24"/>
          <w:szCs w:val="24"/>
        </w:rPr>
        <w:t>In reference to the</w:t>
      </w:r>
      <w:r w:rsidRPr="00646458">
        <w:rPr>
          <w:rFonts w:ascii="Arial" w:eastAsia="Times New Roman" w:hAnsi="Arial" w:cs="Arial"/>
          <w:sz w:val="24"/>
          <w:szCs w:val="24"/>
        </w:rPr>
        <w:t xml:space="preserve"> court </w:t>
      </w:r>
      <w:r w:rsidR="00B8458D" w:rsidRPr="00646458">
        <w:rPr>
          <w:rFonts w:ascii="Arial" w:eastAsia="Times New Roman" w:hAnsi="Arial" w:cs="Arial"/>
          <w:sz w:val="24"/>
          <w:szCs w:val="24"/>
        </w:rPr>
        <w:t>appointment</w:t>
      </w:r>
      <w:r w:rsidR="00B8458D">
        <w:rPr>
          <w:rFonts w:ascii="Arial" w:eastAsia="Times New Roman" w:hAnsi="Arial" w:cs="Arial"/>
          <w:sz w:val="24"/>
          <w:szCs w:val="24"/>
        </w:rPr>
        <w:t xml:space="preserve"> fiduciary fee.  W</w:t>
      </w:r>
      <w:r w:rsidRPr="00646458">
        <w:rPr>
          <w:rFonts w:ascii="Arial" w:eastAsia="Times New Roman" w:hAnsi="Arial" w:cs="Arial"/>
          <w:sz w:val="24"/>
          <w:szCs w:val="24"/>
        </w:rPr>
        <w:t>hen you say fiduciary fee</w:t>
      </w:r>
      <w:r>
        <w:rPr>
          <w:rFonts w:ascii="Arial" w:eastAsia="Times New Roman" w:hAnsi="Arial" w:cs="Arial"/>
          <w:sz w:val="24"/>
          <w:szCs w:val="24"/>
        </w:rPr>
        <w:t>, d</w:t>
      </w:r>
      <w:r w:rsidRPr="00646458">
        <w:rPr>
          <w:rFonts w:ascii="Arial" w:eastAsia="Times New Roman" w:hAnsi="Arial" w:cs="Arial"/>
          <w:sz w:val="24"/>
          <w:szCs w:val="24"/>
        </w:rPr>
        <w:t>o you mean a fiduciary fee that the VA has authorized on a 21</w:t>
      </w:r>
      <w:r>
        <w:rPr>
          <w:rFonts w:ascii="Arial" w:eastAsia="Times New Roman" w:hAnsi="Arial" w:cs="Arial"/>
          <w:sz w:val="24"/>
          <w:szCs w:val="24"/>
        </w:rPr>
        <w:t>-</w:t>
      </w:r>
      <w:r w:rsidRPr="00646458">
        <w:rPr>
          <w:rFonts w:ascii="Arial" w:eastAsia="Times New Roman" w:hAnsi="Arial" w:cs="Arial"/>
          <w:sz w:val="24"/>
          <w:szCs w:val="24"/>
        </w:rPr>
        <w:t>555</w:t>
      </w:r>
      <w:r w:rsidR="00B8458D">
        <w:rPr>
          <w:rFonts w:ascii="Arial" w:eastAsia="Times New Roman" w:hAnsi="Arial" w:cs="Arial"/>
          <w:sz w:val="24"/>
          <w:szCs w:val="24"/>
        </w:rPr>
        <w:t xml:space="preserve"> o</w:t>
      </w:r>
      <w:r>
        <w:rPr>
          <w:rFonts w:ascii="Arial" w:eastAsia="Times New Roman" w:hAnsi="Arial" w:cs="Arial"/>
          <w:sz w:val="24"/>
          <w:szCs w:val="24"/>
        </w:rPr>
        <w:t xml:space="preserve">r something beyond </w:t>
      </w:r>
      <w:r w:rsidR="00B8458D">
        <w:rPr>
          <w:rFonts w:ascii="Arial" w:eastAsia="Times New Roman" w:hAnsi="Arial" w:cs="Arial"/>
          <w:sz w:val="24"/>
          <w:szCs w:val="24"/>
        </w:rPr>
        <w:t xml:space="preserve">the </w:t>
      </w:r>
      <w:r>
        <w:rPr>
          <w:rFonts w:ascii="Arial" w:eastAsia="Times New Roman" w:hAnsi="Arial" w:cs="Arial"/>
          <w:sz w:val="24"/>
          <w:szCs w:val="24"/>
        </w:rPr>
        <w:t>normal</w:t>
      </w:r>
      <w:r w:rsidR="00B8458D">
        <w:rPr>
          <w:rFonts w:ascii="Arial" w:eastAsia="Times New Roman" w:hAnsi="Arial" w:cs="Arial"/>
          <w:sz w:val="24"/>
          <w:szCs w:val="24"/>
        </w:rPr>
        <w:t xml:space="preserve"> fee</w:t>
      </w:r>
      <w:r>
        <w:rPr>
          <w:rFonts w:ascii="Arial" w:eastAsia="Times New Roman" w:hAnsi="Arial" w:cs="Arial"/>
          <w:sz w:val="24"/>
          <w:szCs w:val="24"/>
        </w:rPr>
        <w:t>?</w:t>
      </w:r>
    </w:p>
    <w:p w14:paraId="16DE37DD" w14:textId="745F93EC" w:rsidR="009F20D9" w:rsidRDefault="003F0788" w:rsidP="009F20D9">
      <w:pPr>
        <w:spacing w:after="240"/>
        <w:rPr>
          <w:rFonts w:ascii="Arial" w:eastAsia="Times New Roman" w:hAnsi="Arial" w:cs="Arial"/>
          <w:sz w:val="24"/>
          <w:szCs w:val="24"/>
        </w:rPr>
      </w:pPr>
      <w:r>
        <w:rPr>
          <w:rFonts w:ascii="Arial" w:eastAsia="Times New Roman" w:hAnsi="Arial" w:cs="Arial"/>
          <w:b/>
          <w:bCs/>
          <w:sz w:val="24"/>
          <w:szCs w:val="24"/>
          <w:u w:val="single"/>
        </w:rPr>
        <w:t xml:space="preserve">P&amp;F Service </w:t>
      </w:r>
      <w:r w:rsidR="009F20D9" w:rsidRPr="00B8458D">
        <w:rPr>
          <w:rFonts w:ascii="Arial" w:eastAsia="Times New Roman" w:hAnsi="Arial" w:cs="Arial"/>
          <w:b/>
          <w:bCs/>
          <w:sz w:val="24"/>
          <w:szCs w:val="24"/>
          <w:u w:val="single"/>
        </w:rPr>
        <w:t>Response</w:t>
      </w:r>
      <w:r w:rsidR="00255CEA">
        <w:rPr>
          <w:rFonts w:ascii="Arial" w:eastAsia="Times New Roman" w:hAnsi="Arial" w:cs="Arial"/>
          <w:b/>
          <w:bCs/>
          <w:sz w:val="24"/>
          <w:szCs w:val="24"/>
          <w:u w:val="single"/>
        </w:rPr>
        <w:t>:</w:t>
      </w:r>
      <w:r w:rsidR="00255CEA" w:rsidRPr="00255CEA">
        <w:rPr>
          <w:rFonts w:ascii="Arial" w:eastAsia="Times New Roman" w:hAnsi="Arial" w:cs="Arial"/>
          <w:b/>
          <w:bCs/>
          <w:sz w:val="24"/>
          <w:szCs w:val="24"/>
        </w:rPr>
        <w:t xml:space="preserve">  </w:t>
      </w:r>
      <w:r w:rsidR="00B8458D">
        <w:rPr>
          <w:rFonts w:ascii="Arial" w:eastAsia="Times New Roman" w:hAnsi="Arial" w:cs="Arial"/>
          <w:sz w:val="24"/>
          <w:szCs w:val="24"/>
        </w:rPr>
        <w:t>The fiduciary fee is listed on the VA Form 2</w:t>
      </w:r>
      <w:r w:rsidR="009F20D9">
        <w:rPr>
          <w:rFonts w:ascii="Arial" w:eastAsia="Times New Roman" w:hAnsi="Arial" w:cs="Arial"/>
          <w:sz w:val="24"/>
          <w:szCs w:val="24"/>
        </w:rPr>
        <w:t xml:space="preserve">1-555. </w:t>
      </w:r>
      <w:r w:rsidR="00B8458D">
        <w:rPr>
          <w:rFonts w:ascii="Arial" w:eastAsia="Times New Roman" w:hAnsi="Arial" w:cs="Arial"/>
          <w:sz w:val="24"/>
          <w:szCs w:val="24"/>
        </w:rPr>
        <w:t xml:space="preserve">It should </w:t>
      </w:r>
      <w:r w:rsidR="009F20D9" w:rsidRPr="00646458">
        <w:rPr>
          <w:rFonts w:ascii="Arial" w:eastAsia="Times New Roman" w:hAnsi="Arial" w:cs="Arial"/>
          <w:sz w:val="24"/>
          <w:szCs w:val="24"/>
        </w:rPr>
        <w:t>be 4</w:t>
      </w:r>
      <w:r w:rsidR="000D41CE">
        <w:rPr>
          <w:rFonts w:ascii="Arial" w:eastAsia="Times New Roman" w:hAnsi="Arial" w:cs="Arial"/>
          <w:sz w:val="24"/>
          <w:szCs w:val="24"/>
        </w:rPr>
        <w:t xml:space="preserve"> percent. I</w:t>
      </w:r>
      <w:r w:rsidR="00B8458D">
        <w:rPr>
          <w:rFonts w:ascii="Arial" w:eastAsia="Times New Roman" w:hAnsi="Arial" w:cs="Arial"/>
          <w:sz w:val="24"/>
          <w:szCs w:val="24"/>
        </w:rPr>
        <w:t>t is</w:t>
      </w:r>
      <w:r w:rsidR="009F20D9" w:rsidRPr="00646458">
        <w:rPr>
          <w:rFonts w:ascii="Arial" w:eastAsia="Times New Roman" w:hAnsi="Arial" w:cs="Arial"/>
          <w:sz w:val="24"/>
          <w:szCs w:val="24"/>
        </w:rPr>
        <w:t xml:space="preserve"> not supposed to exceed 4% unless it's for extraordinary services</w:t>
      </w:r>
      <w:r w:rsidR="00B8458D">
        <w:rPr>
          <w:rFonts w:ascii="Arial" w:eastAsia="Times New Roman" w:hAnsi="Arial" w:cs="Arial"/>
          <w:sz w:val="24"/>
          <w:szCs w:val="24"/>
        </w:rPr>
        <w:t xml:space="preserve"> which goes beyond normal service to the beneficiary</w:t>
      </w:r>
      <w:r w:rsidR="00255CEA">
        <w:rPr>
          <w:rFonts w:ascii="Arial" w:eastAsia="Times New Roman" w:hAnsi="Arial" w:cs="Arial"/>
          <w:sz w:val="24"/>
          <w:szCs w:val="24"/>
        </w:rPr>
        <w:t>.</w:t>
      </w:r>
    </w:p>
    <w:bookmarkEnd w:id="4"/>
    <w:p w14:paraId="56F70355" w14:textId="6476C24E" w:rsidR="009F20D9" w:rsidRDefault="009F20D9" w:rsidP="009F20D9">
      <w:pPr>
        <w:spacing w:after="240"/>
        <w:rPr>
          <w:rFonts w:ascii="Arial" w:eastAsia="Times New Roman" w:hAnsi="Arial" w:cs="Arial"/>
          <w:sz w:val="24"/>
          <w:szCs w:val="24"/>
        </w:rPr>
      </w:pPr>
      <w:r w:rsidRPr="00255CEA">
        <w:rPr>
          <w:rFonts w:ascii="Arial" w:eastAsia="Times New Roman" w:hAnsi="Arial" w:cs="Arial"/>
          <w:b/>
          <w:bCs/>
          <w:sz w:val="24"/>
          <w:szCs w:val="24"/>
          <w:u w:val="single"/>
        </w:rPr>
        <w:t>Question 2 Salt Lake City Fiduciary Hub</w:t>
      </w:r>
      <w:r w:rsidR="00255CEA" w:rsidRPr="00255CEA">
        <w:rPr>
          <w:rFonts w:ascii="Arial" w:eastAsia="Times New Roman" w:hAnsi="Arial" w:cs="Arial"/>
          <w:b/>
          <w:bCs/>
          <w:sz w:val="24"/>
          <w:szCs w:val="24"/>
          <w:u w:val="single"/>
        </w:rPr>
        <w:t>:</w:t>
      </w:r>
      <w:r w:rsidR="00255CEA">
        <w:rPr>
          <w:rFonts w:ascii="Arial" w:eastAsia="Times New Roman" w:hAnsi="Arial" w:cs="Arial"/>
          <w:sz w:val="24"/>
          <w:szCs w:val="24"/>
          <w:u w:val="single"/>
        </w:rPr>
        <w:t xml:space="preserve"> </w:t>
      </w:r>
      <w:r>
        <w:rPr>
          <w:rFonts w:ascii="Arial" w:eastAsia="Times New Roman" w:hAnsi="Arial" w:cs="Arial"/>
          <w:sz w:val="24"/>
          <w:szCs w:val="24"/>
        </w:rPr>
        <w:t>I</w:t>
      </w:r>
      <w:r w:rsidRPr="003634AF">
        <w:rPr>
          <w:rFonts w:ascii="Arial" w:eastAsia="Times New Roman" w:hAnsi="Arial" w:cs="Arial"/>
          <w:sz w:val="24"/>
          <w:szCs w:val="24"/>
        </w:rPr>
        <w:t>s there a difference</w:t>
      </w:r>
      <w:r>
        <w:rPr>
          <w:rFonts w:ascii="Arial" w:eastAsia="Times New Roman" w:hAnsi="Arial" w:cs="Arial"/>
          <w:sz w:val="24"/>
          <w:szCs w:val="24"/>
        </w:rPr>
        <w:t xml:space="preserve"> between guardian and conservator based on each state</w:t>
      </w:r>
      <w:r w:rsidRPr="003634AF">
        <w:rPr>
          <w:rFonts w:ascii="Arial" w:eastAsia="Times New Roman" w:hAnsi="Arial" w:cs="Arial"/>
          <w:sz w:val="24"/>
          <w:szCs w:val="24"/>
        </w:rPr>
        <w:t xml:space="preserve">? </w:t>
      </w:r>
    </w:p>
    <w:p w14:paraId="264CCA90" w14:textId="284C3FE5" w:rsidR="009F20D9" w:rsidRDefault="000D41CE" w:rsidP="009F20D9">
      <w:pPr>
        <w:spacing w:after="240"/>
        <w:rPr>
          <w:rFonts w:ascii="Arial" w:eastAsia="Times New Roman" w:hAnsi="Arial" w:cs="Arial"/>
          <w:sz w:val="24"/>
          <w:szCs w:val="24"/>
        </w:rPr>
      </w:pPr>
      <w:r>
        <w:rPr>
          <w:rFonts w:ascii="Arial" w:eastAsia="Times New Roman" w:hAnsi="Arial" w:cs="Arial"/>
          <w:b/>
          <w:bCs/>
          <w:sz w:val="24"/>
          <w:szCs w:val="24"/>
          <w:u w:val="single"/>
        </w:rPr>
        <w:t xml:space="preserve">P&amp;F Service </w:t>
      </w:r>
      <w:r w:rsidR="009F20D9" w:rsidRPr="00255CEA">
        <w:rPr>
          <w:rFonts w:ascii="Arial" w:eastAsia="Times New Roman" w:hAnsi="Arial" w:cs="Arial"/>
          <w:b/>
          <w:bCs/>
          <w:sz w:val="24"/>
          <w:szCs w:val="24"/>
          <w:u w:val="single"/>
        </w:rPr>
        <w:t>Response</w:t>
      </w:r>
      <w:r w:rsidR="00255CEA" w:rsidRPr="00255CEA">
        <w:rPr>
          <w:rFonts w:ascii="Arial" w:eastAsia="Times New Roman" w:hAnsi="Arial" w:cs="Arial"/>
          <w:b/>
          <w:bCs/>
          <w:sz w:val="24"/>
          <w:szCs w:val="24"/>
          <w:u w:val="single"/>
        </w:rPr>
        <w:t>:</w:t>
      </w:r>
      <w:r w:rsidR="00255CEA" w:rsidRPr="00255CEA">
        <w:rPr>
          <w:rFonts w:ascii="Arial" w:eastAsia="Times New Roman" w:hAnsi="Arial" w:cs="Arial"/>
          <w:sz w:val="24"/>
          <w:szCs w:val="24"/>
        </w:rPr>
        <w:t xml:space="preserve">  </w:t>
      </w:r>
      <w:r w:rsidR="009F20D9">
        <w:rPr>
          <w:rFonts w:ascii="Arial" w:eastAsia="Times New Roman" w:hAnsi="Arial" w:cs="Arial"/>
          <w:sz w:val="24"/>
          <w:szCs w:val="24"/>
        </w:rPr>
        <w:t>C</w:t>
      </w:r>
      <w:r w:rsidR="009F20D9" w:rsidRPr="00767841">
        <w:rPr>
          <w:rFonts w:ascii="Arial" w:eastAsia="Times New Roman" w:hAnsi="Arial" w:cs="Arial"/>
          <w:sz w:val="24"/>
          <w:szCs w:val="24"/>
        </w:rPr>
        <w:t>onservat</w:t>
      </w:r>
      <w:r w:rsidR="009F20D9">
        <w:rPr>
          <w:rFonts w:ascii="Arial" w:eastAsia="Times New Roman" w:hAnsi="Arial" w:cs="Arial"/>
          <w:sz w:val="24"/>
          <w:szCs w:val="24"/>
        </w:rPr>
        <w:t xml:space="preserve">or </w:t>
      </w:r>
      <w:r w:rsidR="00255CEA">
        <w:rPr>
          <w:rFonts w:ascii="Arial" w:eastAsia="Times New Roman" w:hAnsi="Arial" w:cs="Arial"/>
          <w:sz w:val="24"/>
          <w:szCs w:val="24"/>
        </w:rPr>
        <w:t>oversees the</w:t>
      </w:r>
      <w:r w:rsidR="009F20D9" w:rsidRPr="00767841">
        <w:rPr>
          <w:rFonts w:ascii="Arial" w:eastAsia="Times New Roman" w:hAnsi="Arial" w:cs="Arial"/>
          <w:sz w:val="24"/>
          <w:szCs w:val="24"/>
        </w:rPr>
        <w:t xml:space="preserve"> estate and </w:t>
      </w:r>
      <w:r w:rsidR="009F20D9">
        <w:rPr>
          <w:rFonts w:ascii="Arial" w:eastAsia="Times New Roman" w:hAnsi="Arial" w:cs="Arial"/>
          <w:sz w:val="24"/>
          <w:szCs w:val="24"/>
        </w:rPr>
        <w:t>G</w:t>
      </w:r>
      <w:r w:rsidR="009F20D9" w:rsidRPr="00767841">
        <w:rPr>
          <w:rFonts w:ascii="Arial" w:eastAsia="Times New Roman" w:hAnsi="Arial" w:cs="Arial"/>
          <w:sz w:val="24"/>
          <w:szCs w:val="24"/>
        </w:rPr>
        <w:t xml:space="preserve">uardian </w:t>
      </w:r>
      <w:r w:rsidR="00255CEA">
        <w:rPr>
          <w:rFonts w:ascii="Arial" w:eastAsia="Times New Roman" w:hAnsi="Arial" w:cs="Arial"/>
          <w:sz w:val="24"/>
          <w:szCs w:val="24"/>
        </w:rPr>
        <w:t xml:space="preserve">oversees the person. </w:t>
      </w:r>
      <w:r w:rsidR="008074A6">
        <w:rPr>
          <w:rFonts w:ascii="Arial" w:eastAsia="Times New Roman" w:hAnsi="Arial" w:cs="Arial"/>
          <w:sz w:val="24"/>
          <w:szCs w:val="24"/>
        </w:rPr>
        <w:t xml:space="preserve">Claims processors </w:t>
      </w:r>
      <w:r w:rsidR="004512E2">
        <w:rPr>
          <w:rFonts w:ascii="Arial" w:eastAsia="Times New Roman" w:hAnsi="Arial" w:cs="Arial"/>
          <w:sz w:val="24"/>
          <w:szCs w:val="24"/>
        </w:rPr>
        <w:t>should</w:t>
      </w:r>
      <w:r w:rsidR="004512E2" w:rsidRPr="00767841">
        <w:rPr>
          <w:rFonts w:ascii="Arial" w:eastAsia="Times New Roman" w:hAnsi="Arial" w:cs="Arial"/>
          <w:sz w:val="24"/>
          <w:szCs w:val="24"/>
        </w:rPr>
        <w:t xml:space="preserve"> </w:t>
      </w:r>
      <w:r w:rsidR="004512E2">
        <w:rPr>
          <w:rFonts w:ascii="Arial" w:eastAsia="Times New Roman" w:hAnsi="Arial" w:cs="Arial"/>
          <w:sz w:val="24"/>
          <w:szCs w:val="24"/>
        </w:rPr>
        <w:t>review</w:t>
      </w:r>
      <w:r w:rsidR="009F20D9" w:rsidRPr="00767841">
        <w:rPr>
          <w:rFonts w:ascii="Arial" w:eastAsia="Times New Roman" w:hAnsi="Arial" w:cs="Arial"/>
          <w:sz w:val="24"/>
          <w:szCs w:val="24"/>
        </w:rPr>
        <w:t xml:space="preserve"> the </w:t>
      </w:r>
      <w:r w:rsidR="00255CEA">
        <w:rPr>
          <w:rFonts w:ascii="Arial" w:eastAsia="Times New Roman" w:hAnsi="Arial" w:cs="Arial"/>
          <w:sz w:val="24"/>
          <w:szCs w:val="24"/>
        </w:rPr>
        <w:t xml:space="preserve">state </w:t>
      </w:r>
      <w:r w:rsidR="00B008C0">
        <w:rPr>
          <w:rFonts w:ascii="Arial" w:eastAsia="Times New Roman" w:hAnsi="Arial" w:cs="Arial"/>
          <w:sz w:val="24"/>
          <w:szCs w:val="24"/>
        </w:rPr>
        <w:t>regulations and the court documents in the eFolder</w:t>
      </w:r>
      <w:r w:rsidR="009F20D9" w:rsidRPr="00767841">
        <w:rPr>
          <w:rFonts w:ascii="Arial" w:eastAsia="Times New Roman" w:hAnsi="Arial" w:cs="Arial"/>
          <w:sz w:val="24"/>
          <w:szCs w:val="24"/>
        </w:rPr>
        <w:t>.</w:t>
      </w:r>
      <w:r w:rsidR="009F20D9">
        <w:rPr>
          <w:rFonts w:ascii="Arial" w:eastAsia="Times New Roman" w:hAnsi="Arial" w:cs="Arial"/>
          <w:sz w:val="24"/>
          <w:szCs w:val="24"/>
        </w:rPr>
        <w:t xml:space="preserve"> </w:t>
      </w:r>
      <w:r w:rsidR="009F20D9" w:rsidRPr="00767841">
        <w:rPr>
          <w:rFonts w:ascii="Arial" w:eastAsia="Times New Roman" w:hAnsi="Arial" w:cs="Arial"/>
          <w:sz w:val="24"/>
          <w:szCs w:val="24"/>
        </w:rPr>
        <w:t xml:space="preserve"> </w:t>
      </w:r>
    </w:p>
    <w:p w14:paraId="14C3A13B" w14:textId="3B09145C" w:rsidR="009F20D9" w:rsidRDefault="009F20D9" w:rsidP="009F20D9">
      <w:pPr>
        <w:spacing w:after="240"/>
        <w:rPr>
          <w:rFonts w:ascii="Arial" w:eastAsia="Times New Roman" w:hAnsi="Arial" w:cs="Arial"/>
          <w:sz w:val="24"/>
          <w:szCs w:val="24"/>
        </w:rPr>
      </w:pPr>
      <w:r w:rsidRPr="00B008C0">
        <w:rPr>
          <w:rFonts w:ascii="Arial" w:eastAsia="Times New Roman" w:hAnsi="Arial" w:cs="Arial"/>
          <w:b/>
          <w:bCs/>
          <w:sz w:val="24"/>
          <w:szCs w:val="24"/>
          <w:u w:val="single"/>
        </w:rPr>
        <w:t>Question 3 Salt Lake Fiduciary Hub</w:t>
      </w:r>
      <w:r w:rsidR="00255CEA">
        <w:rPr>
          <w:rFonts w:ascii="Arial" w:eastAsia="Times New Roman" w:hAnsi="Arial" w:cs="Arial"/>
          <w:sz w:val="24"/>
          <w:szCs w:val="24"/>
          <w:u w:val="single"/>
        </w:rPr>
        <w:t>:</w:t>
      </w:r>
      <w:r w:rsidR="00255CEA" w:rsidRPr="00255CEA">
        <w:rPr>
          <w:rFonts w:ascii="Arial" w:eastAsia="Times New Roman" w:hAnsi="Arial" w:cs="Arial"/>
          <w:sz w:val="24"/>
          <w:szCs w:val="24"/>
        </w:rPr>
        <w:t xml:space="preserve"> </w:t>
      </w:r>
      <w:r>
        <w:rPr>
          <w:rFonts w:ascii="Arial" w:eastAsia="Times New Roman" w:hAnsi="Arial" w:cs="Arial"/>
          <w:sz w:val="24"/>
          <w:szCs w:val="24"/>
        </w:rPr>
        <w:t>Many times</w:t>
      </w:r>
      <w:r w:rsidR="00B008C0">
        <w:rPr>
          <w:rFonts w:ascii="Arial" w:eastAsia="Times New Roman" w:hAnsi="Arial" w:cs="Arial"/>
          <w:sz w:val="24"/>
          <w:szCs w:val="24"/>
        </w:rPr>
        <w:t>,</w:t>
      </w:r>
      <w:r>
        <w:rPr>
          <w:rFonts w:ascii="Arial" w:eastAsia="Times New Roman" w:hAnsi="Arial" w:cs="Arial"/>
          <w:sz w:val="24"/>
          <w:szCs w:val="24"/>
        </w:rPr>
        <w:t xml:space="preserve"> the budget letters are two to three years old.  What is your advice on what we should be looking for in the budget letter for an accounting that we are reviewing for the current year?</w:t>
      </w:r>
    </w:p>
    <w:p w14:paraId="39825DEA" w14:textId="103BECEA" w:rsidR="00B008C0" w:rsidRDefault="000D41CE" w:rsidP="009F20D9">
      <w:pPr>
        <w:spacing w:after="240"/>
        <w:rPr>
          <w:rFonts w:ascii="Arial" w:eastAsia="Times New Roman" w:hAnsi="Arial" w:cs="Arial"/>
          <w:sz w:val="24"/>
          <w:szCs w:val="24"/>
        </w:rPr>
      </w:pPr>
      <w:r>
        <w:rPr>
          <w:rFonts w:ascii="Arial" w:eastAsia="Times New Roman" w:hAnsi="Arial" w:cs="Arial"/>
          <w:b/>
          <w:bCs/>
          <w:sz w:val="24"/>
          <w:szCs w:val="24"/>
          <w:u w:val="single"/>
        </w:rPr>
        <w:t xml:space="preserve">P&amp;F Service </w:t>
      </w:r>
      <w:r w:rsidR="009F20D9" w:rsidRPr="00A81E31">
        <w:rPr>
          <w:rFonts w:ascii="Arial" w:eastAsia="Times New Roman" w:hAnsi="Arial" w:cs="Arial"/>
          <w:b/>
          <w:bCs/>
          <w:sz w:val="24"/>
          <w:szCs w:val="24"/>
          <w:u w:val="single"/>
        </w:rPr>
        <w:t>Response</w:t>
      </w:r>
      <w:r w:rsidR="00B008C0" w:rsidRPr="00A81E31">
        <w:rPr>
          <w:rFonts w:ascii="Arial" w:eastAsia="Times New Roman" w:hAnsi="Arial" w:cs="Arial"/>
          <w:b/>
          <w:bCs/>
          <w:sz w:val="24"/>
          <w:szCs w:val="24"/>
          <w:u w:val="single"/>
        </w:rPr>
        <w:t>:</w:t>
      </w:r>
      <w:r w:rsidR="00B008C0" w:rsidRPr="00A81E31">
        <w:rPr>
          <w:rFonts w:ascii="Arial" w:eastAsia="Times New Roman" w:hAnsi="Arial" w:cs="Arial"/>
          <w:sz w:val="24"/>
          <w:szCs w:val="24"/>
        </w:rPr>
        <w:t xml:space="preserve"> </w:t>
      </w:r>
      <w:r w:rsidR="009F20D9">
        <w:rPr>
          <w:rFonts w:ascii="Arial" w:eastAsia="Times New Roman" w:hAnsi="Arial" w:cs="Arial"/>
          <w:sz w:val="24"/>
          <w:szCs w:val="24"/>
        </w:rPr>
        <w:t>I</w:t>
      </w:r>
      <w:r w:rsidR="009F20D9" w:rsidRPr="0003676B">
        <w:rPr>
          <w:rFonts w:ascii="Arial" w:eastAsia="Times New Roman" w:hAnsi="Arial" w:cs="Arial"/>
          <w:sz w:val="24"/>
          <w:szCs w:val="24"/>
        </w:rPr>
        <w:t>f the initial budget letter</w:t>
      </w:r>
      <w:r w:rsidR="00B008C0">
        <w:rPr>
          <w:rFonts w:ascii="Arial" w:eastAsia="Times New Roman" w:hAnsi="Arial" w:cs="Arial"/>
          <w:sz w:val="24"/>
          <w:szCs w:val="24"/>
        </w:rPr>
        <w:t xml:space="preserve"> indicated </w:t>
      </w:r>
      <w:r w:rsidR="008074A6">
        <w:rPr>
          <w:rFonts w:ascii="Arial" w:eastAsia="Times New Roman" w:hAnsi="Arial" w:cs="Arial"/>
          <w:sz w:val="24"/>
          <w:szCs w:val="24"/>
        </w:rPr>
        <w:t xml:space="preserve">(e.g., </w:t>
      </w:r>
      <w:r w:rsidR="009F20D9" w:rsidRPr="0003676B">
        <w:rPr>
          <w:rFonts w:ascii="Arial" w:eastAsia="Times New Roman" w:hAnsi="Arial" w:cs="Arial"/>
          <w:sz w:val="24"/>
          <w:szCs w:val="24"/>
        </w:rPr>
        <w:t>personal expenses, personal spending, allowance room and board, clothing, grocerie</w:t>
      </w:r>
      <w:r w:rsidR="009F20D9">
        <w:rPr>
          <w:rFonts w:ascii="Arial" w:eastAsia="Times New Roman" w:hAnsi="Arial" w:cs="Arial"/>
          <w:sz w:val="24"/>
          <w:szCs w:val="24"/>
        </w:rPr>
        <w:t>s</w:t>
      </w:r>
      <w:r w:rsidR="00B008C0">
        <w:rPr>
          <w:rFonts w:ascii="Arial" w:eastAsia="Times New Roman" w:hAnsi="Arial" w:cs="Arial"/>
          <w:sz w:val="24"/>
          <w:szCs w:val="24"/>
        </w:rPr>
        <w:t>, etc</w:t>
      </w:r>
      <w:r w:rsidR="009F20D9">
        <w:rPr>
          <w:rFonts w:ascii="Arial" w:eastAsia="Times New Roman" w:hAnsi="Arial" w:cs="Arial"/>
          <w:sz w:val="24"/>
          <w:szCs w:val="24"/>
        </w:rPr>
        <w:t>.</w:t>
      </w:r>
      <w:r w:rsidR="008074A6">
        <w:rPr>
          <w:rFonts w:ascii="Arial" w:eastAsia="Times New Roman" w:hAnsi="Arial" w:cs="Arial"/>
          <w:sz w:val="24"/>
          <w:szCs w:val="24"/>
        </w:rPr>
        <w:t>..)</w:t>
      </w:r>
      <w:r w:rsidR="009F20D9" w:rsidRPr="0003676B">
        <w:rPr>
          <w:rFonts w:ascii="Arial" w:eastAsia="Times New Roman" w:hAnsi="Arial" w:cs="Arial"/>
          <w:sz w:val="24"/>
          <w:szCs w:val="24"/>
        </w:rPr>
        <w:t xml:space="preserve"> </w:t>
      </w:r>
      <w:r>
        <w:rPr>
          <w:rFonts w:ascii="Arial" w:eastAsia="Times New Roman" w:hAnsi="Arial" w:cs="Arial"/>
          <w:sz w:val="24"/>
          <w:szCs w:val="24"/>
        </w:rPr>
        <w:t>w</w:t>
      </w:r>
      <w:r w:rsidR="009F20D9" w:rsidRPr="0003676B">
        <w:rPr>
          <w:rFonts w:ascii="Arial" w:eastAsia="Times New Roman" w:hAnsi="Arial" w:cs="Arial"/>
          <w:sz w:val="24"/>
          <w:szCs w:val="24"/>
        </w:rPr>
        <w:t>e</w:t>
      </w:r>
      <w:r w:rsidR="00B008C0">
        <w:rPr>
          <w:rFonts w:ascii="Arial" w:eastAsia="Times New Roman" w:hAnsi="Arial" w:cs="Arial"/>
          <w:sz w:val="24"/>
          <w:szCs w:val="24"/>
        </w:rPr>
        <w:t xml:space="preserve"> should </w:t>
      </w:r>
      <w:r w:rsidR="009F20D9" w:rsidRPr="0003676B">
        <w:rPr>
          <w:rFonts w:ascii="Arial" w:eastAsia="Times New Roman" w:hAnsi="Arial" w:cs="Arial"/>
          <w:sz w:val="24"/>
          <w:szCs w:val="24"/>
        </w:rPr>
        <w:t>look down the li</w:t>
      </w:r>
      <w:r>
        <w:rPr>
          <w:rFonts w:ascii="Arial" w:eastAsia="Times New Roman" w:hAnsi="Arial" w:cs="Arial"/>
          <w:sz w:val="24"/>
          <w:szCs w:val="24"/>
        </w:rPr>
        <w:t>st</w:t>
      </w:r>
      <w:r w:rsidR="009F20D9" w:rsidRPr="0003676B">
        <w:rPr>
          <w:rFonts w:ascii="Arial" w:eastAsia="Times New Roman" w:hAnsi="Arial" w:cs="Arial"/>
          <w:sz w:val="24"/>
          <w:szCs w:val="24"/>
        </w:rPr>
        <w:t xml:space="preserve"> </w:t>
      </w:r>
      <w:r>
        <w:rPr>
          <w:rFonts w:ascii="Arial" w:eastAsia="Times New Roman" w:hAnsi="Arial" w:cs="Arial"/>
          <w:sz w:val="24"/>
          <w:szCs w:val="24"/>
        </w:rPr>
        <w:t xml:space="preserve">for </w:t>
      </w:r>
      <w:r w:rsidR="00B008C0">
        <w:rPr>
          <w:rFonts w:ascii="Arial" w:eastAsia="Times New Roman" w:hAnsi="Arial" w:cs="Arial"/>
          <w:sz w:val="24"/>
          <w:szCs w:val="24"/>
        </w:rPr>
        <w:t>fluctuations in expenses</w:t>
      </w:r>
      <w:r w:rsidR="008074A6">
        <w:rPr>
          <w:rFonts w:ascii="Arial" w:eastAsia="Times New Roman" w:hAnsi="Arial" w:cs="Arial"/>
          <w:sz w:val="24"/>
          <w:szCs w:val="24"/>
        </w:rPr>
        <w:t xml:space="preserve">. Please be aware, </w:t>
      </w:r>
      <w:r w:rsidR="00B008C0">
        <w:rPr>
          <w:rFonts w:ascii="Arial" w:eastAsia="Times New Roman" w:hAnsi="Arial" w:cs="Arial"/>
          <w:sz w:val="24"/>
          <w:szCs w:val="24"/>
        </w:rPr>
        <w:t xml:space="preserve">there will more than likely be an </w:t>
      </w:r>
      <w:r w:rsidR="009F20D9" w:rsidRPr="0003676B">
        <w:rPr>
          <w:rFonts w:ascii="Arial" w:eastAsia="Times New Roman" w:hAnsi="Arial" w:cs="Arial"/>
          <w:sz w:val="24"/>
          <w:szCs w:val="24"/>
        </w:rPr>
        <w:t>increase over the years due to inflation or cost of living</w:t>
      </w:r>
      <w:r w:rsidR="00B008C0">
        <w:rPr>
          <w:rFonts w:ascii="Arial" w:eastAsia="Times New Roman" w:hAnsi="Arial" w:cs="Arial"/>
          <w:sz w:val="24"/>
          <w:szCs w:val="24"/>
        </w:rPr>
        <w:t xml:space="preserve">. </w:t>
      </w:r>
      <w:r w:rsidR="008074A6">
        <w:rPr>
          <w:rFonts w:ascii="Arial" w:eastAsia="Times New Roman" w:hAnsi="Arial" w:cs="Arial"/>
          <w:sz w:val="24"/>
          <w:szCs w:val="24"/>
        </w:rPr>
        <w:t xml:space="preserve">The claims processor should be </w:t>
      </w:r>
      <w:r w:rsidR="009F20D9" w:rsidRPr="0003676B">
        <w:rPr>
          <w:rFonts w:ascii="Arial" w:eastAsia="Times New Roman" w:hAnsi="Arial" w:cs="Arial"/>
          <w:sz w:val="24"/>
          <w:szCs w:val="24"/>
        </w:rPr>
        <w:t xml:space="preserve">looking for general </w:t>
      </w:r>
      <w:r w:rsidR="009F20D9">
        <w:rPr>
          <w:rFonts w:ascii="Arial" w:eastAsia="Times New Roman" w:hAnsi="Arial" w:cs="Arial"/>
          <w:sz w:val="24"/>
          <w:szCs w:val="24"/>
        </w:rPr>
        <w:t>expenses</w:t>
      </w:r>
      <w:r w:rsidR="009F20D9" w:rsidRPr="0003676B">
        <w:rPr>
          <w:rFonts w:ascii="Arial" w:eastAsia="Times New Roman" w:hAnsi="Arial" w:cs="Arial"/>
          <w:sz w:val="24"/>
          <w:szCs w:val="24"/>
        </w:rPr>
        <w:t xml:space="preserve"> that continue from the budget letter to the </w:t>
      </w:r>
      <w:r w:rsidR="009F20D9">
        <w:rPr>
          <w:rFonts w:ascii="Arial" w:eastAsia="Times New Roman" w:hAnsi="Arial" w:cs="Arial"/>
          <w:sz w:val="24"/>
          <w:szCs w:val="24"/>
        </w:rPr>
        <w:t>ac</w:t>
      </w:r>
      <w:r w:rsidR="009F20D9" w:rsidRPr="0003676B">
        <w:rPr>
          <w:rFonts w:ascii="Arial" w:eastAsia="Times New Roman" w:hAnsi="Arial" w:cs="Arial"/>
          <w:sz w:val="24"/>
          <w:szCs w:val="24"/>
        </w:rPr>
        <w:t>count</w:t>
      </w:r>
      <w:r w:rsidR="009F20D9">
        <w:rPr>
          <w:rFonts w:ascii="Arial" w:eastAsia="Times New Roman" w:hAnsi="Arial" w:cs="Arial"/>
          <w:sz w:val="24"/>
          <w:szCs w:val="24"/>
        </w:rPr>
        <w:t>ing</w:t>
      </w:r>
      <w:r w:rsidR="009F20D9" w:rsidRPr="0003676B">
        <w:rPr>
          <w:rFonts w:ascii="Arial" w:eastAsia="Times New Roman" w:hAnsi="Arial" w:cs="Arial"/>
          <w:sz w:val="24"/>
          <w:szCs w:val="24"/>
        </w:rPr>
        <w:t xml:space="preserve">. </w:t>
      </w:r>
      <w:r w:rsidR="008074A6">
        <w:rPr>
          <w:rFonts w:ascii="Arial" w:eastAsia="Times New Roman" w:hAnsi="Arial" w:cs="Arial"/>
          <w:sz w:val="24"/>
          <w:szCs w:val="24"/>
        </w:rPr>
        <w:t>Please note, t</w:t>
      </w:r>
      <w:r w:rsidR="00B008C0">
        <w:rPr>
          <w:rFonts w:ascii="Arial" w:eastAsia="Times New Roman" w:hAnsi="Arial" w:cs="Arial"/>
          <w:sz w:val="24"/>
          <w:szCs w:val="24"/>
        </w:rPr>
        <w:t xml:space="preserve">here can be some </w:t>
      </w:r>
      <w:r w:rsidR="009F20D9" w:rsidRPr="0003676B">
        <w:rPr>
          <w:rFonts w:ascii="Arial" w:eastAsia="Times New Roman" w:hAnsi="Arial" w:cs="Arial"/>
          <w:sz w:val="24"/>
          <w:szCs w:val="24"/>
        </w:rPr>
        <w:t>different</w:t>
      </w:r>
      <w:r w:rsidR="009F20D9">
        <w:rPr>
          <w:rFonts w:ascii="Arial" w:eastAsia="Times New Roman" w:hAnsi="Arial" w:cs="Arial"/>
          <w:sz w:val="24"/>
          <w:szCs w:val="24"/>
        </w:rPr>
        <w:t xml:space="preserve"> </w:t>
      </w:r>
      <w:r w:rsidR="00B008C0">
        <w:rPr>
          <w:rFonts w:ascii="Arial" w:eastAsia="Times New Roman" w:hAnsi="Arial" w:cs="Arial"/>
          <w:sz w:val="24"/>
          <w:szCs w:val="24"/>
        </w:rPr>
        <w:t xml:space="preserve">items </w:t>
      </w:r>
      <w:r w:rsidR="009F20D9">
        <w:rPr>
          <w:rFonts w:ascii="Arial" w:eastAsia="Times New Roman" w:hAnsi="Arial" w:cs="Arial"/>
          <w:sz w:val="24"/>
          <w:szCs w:val="24"/>
        </w:rPr>
        <w:t xml:space="preserve">such as repairs. </w:t>
      </w:r>
    </w:p>
    <w:p w14:paraId="7BBA3313" w14:textId="343DA83F" w:rsidR="00ED1D5A" w:rsidRDefault="009F20D9" w:rsidP="00465B17">
      <w:pPr>
        <w:spacing w:after="240"/>
        <w:rPr>
          <w:rFonts w:ascii="Arial" w:eastAsia="Times New Roman" w:hAnsi="Arial" w:cs="Arial"/>
          <w:sz w:val="24"/>
          <w:szCs w:val="24"/>
        </w:rPr>
      </w:pPr>
      <w:r>
        <w:rPr>
          <w:rFonts w:ascii="Arial" w:eastAsia="Times New Roman" w:hAnsi="Arial" w:cs="Arial"/>
          <w:sz w:val="24"/>
          <w:szCs w:val="24"/>
        </w:rPr>
        <w:t>For instance, if a c</w:t>
      </w:r>
      <w:r w:rsidRPr="00A75F5A">
        <w:rPr>
          <w:rFonts w:ascii="Arial" w:eastAsia="Times New Roman" w:hAnsi="Arial" w:cs="Arial"/>
          <w:sz w:val="24"/>
          <w:szCs w:val="24"/>
        </w:rPr>
        <w:t>aregiver</w:t>
      </w:r>
      <w:r w:rsidR="00B008C0">
        <w:rPr>
          <w:rFonts w:ascii="Arial" w:eastAsia="Times New Roman" w:hAnsi="Arial" w:cs="Arial"/>
          <w:sz w:val="24"/>
          <w:szCs w:val="24"/>
        </w:rPr>
        <w:t xml:space="preserve"> </w:t>
      </w:r>
      <w:r w:rsidR="008074A6">
        <w:rPr>
          <w:rFonts w:ascii="Arial" w:eastAsia="Times New Roman" w:hAnsi="Arial" w:cs="Arial"/>
          <w:sz w:val="24"/>
          <w:szCs w:val="24"/>
        </w:rPr>
        <w:t xml:space="preserve">is being paid, </w:t>
      </w:r>
      <w:r w:rsidR="00B008C0">
        <w:rPr>
          <w:rFonts w:ascii="Arial" w:eastAsia="Times New Roman" w:hAnsi="Arial" w:cs="Arial"/>
          <w:sz w:val="24"/>
          <w:szCs w:val="24"/>
        </w:rPr>
        <w:t xml:space="preserve">but this was not in the initial budget letter, then this shows that </w:t>
      </w:r>
      <w:r w:rsidRPr="00A75F5A">
        <w:rPr>
          <w:rFonts w:ascii="Arial" w:eastAsia="Times New Roman" w:hAnsi="Arial" w:cs="Arial"/>
          <w:sz w:val="24"/>
          <w:szCs w:val="24"/>
        </w:rPr>
        <w:t xml:space="preserve">the beneficiary </w:t>
      </w:r>
      <w:r w:rsidR="00B008C0">
        <w:rPr>
          <w:rFonts w:ascii="Arial" w:eastAsia="Times New Roman" w:hAnsi="Arial" w:cs="Arial"/>
          <w:sz w:val="24"/>
          <w:szCs w:val="24"/>
        </w:rPr>
        <w:t xml:space="preserve">has additional </w:t>
      </w:r>
      <w:r w:rsidRPr="00A75F5A">
        <w:rPr>
          <w:rFonts w:ascii="Arial" w:eastAsia="Times New Roman" w:hAnsi="Arial" w:cs="Arial"/>
          <w:sz w:val="24"/>
          <w:szCs w:val="24"/>
        </w:rPr>
        <w:t>needs</w:t>
      </w:r>
      <w:r w:rsidR="00B008C0">
        <w:rPr>
          <w:rFonts w:ascii="Arial" w:eastAsia="Times New Roman" w:hAnsi="Arial" w:cs="Arial"/>
          <w:sz w:val="24"/>
          <w:szCs w:val="24"/>
        </w:rPr>
        <w:t xml:space="preserve"> for</w:t>
      </w:r>
      <w:r w:rsidRPr="00A75F5A">
        <w:rPr>
          <w:rFonts w:ascii="Arial" w:eastAsia="Times New Roman" w:hAnsi="Arial" w:cs="Arial"/>
          <w:sz w:val="24"/>
          <w:szCs w:val="24"/>
        </w:rPr>
        <w:t xml:space="preserve"> </w:t>
      </w:r>
      <w:r>
        <w:rPr>
          <w:rFonts w:ascii="Arial" w:eastAsia="Times New Roman" w:hAnsi="Arial" w:cs="Arial"/>
          <w:sz w:val="24"/>
          <w:szCs w:val="24"/>
        </w:rPr>
        <w:t>c</w:t>
      </w:r>
      <w:r w:rsidRPr="00A75F5A">
        <w:rPr>
          <w:rFonts w:ascii="Arial" w:eastAsia="Times New Roman" w:hAnsi="Arial" w:cs="Arial"/>
          <w:sz w:val="24"/>
          <w:szCs w:val="24"/>
        </w:rPr>
        <w:t xml:space="preserve">are. </w:t>
      </w:r>
      <w:r>
        <w:rPr>
          <w:rFonts w:ascii="Arial" w:eastAsia="Times New Roman" w:hAnsi="Arial" w:cs="Arial"/>
          <w:sz w:val="24"/>
          <w:szCs w:val="24"/>
        </w:rPr>
        <w:t xml:space="preserve">You should </w:t>
      </w:r>
      <w:r w:rsidR="00B008C0">
        <w:rPr>
          <w:rFonts w:ascii="Arial" w:eastAsia="Times New Roman" w:hAnsi="Arial" w:cs="Arial"/>
          <w:sz w:val="24"/>
          <w:szCs w:val="24"/>
        </w:rPr>
        <w:t xml:space="preserve">then </w:t>
      </w:r>
      <w:r>
        <w:rPr>
          <w:rFonts w:ascii="Arial" w:eastAsia="Times New Roman" w:hAnsi="Arial" w:cs="Arial"/>
          <w:sz w:val="24"/>
          <w:szCs w:val="24"/>
        </w:rPr>
        <w:t>determine if t</w:t>
      </w:r>
      <w:r w:rsidRPr="00A75F5A">
        <w:rPr>
          <w:rFonts w:ascii="Arial" w:eastAsia="Times New Roman" w:hAnsi="Arial" w:cs="Arial"/>
          <w:sz w:val="24"/>
          <w:szCs w:val="24"/>
        </w:rPr>
        <w:t>he</w:t>
      </w:r>
      <w:r w:rsidR="00B008C0">
        <w:rPr>
          <w:rFonts w:ascii="Arial" w:eastAsia="Times New Roman" w:hAnsi="Arial" w:cs="Arial"/>
          <w:sz w:val="24"/>
          <w:szCs w:val="24"/>
        </w:rPr>
        <w:t xml:space="preserve"> beneficiary is </w:t>
      </w:r>
      <w:r w:rsidRPr="00A75F5A">
        <w:rPr>
          <w:rFonts w:ascii="Arial" w:eastAsia="Times New Roman" w:hAnsi="Arial" w:cs="Arial"/>
          <w:sz w:val="24"/>
          <w:szCs w:val="24"/>
        </w:rPr>
        <w:t>receiving A</w:t>
      </w:r>
      <w:r>
        <w:rPr>
          <w:rFonts w:ascii="Arial" w:eastAsia="Times New Roman" w:hAnsi="Arial" w:cs="Arial"/>
          <w:sz w:val="24"/>
          <w:szCs w:val="24"/>
        </w:rPr>
        <w:t>&amp;A</w:t>
      </w:r>
      <w:r w:rsidR="000D41CE">
        <w:rPr>
          <w:rFonts w:ascii="Arial" w:eastAsia="Times New Roman" w:hAnsi="Arial" w:cs="Arial"/>
          <w:sz w:val="24"/>
          <w:szCs w:val="24"/>
        </w:rPr>
        <w:t xml:space="preserve">. </w:t>
      </w:r>
      <w:r>
        <w:rPr>
          <w:rFonts w:ascii="Arial" w:eastAsia="Times New Roman" w:hAnsi="Arial" w:cs="Arial"/>
          <w:sz w:val="24"/>
          <w:szCs w:val="24"/>
        </w:rPr>
        <w:t>I</w:t>
      </w:r>
      <w:r w:rsidRPr="00A75F5A">
        <w:rPr>
          <w:rFonts w:ascii="Arial" w:eastAsia="Times New Roman" w:hAnsi="Arial" w:cs="Arial"/>
          <w:sz w:val="24"/>
          <w:szCs w:val="24"/>
        </w:rPr>
        <w:t xml:space="preserve">f not, </w:t>
      </w:r>
      <w:r w:rsidR="00B008C0">
        <w:rPr>
          <w:rFonts w:ascii="Arial" w:eastAsia="Times New Roman" w:hAnsi="Arial" w:cs="Arial"/>
          <w:sz w:val="24"/>
          <w:szCs w:val="24"/>
        </w:rPr>
        <w:t>then determine if</w:t>
      </w:r>
      <w:r w:rsidRPr="00A75F5A">
        <w:rPr>
          <w:rFonts w:ascii="Arial" w:eastAsia="Times New Roman" w:hAnsi="Arial" w:cs="Arial"/>
          <w:sz w:val="24"/>
          <w:szCs w:val="24"/>
        </w:rPr>
        <w:t xml:space="preserve"> </w:t>
      </w:r>
      <w:r w:rsidR="000D41CE">
        <w:rPr>
          <w:rFonts w:ascii="Arial" w:eastAsia="Times New Roman" w:hAnsi="Arial" w:cs="Arial"/>
          <w:sz w:val="24"/>
          <w:szCs w:val="24"/>
        </w:rPr>
        <w:t xml:space="preserve">a claim for A&amp;A </w:t>
      </w:r>
      <w:r w:rsidRPr="00A75F5A">
        <w:rPr>
          <w:rFonts w:ascii="Arial" w:eastAsia="Times New Roman" w:hAnsi="Arial" w:cs="Arial"/>
          <w:sz w:val="24"/>
          <w:szCs w:val="24"/>
        </w:rPr>
        <w:t xml:space="preserve">should be </w:t>
      </w:r>
      <w:r w:rsidR="000D41CE">
        <w:rPr>
          <w:rFonts w:ascii="Arial" w:eastAsia="Times New Roman" w:hAnsi="Arial" w:cs="Arial"/>
          <w:sz w:val="24"/>
          <w:szCs w:val="24"/>
        </w:rPr>
        <w:t>submitted</w:t>
      </w:r>
      <w:r w:rsidRPr="00A75F5A">
        <w:rPr>
          <w:rFonts w:ascii="Arial" w:eastAsia="Times New Roman" w:hAnsi="Arial" w:cs="Arial"/>
          <w:sz w:val="24"/>
          <w:szCs w:val="24"/>
        </w:rPr>
        <w:t>.</w:t>
      </w:r>
      <w:r w:rsidR="00B008C0">
        <w:rPr>
          <w:rFonts w:ascii="Arial" w:eastAsia="Times New Roman" w:hAnsi="Arial" w:cs="Arial"/>
          <w:sz w:val="24"/>
          <w:szCs w:val="24"/>
        </w:rPr>
        <w:t xml:space="preserve"> </w:t>
      </w:r>
      <w:r w:rsidR="00B008C0">
        <w:rPr>
          <w:rFonts w:ascii="Arial" w:eastAsia="Times New Roman" w:hAnsi="Arial" w:cs="Arial"/>
          <w:sz w:val="24"/>
          <w:szCs w:val="24"/>
        </w:rPr>
        <w:lastRenderedPageBreak/>
        <w:t>Perhaps the beneficiary is already</w:t>
      </w:r>
      <w:r w:rsidRPr="00A75F5A">
        <w:rPr>
          <w:rFonts w:ascii="Arial" w:eastAsia="Times New Roman" w:hAnsi="Arial" w:cs="Arial"/>
          <w:sz w:val="24"/>
          <w:szCs w:val="24"/>
        </w:rPr>
        <w:t xml:space="preserve"> paying the caregiver. Who are we paying? Are we set up on a on a strict budget or are we just taking the caregiver's word for it? </w:t>
      </w:r>
    </w:p>
    <w:p w14:paraId="7785600F" w14:textId="665EE815" w:rsidR="00465B17" w:rsidRDefault="00465B17" w:rsidP="00465B17">
      <w:pPr>
        <w:spacing w:after="240"/>
        <w:rPr>
          <w:rFonts w:ascii="Arial" w:eastAsia="Times New Roman" w:hAnsi="Arial" w:cs="Arial"/>
          <w:sz w:val="24"/>
          <w:szCs w:val="24"/>
        </w:rPr>
      </w:pPr>
      <w:r w:rsidRPr="0002310E">
        <w:rPr>
          <w:rFonts w:ascii="Arial" w:eastAsia="Times New Roman" w:hAnsi="Arial" w:cs="Arial"/>
          <w:b/>
          <w:bCs/>
          <w:sz w:val="24"/>
          <w:szCs w:val="24"/>
          <w:u w:val="single"/>
        </w:rPr>
        <w:t>Question 4 Louisville Fiduciary Hub:</w:t>
      </w:r>
      <w:r w:rsidRPr="0002310E">
        <w:rPr>
          <w:rFonts w:ascii="Arial" w:eastAsia="Times New Roman" w:hAnsi="Arial" w:cs="Arial"/>
          <w:sz w:val="24"/>
          <w:szCs w:val="24"/>
        </w:rPr>
        <w:t xml:space="preserve"> </w:t>
      </w:r>
      <w:r>
        <w:rPr>
          <w:rFonts w:ascii="Arial" w:eastAsia="Times New Roman" w:hAnsi="Arial" w:cs="Arial"/>
          <w:sz w:val="24"/>
          <w:szCs w:val="24"/>
        </w:rPr>
        <w:t xml:space="preserve">Do you have any suggestions for QRT, if we fight an error based </w:t>
      </w:r>
      <w:proofErr w:type="gramStart"/>
      <w:r>
        <w:rPr>
          <w:rFonts w:ascii="Arial" w:eastAsia="Times New Roman" w:hAnsi="Arial" w:cs="Arial"/>
          <w:sz w:val="24"/>
          <w:szCs w:val="24"/>
        </w:rPr>
        <w:t>off of</w:t>
      </w:r>
      <w:proofErr w:type="gramEnd"/>
      <w:r>
        <w:rPr>
          <w:rFonts w:ascii="Arial" w:eastAsia="Times New Roman" w:hAnsi="Arial" w:cs="Arial"/>
          <w:sz w:val="24"/>
          <w:szCs w:val="24"/>
        </w:rPr>
        <w:t xml:space="preserve"> the information that was just discussed? </w:t>
      </w:r>
      <w:r w:rsidRPr="00D7315C">
        <w:rPr>
          <w:rFonts w:ascii="Arial" w:eastAsia="Times New Roman" w:hAnsi="Arial" w:cs="Arial"/>
          <w:sz w:val="24"/>
          <w:szCs w:val="24"/>
        </w:rPr>
        <w:t xml:space="preserve">If it's returned </w:t>
      </w:r>
      <w:r>
        <w:rPr>
          <w:rFonts w:ascii="Arial" w:eastAsia="Times New Roman" w:hAnsi="Arial" w:cs="Arial"/>
          <w:sz w:val="24"/>
          <w:szCs w:val="24"/>
        </w:rPr>
        <w:t>by H</w:t>
      </w:r>
      <w:r w:rsidRPr="00D7315C">
        <w:rPr>
          <w:rFonts w:ascii="Arial" w:eastAsia="Times New Roman" w:hAnsi="Arial" w:cs="Arial"/>
          <w:sz w:val="24"/>
          <w:szCs w:val="24"/>
        </w:rPr>
        <w:t>igh</w:t>
      </w:r>
      <w:r>
        <w:rPr>
          <w:rFonts w:ascii="Arial" w:eastAsia="Times New Roman" w:hAnsi="Arial" w:cs="Arial"/>
          <w:sz w:val="24"/>
          <w:szCs w:val="24"/>
        </w:rPr>
        <w:t>-L</w:t>
      </w:r>
      <w:r w:rsidRPr="00D7315C">
        <w:rPr>
          <w:rFonts w:ascii="Arial" w:eastAsia="Times New Roman" w:hAnsi="Arial" w:cs="Arial"/>
          <w:sz w:val="24"/>
          <w:szCs w:val="24"/>
        </w:rPr>
        <w:t xml:space="preserve">evel </w:t>
      </w:r>
      <w:r>
        <w:rPr>
          <w:rFonts w:ascii="Arial" w:eastAsia="Times New Roman" w:hAnsi="Arial" w:cs="Arial"/>
          <w:sz w:val="24"/>
          <w:szCs w:val="24"/>
        </w:rPr>
        <w:t>R</w:t>
      </w:r>
      <w:r w:rsidRPr="00D7315C">
        <w:rPr>
          <w:rFonts w:ascii="Arial" w:eastAsia="Times New Roman" w:hAnsi="Arial" w:cs="Arial"/>
          <w:sz w:val="24"/>
          <w:szCs w:val="24"/>
        </w:rPr>
        <w:t xml:space="preserve">eview </w:t>
      </w:r>
      <w:r>
        <w:rPr>
          <w:rFonts w:ascii="Arial" w:eastAsia="Times New Roman" w:hAnsi="Arial" w:cs="Arial"/>
          <w:sz w:val="24"/>
          <w:szCs w:val="24"/>
        </w:rPr>
        <w:t xml:space="preserve">(HLR) </w:t>
      </w:r>
      <w:r w:rsidRPr="00D7315C">
        <w:rPr>
          <w:rFonts w:ascii="Arial" w:eastAsia="Times New Roman" w:hAnsi="Arial" w:cs="Arial"/>
          <w:sz w:val="24"/>
          <w:szCs w:val="24"/>
        </w:rPr>
        <w:t xml:space="preserve">because the </w:t>
      </w:r>
      <w:r>
        <w:rPr>
          <w:rFonts w:ascii="Arial" w:eastAsia="Times New Roman" w:hAnsi="Arial" w:cs="Arial"/>
          <w:sz w:val="24"/>
          <w:szCs w:val="24"/>
        </w:rPr>
        <w:t>H</w:t>
      </w:r>
      <w:r w:rsidRPr="00D7315C">
        <w:rPr>
          <w:rFonts w:ascii="Arial" w:eastAsia="Times New Roman" w:hAnsi="Arial" w:cs="Arial"/>
          <w:sz w:val="24"/>
          <w:szCs w:val="24"/>
        </w:rPr>
        <w:t>igh</w:t>
      </w:r>
      <w:r>
        <w:rPr>
          <w:rFonts w:ascii="Arial" w:eastAsia="Times New Roman" w:hAnsi="Arial" w:cs="Arial"/>
          <w:sz w:val="24"/>
          <w:szCs w:val="24"/>
        </w:rPr>
        <w:t>-L</w:t>
      </w:r>
      <w:r w:rsidRPr="00D7315C">
        <w:rPr>
          <w:rFonts w:ascii="Arial" w:eastAsia="Times New Roman" w:hAnsi="Arial" w:cs="Arial"/>
          <w:sz w:val="24"/>
          <w:szCs w:val="24"/>
        </w:rPr>
        <w:t xml:space="preserve">evel </w:t>
      </w:r>
      <w:r>
        <w:rPr>
          <w:rFonts w:ascii="Arial" w:eastAsia="Times New Roman" w:hAnsi="Arial" w:cs="Arial"/>
          <w:sz w:val="24"/>
          <w:szCs w:val="24"/>
        </w:rPr>
        <w:t>R</w:t>
      </w:r>
      <w:r w:rsidRPr="00D7315C">
        <w:rPr>
          <w:rFonts w:ascii="Arial" w:eastAsia="Times New Roman" w:hAnsi="Arial" w:cs="Arial"/>
          <w:sz w:val="24"/>
          <w:szCs w:val="24"/>
        </w:rPr>
        <w:t xml:space="preserve">eview process doesn't agree with the error that was called </w:t>
      </w:r>
      <w:r>
        <w:rPr>
          <w:rFonts w:ascii="Arial" w:eastAsia="Times New Roman" w:hAnsi="Arial" w:cs="Arial"/>
          <w:sz w:val="24"/>
          <w:szCs w:val="24"/>
        </w:rPr>
        <w:t>by</w:t>
      </w:r>
      <w:r w:rsidRPr="00D7315C">
        <w:rPr>
          <w:rFonts w:ascii="Arial" w:eastAsia="Times New Roman" w:hAnsi="Arial" w:cs="Arial"/>
          <w:sz w:val="24"/>
          <w:szCs w:val="24"/>
        </w:rPr>
        <w:t xml:space="preserve"> QRT</w:t>
      </w:r>
      <w:r w:rsidR="0002310E">
        <w:rPr>
          <w:rFonts w:ascii="Arial" w:eastAsia="Times New Roman" w:hAnsi="Arial" w:cs="Arial"/>
          <w:sz w:val="24"/>
          <w:szCs w:val="24"/>
        </w:rPr>
        <w:t>;</w:t>
      </w:r>
      <w:r w:rsidRPr="00D7315C">
        <w:rPr>
          <w:rFonts w:ascii="Arial" w:eastAsia="Times New Roman" w:hAnsi="Arial" w:cs="Arial"/>
          <w:sz w:val="24"/>
          <w:szCs w:val="24"/>
        </w:rPr>
        <w:t xml:space="preserve"> do you suggest that QRT document the </w:t>
      </w:r>
      <w:r w:rsidR="0002310E">
        <w:rPr>
          <w:rFonts w:ascii="Arial" w:eastAsia="Times New Roman" w:hAnsi="Arial" w:cs="Arial"/>
          <w:sz w:val="24"/>
          <w:szCs w:val="24"/>
        </w:rPr>
        <w:t>eF</w:t>
      </w:r>
      <w:r w:rsidRPr="00D7315C">
        <w:rPr>
          <w:rFonts w:ascii="Arial" w:eastAsia="Times New Roman" w:hAnsi="Arial" w:cs="Arial"/>
          <w:sz w:val="24"/>
          <w:szCs w:val="24"/>
        </w:rPr>
        <w:t xml:space="preserve">older or </w:t>
      </w:r>
      <w:proofErr w:type="gramStart"/>
      <w:r w:rsidRPr="00D7315C">
        <w:rPr>
          <w:rFonts w:ascii="Arial" w:eastAsia="Times New Roman" w:hAnsi="Arial" w:cs="Arial"/>
          <w:sz w:val="24"/>
          <w:szCs w:val="24"/>
        </w:rPr>
        <w:t>do</w:t>
      </w:r>
      <w:proofErr w:type="gramEnd"/>
      <w:r w:rsidRPr="00D7315C">
        <w:rPr>
          <w:rFonts w:ascii="Arial" w:eastAsia="Times New Roman" w:hAnsi="Arial" w:cs="Arial"/>
          <w:sz w:val="24"/>
          <w:szCs w:val="24"/>
        </w:rPr>
        <w:t xml:space="preserve"> we document it in our quality review that we have requested that this information be questioned to the fiduciary</w:t>
      </w:r>
      <w:r w:rsidR="000D41CE">
        <w:rPr>
          <w:rFonts w:ascii="Arial" w:eastAsia="Times New Roman" w:hAnsi="Arial" w:cs="Arial"/>
          <w:sz w:val="24"/>
          <w:szCs w:val="24"/>
        </w:rPr>
        <w:t>?</w:t>
      </w:r>
    </w:p>
    <w:p w14:paraId="1FC7FC44" w14:textId="2EFCE584" w:rsidR="00465B17" w:rsidRDefault="000D41CE" w:rsidP="00465B17">
      <w:pPr>
        <w:spacing w:after="240"/>
        <w:rPr>
          <w:rFonts w:ascii="Arial" w:eastAsia="Times New Roman" w:hAnsi="Arial" w:cs="Arial"/>
          <w:sz w:val="24"/>
          <w:szCs w:val="24"/>
        </w:rPr>
      </w:pPr>
      <w:r>
        <w:rPr>
          <w:rFonts w:ascii="Arial" w:eastAsia="Times New Roman" w:hAnsi="Arial" w:cs="Arial"/>
          <w:b/>
          <w:bCs/>
          <w:sz w:val="24"/>
          <w:szCs w:val="24"/>
          <w:u w:val="single"/>
        </w:rPr>
        <w:t xml:space="preserve">P&amp;F Service </w:t>
      </w:r>
      <w:r w:rsidR="00465B17" w:rsidRPr="0002310E">
        <w:rPr>
          <w:rFonts w:ascii="Arial" w:eastAsia="Times New Roman" w:hAnsi="Arial" w:cs="Arial"/>
          <w:b/>
          <w:bCs/>
          <w:sz w:val="24"/>
          <w:szCs w:val="24"/>
          <w:u w:val="single"/>
        </w:rPr>
        <w:t>Response</w:t>
      </w:r>
      <w:r w:rsidR="0002310E" w:rsidRPr="0002310E">
        <w:rPr>
          <w:rFonts w:ascii="Arial" w:eastAsia="Times New Roman" w:hAnsi="Arial" w:cs="Arial"/>
          <w:b/>
          <w:bCs/>
          <w:sz w:val="24"/>
          <w:szCs w:val="24"/>
          <w:u w:val="single"/>
        </w:rPr>
        <w:t>:</w:t>
      </w:r>
      <w:r w:rsidR="0002310E" w:rsidRPr="0002310E">
        <w:rPr>
          <w:rFonts w:ascii="Arial" w:eastAsia="Times New Roman" w:hAnsi="Arial" w:cs="Arial"/>
          <w:sz w:val="24"/>
          <w:szCs w:val="24"/>
        </w:rPr>
        <w:t xml:space="preserve"> </w:t>
      </w:r>
      <w:r w:rsidR="0080005F">
        <w:rPr>
          <w:rFonts w:ascii="Arial" w:eastAsia="Times New Roman" w:hAnsi="Arial" w:cs="Arial"/>
          <w:sz w:val="24"/>
          <w:szCs w:val="24"/>
        </w:rPr>
        <w:t xml:space="preserve">QRT specialist must document it in their quality reviews, as these are internal documents. </w:t>
      </w:r>
    </w:p>
    <w:tbl>
      <w:tblPr>
        <w:tblStyle w:val="GridTable1Light"/>
        <w:tblW w:w="47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7741"/>
        <w:gridCol w:w="809"/>
        <w:gridCol w:w="1065"/>
      </w:tblGrid>
      <w:tr w:rsidR="00D60069" w:rsidRPr="00D60069" w14:paraId="49935D0D" w14:textId="77777777" w:rsidTr="00694C08">
        <w:trPr>
          <w:trHeight w:val="552"/>
          <w:tblHeader/>
        </w:trPr>
        <w:tc>
          <w:tcPr>
            <w:tcW w:w="7741" w:type="dxa"/>
            <w:vAlign w:val="bottom"/>
          </w:tcPr>
          <w:p w14:paraId="134351F4" w14:textId="77777777" w:rsidR="00D60069" w:rsidRPr="005537F7" w:rsidRDefault="005537F7" w:rsidP="00284200">
            <w:pPr>
              <w:pStyle w:val="Heading2"/>
              <w:spacing w:after="80"/>
              <w:outlineLvl w:val="1"/>
              <w:rPr>
                <w:sz w:val="24"/>
                <w:szCs w:val="24"/>
              </w:rPr>
            </w:pPr>
            <w:r w:rsidRPr="005537F7">
              <w:rPr>
                <w:sz w:val="24"/>
                <w:szCs w:val="24"/>
              </w:rPr>
              <w:t>Refer</w:t>
            </w:r>
            <w:r>
              <w:rPr>
                <w:sz w:val="24"/>
                <w:szCs w:val="24"/>
              </w:rPr>
              <w:t>e</w:t>
            </w:r>
            <w:r w:rsidRPr="005537F7">
              <w:rPr>
                <w:sz w:val="24"/>
                <w:szCs w:val="24"/>
              </w:rPr>
              <w:t>nces/Contacts</w:t>
            </w:r>
          </w:p>
        </w:tc>
        <w:tc>
          <w:tcPr>
            <w:tcW w:w="809" w:type="dxa"/>
            <w:vAlign w:val="bottom"/>
          </w:tcPr>
          <w:p w14:paraId="18ABAA87" w14:textId="77777777" w:rsidR="00D60069" w:rsidRPr="00D60069" w:rsidRDefault="00D60069" w:rsidP="00284200">
            <w:pPr>
              <w:pStyle w:val="Heading2"/>
              <w:spacing w:after="80"/>
              <w:outlineLvl w:val="1"/>
            </w:pPr>
          </w:p>
        </w:tc>
        <w:tc>
          <w:tcPr>
            <w:tcW w:w="1065" w:type="dxa"/>
            <w:vAlign w:val="bottom"/>
          </w:tcPr>
          <w:p w14:paraId="0CB9A8F4" w14:textId="77777777" w:rsidR="00D60069" w:rsidRPr="00D60069" w:rsidRDefault="00D60069" w:rsidP="00284200">
            <w:pPr>
              <w:pStyle w:val="Heading2"/>
              <w:spacing w:after="80"/>
              <w:outlineLvl w:val="1"/>
            </w:pPr>
          </w:p>
        </w:tc>
      </w:tr>
      <w:tr w:rsidR="00F31E9F" w:rsidRPr="00D60069" w14:paraId="31F3A696" w14:textId="77777777" w:rsidTr="00694C08">
        <w:trPr>
          <w:trHeight w:val="552"/>
        </w:trPr>
        <w:tc>
          <w:tcPr>
            <w:tcW w:w="7741" w:type="dxa"/>
          </w:tcPr>
          <w:p w14:paraId="35658F58" w14:textId="06EC0893" w:rsidR="00F31E9F" w:rsidRPr="00E54C1A" w:rsidRDefault="00000000" w:rsidP="00F31E9F">
            <w:pPr>
              <w:pStyle w:val="ListBullet"/>
              <w:spacing w:before="0"/>
              <w:rPr>
                <w:sz w:val="24"/>
                <w:szCs w:val="24"/>
              </w:rPr>
            </w:pPr>
            <w:hyperlink r:id="rId14" w:history="1">
              <w:r w:rsidR="003A340E" w:rsidRPr="00694C08">
                <w:rPr>
                  <w:rStyle w:val="Hyperlink"/>
                  <w:sz w:val="24"/>
                  <w:szCs w:val="24"/>
                </w:rPr>
                <w:t>FPM, Part I, Chapter 3, Section A - Accounting Process and Requirements</w:t>
              </w:r>
            </w:hyperlink>
          </w:p>
        </w:tc>
        <w:tc>
          <w:tcPr>
            <w:tcW w:w="809" w:type="dxa"/>
          </w:tcPr>
          <w:p w14:paraId="1438F1B9" w14:textId="6B29254D" w:rsidR="00F31E9F" w:rsidRPr="00F31E9F" w:rsidRDefault="00F31E9F" w:rsidP="003A340E">
            <w:pPr>
              <w:spacing w:before="0"/>
              <w:rPr>
                <w:sz w:val="24"/>
                <w:szCs w:val="24"/>
              </w:rPr>
            </w:pPr>
          </w:p>
        </w:tc>
        <w:tc>
          <w:tcPr>
            <w:tcW w:w="1065" w:type="dxa"/>
          </w:tcPr>
          <w:p w14:paraId="679DF602" w14:textId="77777777" w:rsidR="00F31E9F" w:rsidRPr="00D60069" w:rsidRDefault="00F31E9F" w:rsidP="00F31E9F">
            <w:pPr>
              <w:spacing w:after="80"/>
            </w:pPr>
          </w:p>
        </w:tc>
      </w:tr>
    </w:tbl>
    <w:p w14:paraId="18CADD55" w14:textId="3999B695" w:rsidR="00F15EBC" w:rsidRDefault="00F15EBC"/>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620"/>
        <w:gridCol w:w="4970"/>
        <w:gridCol w:w="1324"/>
        <w:gridCol w:w="2310"/>
      </w:tblGrid>
      <w:tr w:rsidR="00F15EBC" w:rsidRPr="00D60069" w14:paraId="1C51ADAB" w14:textId="77777777" w:rsidTr="003A3841">
        <w:tc>
          <w:tcPr>
            <w:tcW w:w="1620" w:type="dxa"/>
          </w:tcPr>
          <w:p w14:paraId="12626D14" w14:textId="77777777" w:rsidR="00F15EBC" w:rsidRPr="00075FC0" w:rsidRDefault="00000000" w:rsidP="003A3841">
            <w:pPr>
              <w:pStyle w:val="Heading2"/>
              <w:rPr>
                <w:color w:val="8064A2" w:themeColor="accent4"/>
              </w:rPr>
            </w:pPr>
            <w:sdt>
              <w:sdtPr>
                <w:rPr>
                  <w:color w:val="8064A2" w:themeColor="accent4"/>
                </w:rPr>
                <w:id w:val="1322472255"/>
                <w:placeholder>
                  <w:docPart w:val="63F8F156A0BA49FD94B529EB45F4DDD9"/>
                </w:placeholder>
                <w:temporary/>
                <w:showingPlcHdr/>
                <w15:appearance w15:val="hidden"/>
              </w:sdtPr>
              <w:sdtContent>
                <w:r w:rsidR="00F15EBC" w:rsidRPr="00075FC0">
                  <w:rPr>
                    <w:color w:val="8064A2" w:themeColor="accent4"/>
                    <w:sz w:val="24"/>
                    <w:szCs w:val="24"/>
                  </w:rPr>
                  <w:t>Agenda item:</w:t>
                </w:r>
              </w:sdtContent>
            </w:sdt>
          </w:p>
        </w:tc>
        <w:tc>
          <w:tcPr>
            <w:tcW w:w="4970" w:type="dxa"/>
          </w:tcPr>
          <w:p w14:paraId="64FF6032" w14:textId="5551F1CC" w:rsidR="00F15EBC" w:rsidRPr="007E4418" w:rsidRDefault="00012B79" w:rsidP="003A3841">
            <w:pPr>
              <w:rPr>
                <w:color w:val="8064A2" w:themeColor="accent4"/>
                <w:sz w:val="24"/>
                <w:szCs w:val="24"/>
              </w:rPr>
            </w:pPr>
            <w:bookmarkStart w:id="5" w:name="FOUR_"/>
            <w:bookmarkEnd w:id="5"/>
            <w:r>
              <w:rPr>
                <w:rFonts w:asciiTheme="majorHAnsi" w:eastAsiaTheme="majorEastAsia" w:hAnsiTheme="majorHAnsi" w:cs="Arial"/>
                <w:bCs/>
                <w:iCs/>
                <w:color w:val="8064A2" w:themeColor="accent4"/>
                <w:sz w:val="24"/>
                <w:szCs w:val="24"/>
              </w:rPr>
              <w:t>Interactive Discussions</w:t>
            </w:r>
            <w:r w:rsidR="007709C3">
              <w:rPr>
                <w:rFonts w:asciiTheme="majorHAnsi" w:eastAsiaTheme="majorEastAsia" w:hAnsiTheme="majorHAnsi" w:cs="Arial"/>
                <w:bCs/>
                <w:iCs/>
                <w:color w:val="8064A2" w:themeColor="accent4"/>
                <w:sz w:val="24"/>
                <w:szCs w:val="24"/>
              </w:rPr>
              <w:t xml:space="preserve"> Customer Service/Phones and FUR</w:t>
            </w:r>
          </w:p>
        </w:tc>
        <w:tc>
          <w:tcPr>
            <w:tcW w:w="1324" w:type="dxa"/>
          </w:tcPr>
          <w:p w14:paraId="341A4664" w14:textId="77777777" w:rsidR="00F15EBC" w:rsidRPr="00075FC0" w:rsidRDefault="00000000" w:rsidP="003A3841">
            <w:pPr>
              <w:pStyle w:val="Heading2"/>
              <w:rPr>
                <w:color w:val="8064A2" w:themeColor="accent4"/>
              </w:rPr>
            </w:pPr>
            <w:sdt>
              <w:sdtPr>
                <w:rPr>
                  <w:color w:val="8064A2" w:themeColor="accent4"/>
                </w:rPr>
                <w:id w:val="-295382365"/>
                <w:placeholder>
                  <w:docPart w:val="B9AD265B8BA14DF9BFC87494C85D00AA"/>
                </w:placeholder>
                <w:temporary/>
                <w:showingPlcHdr/>
                <w15:appearance w15:val="hidden"/>
              </w:sdtPr>
              <w:sdtContent>
                <w:r w:rsidR="00F15EBC" w:rsidRPr="00075FC0">
                  <w:rPr>
                    <w:color w:val="8064A2" w:themeColor="accent4"/>
                    <w:sz w:val="24"/>
                    <w:szCs w:val="24"/>
                  </w:rPr>
                  <w:t>Presenter:</w:t>
                </w:r>
              </w:sdtContent>
            </w:sdt>
          </w:p>
        </w:tc>
        <w:tc>
          <w:tcPr>
            <w:tcW w:w="2310" w:type="dxa"/>
          </w:tcPr>
          <w:p w14:paraId="6F0B3734" w14:textId="67CDFD67" w:rsidR="00F15EBC" w:rsidRPr="007E4418" w:rsidRDefault="00012B79" w:rsidP="003A3841">
            <w:pPr>
              <w:rPr>
                <w:color w:val="8064A2" w:themeColor="accent4"/>
                <w:sz w:val="24"/>
                <w:szCs w:val="24"/>
              </w:rPr>
            </w:pPr>
            <w:r>
              <w:rPr>
                <w:color w:val="8064A2" w:themeColor="accent4"/>
                <w:sz w:val="24"/>
                <w:szCs w:val="24"/>
              </w:rPr>
              <w:t>Sandy Lundquist, Analyst</w:t>
            </w:r>
          </w:p>
        </w:tc>
      </w:tr>
    </w:tbl>
    <w:p w14:paraId="048042A1" w14:textId="77777777" w:rsidR="00F15EBC" w:rsidRPr="00075FC0" w:rsidRDefault="00F15EBC" w:rsidP="00F15EBC">
      <w:pPr>
        <w:pStyle w:val="Heading4"/>
        <w:rPr>
          <w:color w:val="548DD4" w:themeColor="text2" w:themeTint="99"/>
          <w:sz w:val="24"/>
          <w:szCs w:val="24"/>
        </w:rPr>
      </w:pPr>
      <w:r w:rsidRPr="00075FC0">
        <w:rPr>
          <w:color w:val="548DD4" w:themeColor="text2" w:themeTint="99"/>
          <w:sz w:val="24"/>
          <w:szCs w:val="24"/>
        </w:rPr>
        <w:t>Target Audience:</w:t>
      </w:r>
    </w:p>
    <w:p w14:paraId="5011D59D" w14:textId="77777777" w:rsidR="00012B79" w:rsidRPr="004C6763" w:rsidRDefault="00012B79" w:rsidP="00012B79">
      <w:pPr>
        <w:rPr>
          <w:color w:val="4F81BD" w:themeColor="accent1"/>
          <w:sz w:val="24"/>
          <w:szCs w:val="24"/>
        </w:rPr>
      </w:pPr>
      <w:r>
        <w:rPr>
          <w:color w:val="4F81BD" w:themeColor="accent1"/>
          <w:sz w:val="24"/>
          <w:szCs w:val="24"/>
        </w:rPr>
        <w:t>Quality Review Team (QRT) Program Specialists and Coaches/Assistant Coaches</w:t>
      </w:r>
    </w:p>
    <w:p w14:paraId="676921DB" w14:textId="77777777" w:rsidR="00F15EBC" w:rsidRPr="005537F7" w:rsidRDefault="00F15EBC" w:rsidP="00F15EBC">
      <w:pPr>
        <w:pStyle w:val="Heading4"/>
        <w:rPr>
          <w:sz w:val="24"/>
          <w:szCs w:val="24"/>
        </w:rPr>
      </w:pPr>
      <w:r w:rsidRPr="005537F7">
        <w:rPr>
          <w:sz w:val="24"/>
          <w:szCs w:val="24"/>
        </w:rPr>
        <w:t>Discussion:</w:t>
      </w:r>
    </w:p>
    <w:p w14:paraId="21F7D763" w14:textId="4D9F8E2A" w:rsidR="00012B79" w:rsidRDefault="00012B79" w:rsidP="00012B79">
      <w:pPr>
        <w:rPr>
          <w:sz w:val="24"/>
          <w:szCs w:val="24"/>
        </w:rPr>
      </w:pPr>
      <w:proofErr w:type="gramStart"/>
      <w:r>
        <w:rPr>
          <w:sz w:val="24"/>
          <w:szCs w:val="24"/>
        </w:rPr>
        <w:t>In an effort to</w:t>
      </w:r>
      <w:proofErr w:type="gramEnd"/>
      <w:r>
        <w:rPr>
          <w:sz w:val="24"/>
          <w:szCs w:val="24"/>
        </w:rPr>
        <w:t xml:space="preserve"> engage the hubs in determining some best practices while performing local quality reviews, P&amp;F Service </w:t>
      </w:r>
      <w:r w:rsidR="00465B17">
        <w:rPr>
          <w:sz w:val="24"/>
          <w:szCs w:val="24"/>
        </w:rPr>
        <w:t>did</w:t>
      </w:r>
      <w:r>
        <w:rPr>
          <w:sz w:val="24"/>
          <w:szCs w:val="24"/>
        </w:rPr>
        <w:t xml:space="preserve"> host and facilitate</w:t>
      </w:r>
      <w:r w:rsidR="00465B17">
        <w:rPr>
          <w:sz w:val="24"/>
          <w:szCs w:val="24"/>
        </w:rPr>
        <w:t>d</w:t>
      </w:r>
      <w:r>
        <w:rPr>
          <w:sz w:val="24"/>
          <w:szCs w:val="24"/>
        </w:rPr>
        <w:t xml:space="preserve"> an Interactive Discussion </w:t>
      </w:r>
      <w:r w:rsidR="00465B17">
        <w:rPr>
          <w:sz w:val="24"/>
          <w:szCs w:val="24"/>
        </w:rPr>
        <w:t xml:space="preserve">during the call. </w:t>
      </w:r>
      <w:r w:rsidR="0002310E">
        <w:rPr>
          <w:sz w:val="24"/>
          <w:szCs w:val="24"/>
        </w:rPr>
        <w:t>The Interactive Discussion focused on reviews of Customer Service while on the phones and IQR on Fund Usage Reviews. The discussion ended with the hubs sharing their best practices for reviewing Customer Service on the phones and IQR for Fund Usage Reviews.</w:t>
      </w:r>
    </w:p>
    <w:p w14:paraId="6829D487" w14:textId="27CB2985" w:rsidR="00F15EBC" w:rsidRDefault="00F15EBC"/>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620"/>
        <w:gridCol w:w="4970"/>
        <w:gridCol w:w="1324"/>
        <w:gridCol w:w="2310"/>
      </w:tblGrid>
      <w:tr w:rsidR="00F15EBC" w:rsidRPr="00D60069" w14:paraId="4D92852C" w14:textId="77777777" w:rsidTr="003A3841">
        <w:tc>
          <w:tcPr>
            <w:tcW w:w="1620" w:type="dxa"/>
          </w:tcPr>
          <w:p w14:paraId="5448B89B" w14:textId="77777777" w:rsidR="00F15EBC" w:rsidRPr="00075FC0" w:rsidRDefault="00000000" w:rsidP="003A3841">
            <w:pPr>
              <w:pStyle w:val="Heading2"/>
              <w:rPr>
                <w:color w:val="8064A2" w:themeColor="accent4"/>
              </w:rPr>
            </w:pPr>
            <w:sdt>
              <w:sdtPr>
                <w:rPr>
                  <w:color w:val="8064A2" w:themeColor="accent4"/>
                </w:rPr>
                <w:id w:val="1118797329"/>
                <w:placeholder>
                  <w:docPart w:val="D2F682D7EEDC4D41BE88C703B1C57A15"/>
                </w:placeholder>
                <w:temporary/>
                <w:showingPlcHdr/>
                <w15:appearance w15:val="hidden"/>
              </w:sdtPr>
              <w:sdtContent>
                <w:r w:rsidR="00F15EBC" w:rsidRPr="00075FC0">
                  <w:rPr>
                    <w:color w:val="8064A2" w:themeColor="accent4"/>
                    <w:sz w:val="24"/>
                    <w:szCs w:val="24"/>
                  </w:rPr>
                  <w:t>Agenda item:</w:t>
                </w:r>
              </w:sdtContent>
            </w:sdt>
          </w:p>
        </w:tc>
        <w:tc>
          <w:tcPr>
            <w:tcW w:w="4970" w:type="dxa"/>
          </w:tcPr>
          <w:p w14:paraId="04DEEAF4" w14:textId="1D0B7241" w:rsidR="00F15EBC" w:rsidRPr="007E4418" w:rsidRDefault="00012B79" w:rsidP="003A3841">
            <w:pPr>
              <w:rPr>
                <w:color w:val="8064A2" w:themeColor="accent4"/>
                <w:sz w:val="24"/>
                <w:szCs w:val="24"/>
              </w:rPr>
            </w:pPr>
            <w:r w:rsidRPr="00012B79">
              <w:rPr>
                <w:color w:val="8064A2" w:themeColor="accent4"/>
                <w:sz w:val="24"/>
                <w:szCs w:val="24"/>
              </w:rPr>
              <w:t>VBMS Beneficiary Record Maintenance Training</w:t>
            </w:r>
            <w:bookmarkStart w:id="6" w:name="FIVE_"/>
            <w:bookmarkEnd w:id="6"/>
          </w:p>
        </w:tc>
        <w:tc>
          <w:tcPr>
            <w:tcW w:w="1324" w:type="dxa"/>
          </w:tcPr>
          <w:p w14:paraId="76E8418B" w14:textId="77777777" w:rsidR="00F15EBC" w:rsidRPr="00075FC0" w:rsidRDefault="00000000" w:rsidP="003A3841">
            <w:pPr>
              <w:pStyle w:val="Heading2"/>
              <w:rPr>
                <w:color w:val="8064A2" w:themeColor="accent4"/>
              </w:rPr>
            </w:pPr>
            <w:sdt>
              <w:sdtPr>
                <w:rPr>
                  <w:color w:val="8064A2" w:themeColor="accent4"/>
                </w:rPr>
                <w:id w:val="-1581064733"/>
                <w:placeholder>
                  <w:docPart w:val="3220624657EA4639A46999FC96D43AE9"/>
                </w:placeholder>
                <w:temporary/>
                <w:showingPlcHdr/>
                <w15:appearance w15:val="hidden"/>
              </w:sdtPr>
              <w:sdtContent>
                <w:r w:rsidR="00F15EBC" w:rsidRPr="00075FC0">
                  <w:rPr>
                    <w:color w:val="8064A2" w:themeColor="accent4"/>
                    <w:sz w:val="24"/>
                    <w:szCs w:val="24"/>
                  </w:rPr>
                  <w:t>Presenter:</w:t>
                </w:r>
              </w:sdtContent>
            </w:sdt>
          </w:p>
        </w:tc>
        <w:tc>
          <w:tcPr>
            <w:tcW w:w="2310" w:type="dxa"/>
          </w:tcPr>
          <w:p w14:paraId="47276676" w14:textId="040F57D2" w:rsidR="00F15EBC" w:rsidRPr="007E4418" w:rsidRDefault="00012B79" w:rsidP="003A3841">
            <w:pPr>
              <w:rPr>
                <w:color w:val="8064A2" w:themeColor="accent4"/>
                <w:sz w:val="24"/>
                <w:szCs w:val="24"/>
              </w:rPr>
            </w:pPr>
            <w:r>
              <w:rPr>
                <w:color w:val="8064A2" w:themeColor="accent4"/>
                <w:sz w:val="24"/>
                <w:szCs w:val="24"/>
              </w:rPr>
              <w:t>David Gunnell, Analyst</w:t>
            </w:r>
          </w:p>
        </w:tc>
      </w:tr>
    </w:tbl>
    <w:p w14:paraId="090BCDB1" w14:textId="77777777" w:rsidR="00F15EBC" w:rsidRPr="00075FC0" w:rsidRDefault="00F15EBC" w:rsidP="00F15EBC">
      <w:pPr>
        <w:pStyle w:val="Heading4"/>
        <w:rPr>
          <w:color w:val="548DD4" w:themeColor="text2" w:themeTint="99"/>
          <w:sz w:val="24"/>
          <w:szCs w:val="24"/>
        </w:rPr>
      </w:pPr>
      <w:r w:rsidRPr="00075FC0">
        <w:rPr>
          <w:color w:val="548DD4" w:themeColor="text2" w:themeTint="99"/>
          <w:sz w:val="24"/>
          <w:szCs w:val="24"/>
        </w:rPr>
        <w:t>Target Audience:</w:t>
      </w:r>
    </w:p>
    <w:p w14:paraId="48D9832A" w14:textId="77777777" w:rsidR="00012B79" w:rsidRPr="004C6763" w:rsidRDefault="00012B79" w:rsidP="00012B79">
      <w:pPr>
        <w:rPr>
          <w:color w:val="4F81BD" w:themeColor="accent1"/>
          <w:sz w:val="24"/>
          <w:szCs w:val="24"/>
        </w:rPr>
      </w:pPr>
      <w:r>
        <w:rPr>
          <w:color w:val="4F81BD" w:themeColor="accent1"/>
          <w:sz w:val="24"/>
          <w:szCs w:val="24"/>
        </w:rPr>
        <w:t>Quality Review Team (QRT) Program Specialists and Coaches/Assistant Coaches</w:t>
      </w:r>
    </w:p>
    <w:p w14:paraId="0F3545B1" w14:textId="77777777" w:rsidR="00F15EBC" w:rsidRPr="005537F7" w:rsidRDefault="00F15EBC" w:rsidP="00F15EBC">
      <w:pPr>
        <w:pStyle w:val="Heading4"/>
        <w:rPr>
          <w:sz w:val="24"/>
          <w:szCs w:val="24"/>
        </w:rPr>
      </w:pPr>
      <w:r w:rsidRPr="005537F7">
        <w:rPr>
          <w:sz w:val="24"/>
          <w:szCs w:val="24"/>
        </w:rPr>
        <w:t>Discussion:</w:t>
      </w:r>
    </w:p>
    <w:p w14:paraId="5AA8D506" w14:textId="11E94D2C" w:rsidR="00123438" w:rsidRDefault="00123438" w:rsidP="00123438">
      <w:pPr>
        <w:rPr>
          <w:sz w:val="24"/>
          <w:szCs w:val="24"/>
        </w:rPr>
      </w:pPr>
      <w:r>
        <w:rPr>
          <w:sz w:val="24"/>
          <w:szCs w:val="24"/>
        </w:rPr>
        <w:t xml:space="preserve">VBMS beneficiary profile maintenance training. </w:t>
      </w:r>
      <w:r w:rsidRPr="00684316">
        <w:rPr>
          <w:sz w:val="24"/>
          <w:szCs w:val="24"/>
        </w:rPr>
        <w:t xml:space="preserve">Understanding the beneficiary </w:t>
      </w:r>
      <w:r w:rsidR="0002310E" w:rsidRPr="00684316">
        <w:rPr>
          <w:sz w:val="24"/>
          <w:szCs w:val="24"/>
        </w:rPr>
        <w:t>life cycle</w:t>
      </w:r>
      <w:r w:rsidRPr="00684316">
        <w:rPr>
          <w:sz w:val="24"/>
          <w:szCs w:val="24"/>
        </w:rPr>
        <w:t xml:space="preserve"> in the fiduciary program and utilizing a high-level overview (Big Picture) of the beneficiary profile during record maintenance, and the effect of failed oversight resulting in cascading errors.</w:t>
      </w:r>
    </w:p>
    <w:p w14:paraId="3E423BB2" w14:textId="0DF8E3AC" w:rsidR="00A81E31" w:rsidRDefault="00A81E31" w:rsidP="00123438">
      <w:pPr>
        <w:rPr>
          <w:sz w:val="24"/>
          <w:szCs w:val="24"/>
        </w:rPr>
      </w:pPr>
    </w:p>
    <w:p w14:paraId="46561A2E" w14:textId="750F0539" w:rsidR="00A81E31" w:rsidRDefault="00A81E31" w:rsidP="00A81E31">
      <w:pPr>
        <w:rPr>
          <w:rFonts w:ascii="Arial" w:eastAsia="Times New Roman" w:hAnsi="Arial" w:cs="Arial"/>
          <w:sz w:val="24"/>
          <w:szCs w:val="24"/>
        </w:rPr>
      </w:pPr>
      <w:r w:rsidRPr="004B768A">
        <w:rPr>
          <w:rFonts w:ascii="Arial" w:eastAsia="Times New Roman" w:hAnsi="Arial" w:cs="Arial"/>
          <w:b/>
          <w:bCs/>
          <w:sz w:val="24"/>
          <w:szCs w:val="24"/>
          <w:u w:val="single"/>
        </w:rPr>
        <w:t>Question Salt Lake City:</w:t>
      </w:r>
      <w:r w:rsidRPr="004B768A">
        <w:rPr>
          <w:rFonts w:ascii="Arial" w:eastAsia="Times New Roman" w:hAnsi="Arial" w:cs="Arial"/>
          <w:sz w:val="24"/>
          <w:szCs w:val="24"/>
        </w:rPr>
        <w:t xml:space="preserve">  </w:t>
      </w:r>
      <w:r>
        <w:rPr>
          <w:rFonts w:ascii="Arial" w:eastAsia="Times New Roman" w:hAnsi="Arial" w:cs="Arial"/>
          <w:sz w:val="24"/>
          <w:szCs w:val="24"/>
        </w:rPr>
        <w:t xml:space="preserve">In the </w:t>
      </w:r>
      <w:r w:rsidR="003F0788">
        <w:rPr>
          <w:rFonts w:ascii="Arial" w:eastAsia="Times New Roman" w:hAnsi="Arial" w:cs="Arial"/>
          <w:sz w:val="24"/>
          <w:szCs w:val="24"/>
        </w:rPr>
        <w:t xml:space="preserve">training you discussed the “Big Picture” or the “Life Cycle of the Beneficiary record and maintaining the record from the creation of the record to closing the record”. </w:t>
      </w:r>
      <w:r>
        <w:rPr>
          <w:rFonts w:ascii="Arial" w:eastAsia="Times New Roman" w:hAnsi="Arial" w:cs="Arial"/>
          <w:sz w:val="24"/>
          <w:szCs w:val="24"/>
        </w:rPr>
        <w:t>In terms of the big picture, is that a principle (life cycle) that we can apply to IQRs?</w:t>
      </w:r>
    </w:p>
    <w:p w14:paraId="70373EDC" w14:textId="77777777" w:rsidR="00A81E31" w:rsidRDefault="00A81E31" w:rsidP="00A81E31">
      <w:pPr>
        <w:rPr>
          <w:rFonts w:ascii="Arial" w:eastAsia="Times New Roman" w:hAnsi="Arial" w:cs="Arial"/>
          <w:sz w:val="24"/>
          <w:szCs w:val="24"/>
        </w:rPr>
      </w:pPr>
    </w:p>
    <w:p w14:paraId="12736A32" w14:textId="157D66EA" w:rsidR="00A81E31" w:rsidRDefault="003F0788" w:rsidP="00A81E31">
      <w:pPr>
        <w:rPr>
          <w:rFonts w:ascii="Arial" w:eastAsia="Times New Roman" w:hAnsi="Arial" w:cs="Arial"/>
          <w:sz w:val="24"/>
          <w:szCs w:val="24"/>
        </w:rPr>
      </w:pPr>
      <w:r>
        <w:rPr>
          <w:rFonts w:ascii="Arial" w:eastAsia="Times New Roman" w:hAnsi="Arial" w:cs="Arial"/>
          <w:b/>
          <w:bCs/>
          <w:sz w:val="24"/>
          <w:szCs w:val="24"/>
          <w:u w:val="single"/>
        </w:rPr>
        <w:lastRenderedPageBreak/>
        <w:t xml:space="preserve">P&amp;F Service </w:t>
      </w:r>
      <w:r w:rsidR="00A81E31" w:rsidRPr="004B768A">
        <w:rPr>
          <w:rFonts w:ascii="Arial" w:eastAsia="Times New Roman" w:hAnsi="Arial" w:cs="Arial"/>
          <w:b/>
          <w:bCs/>
          <w:sz w:val="24"/>
          <w:szCs w:val="24"/>
          <w:u w:val="single"/>
        </w:rPr>
        <w:t>Response:</w:t>
      </w:r>
      <w:r w:rsidR="00A81E31" w:rsidRPr="004B768A">
        <w:rPr>
          <w:rFonts w:ascii="Arial" w:eastAsia="Times New Roman" w:hAnsi="Arial" w:cs="Arial"/>
          <w:sz w:val="24"/>
          <w:szCs w:val="24"/>
        </w:rPr>
        <w:t xml:space="preserve">  </w:t>
      </w:r>
      <w:r w:rsidR="00A81E31">
        <w:rPr>
          <w:rFonts w:ascii="Arial" w:eastAsia="Times New Roman" w:hAnsi="Arial" w:cs="Arial"/>
          <w:sz w:val="24"/>
          <w:szCs w:val="24"/>
        </w:rPr>
        <w:t>T</w:t>
      </w:r>
      <w:r w:rsidR="00A81E31" w:rsidRPr="00220042">
        <w:rPr>
          <w:rFonts w:ascii="Arial" w:eastAsia="Times New Roman" w:hAnsi="Arial" w:cs="Arial"/>
          <w:sz w:val="24"/>
          <w:szCs w:val="24"/>
        </w:rPr>
        <w:t xml:space="preserve">hat would be something you could </w:t>
      </w:r>
      <w:r w:rsidR="00A81E31">
        <w:rPr>
          <w:rFonts w:ascii="Arial" w:eastAsia="Times New Roman" w:hAnsi="Arial" w:cs="Arial"/>
          <w:sz w:val="24"/>
          <w:szCs w:val="24"/>
        </w:rPr>
        <w:t xml:space="preserve">discuss </w:t>
      </w:r>
      <w:r w:rsidR="00A81E31" w:rsidRPr="00220042">
        <w:rPr>
          <w:rFonts w:ascii="Arial" w:eastAsia="Times New Roman" w:hAnsi="Arial" w:cs="Arial"/>
          <w:sz w:val="24"/>
          <w:szCs w:val="24"/>
        </w:rPr>
        <w:t xml:space="preserve">with your leadership team. </w:t>
      </w:r>
    </w:p>
    <w:p w14:paraId="06E1DCD4" w14:textId="77777777" w:rsidR="003F0788" w:rsidRDefault="003F0788" w:rsidP="00A81E31">
      <w:pPr>
        <w:rPr>
          <w:rFonts w:ascii="Arial" w:eastAsia="Times New Roman" w:hAnsi="Arial" w:cs="Arial"/>
          <w:sz w:val="24"/>
          <w:szCs w:val="24"/>
        </w:rPr>
      </w:pPr>
    </w:p>
    <w:p w14:paraId="4909B175" w14:textId="7F86CC19" w:rsidR="0002310E" w:rsidRDefault="0002310E" w:rsidP="00123438">
      <w:pPr>
        <w:rPr>
          <w:sz w:val="24"/>
          <w:szCs w:val="24"/>
        </w:rPr>
      </w:pPr>
      <w:r>
        <w:rPr>
          <w:sz w:val="24"/>
          <w:szCs w:val="24"/>
        </w:rPr>
        <w:t>The training is included in the call recording.</w:t>
      </w:r>
    </w:p>
    <w:p w14:paraId="4FB3337A" w14:textId="77777777" w:rsidR="0081400F" w:rsidRDefault="0081400F"/>
    <w:p w14:paraId="20695C7A" w14:textId="3D21AB3E" w:rsidR="00F15EBC" w:rsidRPr="00590F0E" w:rsidRDefault="0081400F">
      <w:pPr>
        <w:rPr>
          <w:b/>
          <w:bCs/>
          <w:sz w:val="24"/>
          <w:szCs w:val="24"/>
        </w:rPr>
      </w:pPr>
      <w:r w:rsidRPr="00590F0E">
        <w:rPr>
          <w:b/>
          <w:bCs/>
          <w:sz w:val="24"/>
          <w:szCs w:val="24"/>
        </w:rPr>
        <w:t>References/Contacts</w:t>
      </w:r>
    </w:p>
    <w:p w14:paraId="19C1AE49" w14:textId="654BEF90" w:rsidR="0081400F" w:rsidRPr="00590F0E" w:rsidRDefault="00000000" w:rsidP="0081400F">
      <w:pPr>
        <w:rPr>
          <w:sz w:val="24"/>
          <w:szCs w:val="24"/>
        </w:rPr>
      </w:pPr>
      <w:hyperlink r:id="rId15" w:history="1">
        <w:r w:rsidR="0081400F" w:rsidRPr="00590F0E">
          <w:rPr>
            <w:rStyle w:val="Hyperlink"/>
            <w:sz w:val="24"/>
            <w:szCs w:val="24"/>
          </w:rPr>
          <w:t>38 C.F.R. 13.280 – Accountings</w:t>
        </w:r>
      </w:hyperlink>
    </w:p>
    <w:p w14:paraId="3647E755" w14:textId="419E67EB" w:rsidR="0081400F" w:rsidRPr="00590F0E" w:rsidRDefault="00000000" w:rsidP="0081400F">
      <w:pPr>
        <w:rPr>
          <w:sz w:val="24"/>
          <w:szCs w:val="24"/>
        </w:rPr>
      </w:pPr>
      <w:hyperlink r:id="rId16" w:anchor="3" w:history="1">
        <w:r w:rsidR="0081400F" w:rsidRPr="00590F0E">
          <w:rPr>
            <w:rStyle w:val="Hyperlink"/>
            <w:sz w:val="24"/>
            <w:szCs w:val="24"/>
          </w:rPr>
          <w:t>M21, 4.8. 3.e – Cascade Effect</w:t>
        </w:r>
      </w:hyperlink>
    </w:p>
    <w:p w14:paraId="7F828649" w14:textId="3DFD71E2" w:rsidR="0081400F" w:rsidRPr="00590F0E" w:rsidRDefault="00000000" w:rsidP="0081400F">
      <w:pPr>
        <w:rPr>
          <w:sz w:val="24"/>
          <w:szCs w:val="24"/>
        </w:rPr>
      </w:pPr>
      <w:hyperlink r:id="rId17" w:anchor="3" w:history="1">
        <w:r w:rsidR="0081400F" w:rsidRPr="00590F0E">
          <w:rPr>
            <w:rStyle w:val="Hyperlink"/>
            <w:sz w:val="24"/>
            <w:szCs w:val="24"/>
          </w:rPr>
          <w:t>FPM, I.1.B.3.d – Certifying Appointment of Fiduciary</w:t>
        </w:r>
      </w:hyperlink>
    </w:p>
    <w:p w14:paraId="4D6699A0" w14:textId="3645C9F0" w:rsidR="0081400F" w:rsidRPr="00590F0E" w:rsidRDefault="00000000" w:rsidP="0081400F">
      <w:pPr>
        <w:rPr>
          <w:sz w:val="24"/>
          <w:szCs w:val="24"/>
        </w:rPr>
      </w:pPr>
      <w:hyperlink r:id="rId18" w:anchor="3t" w:history="1">
        <w:r w:rsidR="0081400F" w:rsidRPr="00590F0E">
          <w:rPr>
            <w:rStyle w:val="Hyperlink"/>
            <w:sz w:val="24"/>
            <w:szCs w:val="24"/>
          </w:rPr>
          <w:t>FPM, I.1.B.3.u – Control of Missed Oversight Actions</w:t>
        </w:r>
      </w:hyperlink>
    </w:p>
    <w:p w14:paraId="742079BF" w14:textId="67BCA287" w:rsidR="0081400F" w:rsidRPr="00590F0E" w:rsidRDefault="00000000" w:rsidP="0081400F">
      <w:pPr>
        <w:rPr>
          <w:sz w:val="24"/>
          <w:szCs w:val="24"/>
        </w:rPr>
      </w:pPr>
      <w:hyperlink r:id="rId19" w:anchor="6" w:history="1">
        <w:r w:rsidR="0081400F" w:rsidRPr="00590F0E">
          <w:rPr>
            <w:rStyle w:val="Hyperlink"/>
            <w:sz w:val="24"/>
            <w:szCs w:val="24"/>
          </w:rPr>
          <w:t>FPM, I.1.B.6.d – LIE Responsibilities</w:t>
        </w:r>
        <w:r w:rsidR="00B35C43" w:rsidRPr="00590F0E">
          <w:rPr>
            <w:rStyle w:val="Hyperlink"/>
            <w:sz w:val="24"/>
            <w:szCs w:val="24"/>
          </w:rPr>
          <w:t xml:space="preserve"> </w:t>
        </w:r>
        <w:r w:rsidR="0081400F" w:rsidRPr="00590F0E">
          <w:rPr>
            <w:rStyle w:val="Hyperlink"/>
            <w:sz w:val="24"/>
            <w:szCs w:val="24"/>
          </w:rPr>
          <w:t>FPM, I.2.C.5.a – Appointment and Fiduciary Types</w:t>
        </w:r>
      </w:hyperlink>
    </w:p>
    <w:p w14:paraId="1CEB8070" w14:textId="4DB0A47E" w:rsidR="0081400F" w:rsidRPr="00590F0E" w:rsidRDefault="00000000" w:rsidP="0081400F">
      <w:pPr>
        <w:rPr>
          <w:sz w:val="24"/>
          <w:szCs w:val="24"/>
        </w:rPr>
      </w:pPr>
      <w:hyperlink r:id="rId20" w:anchor="2" w:history="1">
        <w:r w:rsidR="0081400F" w:rsidRPr="00590F0E">
          <w:rPr>
            <w:rStyle w:val="Hyperlink"/>
            <w:sz w:val="24"/>
            <w:szCs w:val="24"/>
          </w:rPr>
          <w:t>FPM, I.3.A.2.a – VA Appointed Fiduciaries Accounting Req</w:t>
        </w:r>
      </w:hyperlink>
      <w:r w:rsidR="0081400F" w:rsidRPr="00590F0E">
        <w:rPr>
          <w:sz w:val="24"/>
          <w:szCs w:val="24"/>
        </w:rPr>
        <w:t>.</w:t>
      </w:r>
    </w:p>
    <w:p w14:paraId="11AAF978" w14:textId="413C441B" w:rsidR="0081400F" w:rsidRPr="00590F0E" w:rsidRDefault="00000000" w:rsidP="0081400F">
      <w:pPr>
        <w:rPr>
          <w:sz w:val="24"/>
          <w:szCs w:val="24"/>
        </w:rPr>
      </w:pPr>
      <w:hyperlink r:id="rId21" w:anchor="2" w:history="1">
        <w:r w:rsidR="0081400F" w:rsidRPr="00590F0E">
          <w:rPr>
            <w:rStyle w:val="Hyperlink"/>
            <w:sz w:val="24"/>
            <w:szCs w:val="24"/>
          </w:rPr>
          <w:t xml:space="preserve">FPM, I.3.A.2.c – Exceptions </w:t>
        </w:r>
        <w:proofErr w:type="gramStart"/>
        <w:r w:rsidR="0081400F" w:rsidRPr="00590F0E">
          <w:rPr>
            <w:rStyle w:val="Hyperlink"/>
            <w:sz w:val="24"/>
            <w:szCs w:val="24"/>
          </w:rPr>
          <w:t>To</w:t>
        </w:r>
        <w:proofErr w:type="gramEnd"/>
        <w:r w:rsidR="0081400F" w:rsidRPr="00590F0E">
          <w:rPr>
            <w:rStyle w:val="Hyperlink"/>
            <w:sz w:val="24"/>
            <w:szCs w:val="24"/>
          </w:rPr>
          <w:t xml:space="preserve"> the Accounting Requirement</w:t>
        </w:r>
      </w:hyperlink>
    </w:p>
    <w:p w14:paraId="67312D95" w14:textId="53F2BE33" w:rsidR="0081400F" w:rsidRPr="00590F0E" w:rsidRDefault="00000000" w:rsidP="0081400F">
      <w:pPr>
        <w:rPr>
          <w:sz w:val="24"/>
          <w:szCs w:val="24"/>
        </w:rPr>
      </w:pPr>
      <w:hyperlink r:id="rId22" w:anchor="1" w:history="1">
        <w:r w:rsidR="0081400F" w:rsidRPr="00590F0E">
          <w:rPr>
            <w:rStyle w:val="Hyperlink"/>
            <w:sz w:val="24"/>
            <w:szCs w:val="24"/>
          </w:rPr>
          <w:t>FPM, I.3.D.1.g – Updating the Beneficiary and Fiduciary Profile</w:t>
        </w:r>
      </w:hyperlink>
    </w:p>
    <w:p w14:paraId="64AEA7C9" w14:textId="0663B51B" w:rsidR="0081400F" w:rsidRPr="00590F0E" w:rsidRDefault="00000000" w:rsidP="0081400F">
      <w:pPr>
        <w:rPr>
          <w:sz w:val="24"/>
          <w:szCs w:val="24"/>
        </w:rPr>
      </w:pPr>
      <w:hyperlink r:id="rId23" w:anchor="4" w:history="1">
        <w:r w:rsidR="0081400F" w:rsidRPr="00590F0E">
          <w:rPr>
            <w:rStyle w:val="Hyperlink"/>
            <w:sz w:val="24"/>
            <w:szCs w:val="24"/>
          </w:rPr>
          <w:t>FPM, II.1.C.4.o – Assessing Fund Usage Reports</w:t>
        </w:r>
      </w:hyperlink>
    </w:p>
    <w:p w14:paraId="1187E11B" w14:textId="30165895" w:rsidR="0081400F" w:rsidRPr="00590F0E" w:rsidRDefault="00000000" w:rsidP="0081400F">
      <w:pPr>
        <w:rPr>
          <w:sz w:val="24"/>
          <w:szCs w:val="24"/>
        </w:rPr>
      </w:pPr>
      <w:hyperlink r:id="rId24" w:anchor="4" w:history="1">
        <w:r w:rsidR="0081400F" w:rsidRPr="00590F0E">
          <w:rPr>
            <w:rStyle w:val="Hyperlink"/>
            <w:sz w:val="24"/>
            <w:szCs w:val="24"/>
          </w:rPr>
          <w:t>FPM, II.1.C.4.s – Fund Usage Review Completion Activities</w:t>
        </w:r>
      </w:hyperlink>
    </w:p>
    <w:p w14:paraId="6F55BC13" w14:textId="587D7AD2" w:rsidR="00F15EBC" w:rsidRPr="005537F7" w:rsidRDefault="00F15EBC" w:rsidP="00F15EBC">
      <w:pPr>
        <w:pStyle w:val="Heading1"/>
        <w:rPr>
          <w:color w:val="8064A2" w:themeColor="accent4"/>
        </w:rPr>
      </w:pPr>
      <w:r w:rsidRPr="005537F7">
        <w:rPr>
          <w:color w:val="8064A2" w:themeColor="accent4"/>
        </w:rPr>
        <w:t>Closing Comment</w:t>
      </w:r>
      <w:r w:rsidR="00E80383">
        <w:rPr>
          <w:color w:val="8064A2" w:themeColor="accent4"/>
        </w:rPr>
        <w:t>s</w:t>
      </w:r>
      <w:bookmarkStart w:id="7" w:name="CLOSING_"/>
      <w:bookmarkEnd w:id="7"/>
    </w:p>
    <w:p w14:paraId="2CC7E267" w14:textId="77777777" w:rsidR="00F07F1A" w:rsidRPr="004B1C80" w:rsidRDefault="00F07F1A" w:rsidP="00F07F1A">
      <w:pPr>
        <w:pStyle w:val="Heading4"/>
        <w:rPr>
          <w:sz w:val="24"/>
          <w:szCs w:val="24"/>
        </w:rPr>
      </w:pPr>
      <w:r w:rsidRPr="004B1C80">
        <w:rPr>
          <w:sz w:val="24"/>
          <w:szCs w:val="24"/>
        </w:rPr>
        <w:t xml:space="preserve">P&amp;F </w:t>
      </w:r>
      <w:r>
        <w:rPr>
          <w:sz w:val="24"/>
          <w:szCs w:val="24"/>
        </w:rPr>
        <w:t xml:space="preserve">Service </w:t>
      </w:r>
      <w:r w:rsidRPr="004B1C80">
        <w:rPr>
          <w:sz w:val="24"/>
          <w:szCs w:val="24"/>
        </w:rPr>
        <w:t>Quality Mailbox:</w:t>
      </w:r>
    </w:p>
    <w:p w14:paraId="0B454630" w14:textId="77777777" w:rsidR="00F07F1A" w:rsidRPr="00366576" w:rsidRDefault="00F07F1A" w:rsidP="00F07F1A">
      <w:pPr>
        <w:pStyle w:val="Heading4"/>
        <w:spacing w:before="0"/>
        <w:rPr>
          <w:rStyle w:val="Hyperlink"/>
          <w:b w:val="0"/>
          <w:bCs/>
          <w:sz w:val="24"/>
          <w:szCs w:val="24"/>
        </w:rPr>
      </w:pPr>
      <w:r w:rsidRPr="00366576">
        <w:rPr>
          <w:b w:val="0"/>
          <w:bCs/>
          <w:sz w:val="24"/>
          <w:szCs w:val="24"/>
        </w:rPr>
        <w:t xml:space="preserve">We will solicit for agenda topic(s) for each future Quality Call. If you have a specific topic suggestion, please feel free to email it to the </w:t>
      </w:r>
      <w:r>
        <w:rPr>
          <w:b w:val="0"/>
          <w:bCs/>
          <w:sz w:val="24"/>
          <w:szCs w:val="24"/>
        </w:rPr>
        <w:t>P&amp;F Service</w:t>
      </w:r>
      <w:r w:rsidRPr="00366576">
        <w:rPr>
          <w:b w:val="0"/>
          <w:bCs/>
          <w:sz w:val="24"/>
          <w:szCs w:val="24"/>
        </w:rPr>
        <w:t xml:space="preserve"> </w:t>
      </w:r>
      <w:r>
        <w:rPr>
          <w:b w:val="0"/>
          <w:bCs/>
          <w:sz w:val="24"/>
          <w:szCs w:val="24"/>
        </w:rPr>
        <w:t xml:space="preserve">Training, </w:t>
      </w:r>
      <w:r w:rsidRPr="00366576">
        <w:rPr>
          <w:b w:val="0"/>
          <w:bCs/>
          <w:sz w:val="24"/>
          <w:szCs w:val="24"/>
        </w:rPr>
        <w:t>Quality</w:t>
      </w:r>
      <w:r>
        <w:rPr>
          <w:b w:val="0"/>
          <w:bCs/>
          <w:sz w:val="24"/>
          <w:szCs w:val="24"/>
        </w:rPr>
        <w:t>, and Oversight</w:t>
      </w:r>
      <w:r w:rsidRPr="00366576">
        <w:rPr>
          <w:b w:val="0"/>
          <w:bCs/>
          <w:sz w:val="24"/>
          <w:szCs w:val="24"/>
        </w:rPr>
        <w:t xml:space="preserve"> mailbox at </w:t>
      </w:r>
      <w:hyperlink r:id="rId25" w:history="1">
        <w:r w:rsidRPr="00366576">
          <w:rPr>
            <w:rStyle w:val="Hyperlink"/>
            <w:b w:val="0"/>
            <w:bCs/>
            <w:sz w:val="24"/>
            <w:szCs w:val="24"/>
          </w:rPr>
          <w:t>PFTNGQUALOVRST.VBACO@va.gov</w:t>
        </w:r>
      </w:hyperlink>
      <w:r w:rsidRPr="00366576">
        <w:rPr>
          <w:rStyle w:val="Hyperlink"/>
          <w:b w:val="0"/>
          <w:bCs/>
          <w:sz w:val="24"/>
          <w:szCs w:val="24"/>
          <w:u w:val="none"/>
        </w:rPr>
        <w:t xml:space="preserve">. </w:t>
      </w:r>
      <w:r w:rsidRPr="00366576">
        <w:rPr>
          <w:b w:val="0"/>
          <w:bCs/>
          <w:sz w:val="24"/>
          <w:szCs w:val="24"/>
        </w:rPr>
        <w:t xml:space="preserve">For specific policy and procedures related topics, please email to the Policy and Procedures mailbox at </w:t>
      </w:r>
      <w:hyperlink r:id="rId26" w:history="1">
        <w:r w:rsidRPr="00366576">
          <w:rPr>
            <w:rStyle w:val="Hyperlink"/>
            <w:b w:val="0"/>
            <w:bCs/>
            <w:sz w:val="24"/>
            <w:szCs w:val="24"/>
          </w:rPr>
          <w:t>PFPOLPROC.VBACO@va.gov</w:t>
        </w:r>
      </w:hyperlink>
      <w:r w:rsidRPr="00366576">
        <w:rPr>
          <w:rStyle w:val="Hyperlink"/>
          <w:b w:val="0"/>
          <w:bCs/>
          <w:sz w:val="24"/>
          <w:szCs w:val="24"/>
        </w:rPr>
        <w:t>.</w:t>
      </w:r>
    </w:p>
    <w:p w14:paraId="7BA25ED3" w14:textId="77777777" w:rsidR="00F07F1A" w:rsidRDefault="00F07F1A" w:rsidP="00F07F1A">
      <w:pPr>
        <w:pStyle w:val="Heading4"/>
        <w:spacing w:before="0"/>
      </w:pPr>
    </w:p>
    <w:p w14:paraId="1F1CB81F" w14:textId="77777777" w:rsidR="00F07F1A" w:rsidRPr="004B1C80" w:rsidRDefault="00F07F1A" w:rsidP="00F07F1A">
      <w:pPr>
        <w:pStyle w:val="Heading4"/>
        <w:spacing w:before="0"/>
        <w:rPr>
          <w:sz w:val="24"/>
          <w:szCs w:val="24"/>
        </w:rPr>
      </w:pPr>
      <w:r w:rsidRPr="004B1C80">
        <w:rPr>
          <w:sz w:val="24"/>
          <w:szCs w:val="24"/>
        </w:rPr>
        <w:t>Quality Call Bulletins</w:t>
      </w:r>
    </w:p>
    <w:p w14:paraId="2BD02D4B" w14:textId="163192B6" w:rsidR="00F07F1A" w:rsidRDefault="00F07F1A" w:rsidP="00F07F1A">
      <w:pPr>
        <w:rPr>
          <w:color w:val="000000" w:themeColor="text1"/>
          <w:sz w:val="24"/>
          <w:szCs w:val="24"/>
        </w:rPr>
      </w:pPr>
      <w:r w:rsidRPr="004B1C80">
        <w:rPr>
          <w:sz w:val="24"/>
          <w:szCs w:val="24"/>
        </w:rPr>
        <w:t xml:space="preserve">Quality Call Bulletins can be found in the following location:  </w:t>
      </w:r>
      <w:hyperlink r:id="rId27" w:history="1">
        <w:r w:rsidRPr="00AC032E">
          <w:rPr>
            <w:rStyle w:val="Hyperlink"/>
            <w:sz w:val="24"/>
            <w:szCs w:val="24"/>
          </w:rPr>
          <w:t>https://vbaw.vba.va.gov/PENSIONANDFIDUCIARY/Quality_Call_Bulletins.asp</w:t>
        </w:r>
      </w:hyperlink>
      <w:r>
        <w:rPr>
          <w:color w:val="000000" w:themeColor="text1"/>
          <w:sz w:val="24"/>
          <w:szCs w:val="24"/>
        </w:rPr>
        <w:t>. The next Quality Call is tentatively scheduled for February 2023.</w:t>
      </w:r>
    </w:p>
    <w:p w14:paraId="6C665A47" w14:textId="77777777" w:rsidR="00F07F1A" w:rsidRPr="008F0897" w:rsidRDefault="00F07F1A" w:rsidP="00F07F1A">
      <w:pPr>
        <w:rPr>
          <w:color w:val="000000" w:themeColor="text1"/>
          <w:sz w:val="24"/>
          <w:szCs w:val="24"/>
        </w:rPr>
      </w:pPr>
    </w:p>
    <w:p w14:paraId="2DA2534D" w14:textId="77777777" w:rsidR="00F07F1A" w:rsidRPr="004B1C80" w:rsidRDefault="00F07F1A" w:rsidP="00F07F1A">
      <w:pPr>
        <w:pStyle w:val="Heading4"/>
        <w:spacing w:before="0"/>
        <w:rPr>
          <w:sz w:val="24"/>
          <w:szCs w:val="24"/>
        </w:rPr>
      </w:pPr>
      <w:r>
        <w:rPr>
          <w:sz w:val="24"/>
          <w:szCs w:val="24"/>
        </w:rPr>
        <w:t>TMS Courses</w:t>
      </w:r>
    </w:p>
    <w:p w14:paraId="47626E0A" w14:textId="77777777" w:rsidR="00F07F1A" w:rsidRDefault="00F07F1A" w:rsidP="00F07F1A">
      <w:pPr>
        <w:rPr>
          <w:sz w:val="24"/>
          <w:szCs w:val="24"/>
        </w:rPr>
      </w:pPr>
      <w:r w:rsidRPr="008F0897">
        <w:rPr>
          <w:sz w:val="24"/>
          <w:szCs w:val="24"/>
        </w:rPr>
        <w:t xml:space="preserve">All </w:t>
      </w:r>
      <w:r>
        <w:rPr>
          <w:sz w:val="24"/>
          <w:szCs w:val="24"/>
        </w:rPr>
        <w:t>P&amp;F Service</w:t>
      </w:r>
      <w:r w:rsidRPr="008F0897">
        <w:rPr>
          <w:sz w:val="24"/>
          <w:szCs w:val="24"/>
        </w:rPr>
        <w:t xml:space="preserve"> Quality Calls and bulletins will be available in TMS. Once the monthly bulletin is finalized, information will be sent to the </w:t>
      </w:r>
      <w:r>
        <w:rPr>
          <w:sz w:val="24"/>
          <w:szCs w:val="24"/>
        </w:rPr>
        <w:t xml:space="preserve">PMCs and </w:t>
      </w:r>
      <w:r w:rsidRPr="008F0897">
        <w:rPr>
          <w:sz w:val="24"/>
          <w:szCs w:val="24"/>
        </w:rPr>
        <w:t>Fiduciary Hubs</w:t>
      </w:r>
      <w:r>
        <w:rPr>
          <w:sz w:val="24"/>
          <w:szCs w:val="24"/>
        </w:rPr>
        <w:t>,</w:t>
      </w:r>
      <w:r w:rsidRPr="008F0897">
        <w:rPr>
          <w:sz w:val="24"/>
          <w:szCs w:val="24"/>
        </w:rPr>
        <w:t xml:space="preserve"> which will include the TMS #.</w:t>
      </w:r>
    </w:p>
    <w:p w14:paraId="7E32DB67" w14:textId="47370637" w:rsidR="005242EA" w:rsidRPr="00DC4360" w:rsidRDefault="005242EA" w:rsidP="00DC4360">
      <w:pPr>
        <w:pStyle w:val="Heading1"/>
        <w:rPr>
          <w:color w:val="B2A1C7" w:themeColor="accent4" w:themeTint="99"/>
        </w:rPr>
      </w:pPr>
      <w:r w:rsidRPr="00DC4360">
        <w:rPr>
          <w:color w:val="B2A1C7" w:themeColor="accent4" w:themeTint="99"/>
        </w:rPr>
        <w:t>Post-Call Follow Up</w:t>
      </w:r>
    </w:p>
    <w:p w14:paraId="24F63C88" w14:textId="157CEB00" w:rsidR="00BA35FA" w:rsidRDefault="00BA35FA" w:rsidP="005242EA">
      <w:pPr>
        <w:jc w:val="center"/>
        <w:rPr>
          <w:b/>
          <w:bCs/>
          <w:i/>
          <w:iCs/>
          <w:color w:val="B2A1C7" w:themeColor="accent4" w:themeTint="99"/>
          <w:sz w:val="28"/>
          <w:szCs w:val="28"/>
        </w:rPr>
      </w:pPr>
    </w:p>
    <w:p w14:paraId="74501E50" w14:textId="7F321085" w:rsidR="00BA35FA" w:rsidRDefault="00BA35FA" w:rsidP="00BA35FA">
      <w:pPr>
        <w:rPr>
          <w:b/>
          <w:bCs/>
          <w:sz w:val="24"/>
          <w:szCs w:val="24"/>
        </w:rPr>
      </w:pPr>
      <w:r w:rsidRPr="00BA35FA">
        <w:rPr>
          <w:b/>
          <w:bCs/>
          <w:sz w:val="24"/>
          <w:szCs w:val="24"/>
        </w:rPr>
        <w:t>Quality Call Recording:</w:t>
      </w:r>
    </w:p>
    <w:p w14:paraId="3EB0CA82" w14:textId="7C112729" w:rsidR="00BA35FA" w:rsidRDefault="00BA35FA" w:rsidP="00BA35FA">
      <w:pPr>
        <w:rPr>
          <w:sz w:val="24"/>
          <w:szCs w:val="24"/>
        </w:rPr>
      </w:pPr>
      <w:r w:rsidRPr="00BA35FA">
        <w:rPr>
          <w:sz w:val="24"/>
          <w:szCs w:val="24"/>
        </w:rPr>
        <w:t>A</w:t>
      </w:r>
      <w:r>
        <w:rPr>
          <w:sz w:val="24"/>
          <w:szCs w:val="24"/>
        </w:rPr>
        <w:t xml:space="preserve"> recording of the December 2022 Fiduciary Quality Call can be found </w:t>
      </w:r>
      <w:hyperlink r:id="rId28" w:history="1">
        <w:r w:rsidRPr="004B768A">
          <w:rPr>
            <w:rStyle w:val="Hyperlink"/>
            <w:sz w:val="24"/>
            <w:szCs w:val="24"/>
          </w:rPr>
          <w:t>here</w:t>
        </w:r>
      </w:hyperlink>
      <w:r>
        <w:rPr>
          <w:sz w:val="24"/>
          <w:szCs w:val="24"/>
        </w:rPr>
        <w:t xml:space="preserve"> (open in Chrome):</w:t>
      </w:r>
    </w:p>
    <w:p w14:paraId="5B634553" w14:textId="0A675A9F" w:rsidR="00BA35FA" w:rsidRDefault="00BA35FA" w:rsidP="00BA35FA">
      <w:pPr>
        <w:rPr>
          <w:sz w:val="24"/>
          <w:szCs w:val="24"/>
        </w:rPr>
      </w:pPr>
    </w:p>
    <w:p w14:paraId="3A0C3498" w14:textId="3731E5FF" w:rsidR="00BA35FA" w:rsidRPr="00BA35FA" w:rsidRDefault="00BA35FA" w:rsidP="00BA35FA">
      <w:pPr>
        <w:rPr>
          <w:b/>
          <w:bCs/>
          <w:sz w:val="24"/>
          <w:szCs w:val="24"/>
        </w:rPr>
      </w:pPr>
      <w:r w:rsidRPr="00BA35FA">
        <w:rPr>
          <w:b/>
          <w:bCs/>
          <w:sz w:val="24"/>
          <w:szCs w:val="24"/>
        </w:rPr>
        <w:t>TMS Course:</w:t>
      </w:r>
    </w:p>
    <w:p w14:paraId="1051485F" w14:textId="5B17178C" w:rsidR="00BA35FA" w:rsidRDefault="00BA35FA" w:rsidP="00BA35FA">
      <w:pPr>
        <w:rPr>
          <w:sz w:val="24"/>
          <w:szCs w:val="24"/>
        </w:rPr>
      </w:pPr>
      <w:r w:rsidRPr="00BA35FA">
        <w:rPr>
          <w:sz w:val="24"/>
          <w:szCs w:val="24"/>
        </w:rPr>
        <w:lastRenderedPageBreak/>
        <w:t xml:space="preserve">Available content from the Quality Call (bulletin, recording, etc.) will be available in TMS. The TMS # for the </w:t>
      </w:r>
      <w:r>
        <w:rPr>
          <w:sz w:val="24"/>
          <w:szCs w:val="24"/>
        </w:rPr>
        <w:t>December</w:t>
      </w:r>
      <w:r w:rsidRPr="00BA35FA">
        <w:rPr>
          <w:sz w:val="24"/>
          <w:szCs w:val="24"/>
        </w:rPr>
        <w:t xml:space="preserve"> 2022 Pension and Fiduciary Quality Call is </w:t>
      </w:r>
      <w:r w:rsidRPr="00022E23">
        <w:rPr>
          <w:sz w:val="24"/>
          <w:szCs w:val="24"/>
        </w:rPr>
        <w:t xml:space="preserve">VA 4637732 </w:t>
      </w:r>
      <w:r w:rsidRPr="00BA35FA">
        <w:rPr>
          <w:sz w:val="24"/>
          <w:szCs w:val="24"/>
        </w:rPr>
        <w:t xml:space="preserve">(Pension and Fiduciary Service Quality Call – Fiduciary </w:t>
      </w:r>
      <w:r>
        <w:rPr>
          <w:sz w:val="24"/>
          <w:szCs w:val="24"/>
        </w:rPr>
        <w:t>December</w:t>
      </w:r>
      <w:r w:rsidRPr="00BA35FA">
        <w:rPr>
          <w:sz w:val="24"/>
          <w:szCs w:val="24"/>
        </w:rPr>
        <w:t xml:space="preserve"> 2022)</w:t>
      </w:r>
    </w:p>
    <w:p w14:paraId="1FEF316D" w14:textId="335D42A2" w:rsidR="004A4D19" w:rsidRDefault="004A4D19" w:rsidP="00BA35FA">
      <w:pPr>
        <w:rPr>
          <w:sz w:val="24"/>
          <w:szCs w:val="24"/>
        </w:rPr>
      </w:pPr>
      <w:r>
        <w:rPr>
          <w:noProof/>
        </w:rPr>
        <w:drawing>
          <wp:inline distT="0" distB="0" distL="0" distR="0" wp14:anchorId="010D3DF7" wp14:editId="368BBAA2">
            <wp:extent cx="6488169" cy="667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531480" cy="672369"/>
                    </a:xfrm>
                    <a:prstGeom prst="rect">
                      <a:avLst/>
                    </a:prstGeom>
                  </pic:spPr>
                </pic:pic>
              </a:graphicData>
            </a:graphic>
          </wp:inline>
        </w:drawing>
      </w:r>
    </w:p>
    <w:p w14:paraId="1BD21DC4" w14:textId="71D8F746" w:rsidR="004A4D19" w:rsidRDefault="004A4D19" w:rsidP="00BA35FA">
      <w:pPr>
        <w:rPr>
          <w:sz w:val="24"/>
          <w:szCs w:val="24"/>
        </w:rPr>
      </w:pPr>
      <w:r>
        <w:rPr>
          <w:noProof/>
        </w:rPr>
        <w:drawing>
          <wp:inline distT="0" distB="0" distL="0" distR="0" wp14:anchorId="2B93345D" wp14:editId="26A737F1">
            <wp:extent cx="6492240" cy="3608511"/>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494781" cy="3609923"/>
                    </a:xfrm>
                    <a:prstGeom prst="rect">
                      <a:avLst/>
                    </a:prstGeom>
                  </pic:spPr>
                </pic:pic>
              </a:graphicData>
            </a:graphic>
          </wp:inline>
        </w:drawing>
      </w:r>
    </w:p>
    <w:p w14:paraId="73D030D3" w14:textId="14EE0C76" w:rsidR="00BA35FA" w:rsidRDefault="00BA35FA" w:rsidP="00BA35FA">
      <w:pPr>
        <w:rPr>
          <w:sz w:val="24"/>
          <w:szCs w:val="24"/>
        </w:rPr>
      </w:pPr>
    </w:p>
    <w:p w14:paraId="0B60BD73" w14:textId="0BB8F6DC" w:rsidR="00BA35FA" w:rsidRDefault="00BA35FA" w:rsidP="00BA35FA">
      <w:pPr>
        <w:rPr>
          <w:b/>
          <w:bCs/>
          <w:sz w:val="24"/>
          <w:szCs w:val="24"/>
        </w:rPr>
      </w:pPr>
      <w:r w:rsidRPr="004212BC">
        <w:rPr>
          <w:b/>
          <w:bCs/>
          <w:sz w:val="24"/>
          <w:szCs w:val="24"/>
        </w:rPr>
        <w:t>Q&amp;A:</w:t>
      </w:r>
    </w:p>
    <w:p w14:paraId="51E315AF" w14:textId="77777777" w:rsidR="0038274B" w:rsidRPr="004212BC" w:rsidRDefault="0038274B" w:rsidP="00BA35FA">
      <w:pPr>
        <w:rPr>
          <w:b/>
          <w:bCs/>
          <w:sz w:val="24"/>
          <w:szCs w:val="24"/>
        </w:rPr>
      </w:pPr>
    </w:p>
    <w:p w14:paraId="273822A1" w14:textId="3B5EAB58" w:rsidR="00ED1D5A" w:rsidRDefault="00ED1D5A" w:rsidP="00ED1D5A">
      <w:pPr>
        <w:spacing w:after="240"/>
        <w:rPr>
          <w:rFonts w:ascii="Arial" w:eastAsia="Times New Roman" w:hAnsi="Arial" w:cs="Arial"/>
          <w:sz w:val="24"/>
          <w:szCs w:val="24"/>
        </w:rPr>
      </w:pPr>
      <w:r w:rsidRPr="0054292A">
        <w:rPr>
          <w:b/>
          <w:bCs/>
          <w:sz w:val="24"/>
          <w:szCs w:val="24"/>
          <w:u w:val="single"/>
        </w:rPr>
        <w:t>Question Indianapolis Fiduciary Hub</w:t>
      </w:r>
      <w:r w:rsidR="004D7A36">
        <w:rPr>
          <w:b/>
          <w:bCs/>
          <w:sz w:val="24"/>
          <w:szCs w:val="24"/>
          <w:u w:val="single"/>
        </w:rPr>
        <w:t xml:space="preserve">: </w:t>
      </w:r>
      <w:r w:rsidRPr="004212BC">
        <w:rPr>
          <w:rFonts w:ascii="Arial" w:eastAsia="Times New Roman" w:hAnsi="Arial" w:cs="Arial"/>
          <w:sz w:val="24"/>
          <w:szCs w:val="24"/>
        </w:rPr>
        <w:t>Please clarify if there is a need to create a bond exoneration task to track proof a bond was exonerated</w:t>
      </w:r>
      <w:r>
        <w:rPr>
          <w:rFonts w:ascii="Arial" w:eastAsia="Times New Roman" w:hAnsi="Arial" w:cs="Arial"/>
          <w:sz w:val="24"/>
          <w:szCs w:val="24"/>
        </w:rPr>
        <w:t>,</w:t>
      </w:r>
      <w:r w:rsidRPr="004212BC">
        <w:rPr>
          <w:rFonts w:ascii="Arial" w:eastAsia="Times New Roman" w:hAnsi="Arial" w:cs="Arial"/>
          <w:sz w:val="24"/>
          <w:szCs w:val="24"/>
        </w:rPr>
        <w:t xml:space="preserve"> and any unused premiums are refunded. FPM II.2.B.1.h is </w:t>
      </w:r>
      <w:proofErr w:type="gramStart"/>
      <w:r w:rsidRPr="004212BC">
        <w:rPr>
          <w:rFonts w:ascii="Arial" w:eastAsia="Times New Roman" w:hAnsi="Arial" w:cs="Arial"/>
          <w:sz w:val="24"/>
          <w:szCs w:val="24"/>
        </w:rPr>
        <w:t>has</w:t>
      </w:r>
      <w:proofErr w:type="gramEnd"/>
      <w:r w:rsidRPr="004212BC">
        <w:rPr>
          <w:rFonts w:ascii="Arial" w:eastAsia="Times New Roman" w:hAnsi="Arial" w:cs="Arial"/>
          <w:sz w:val="24"/>
          <w:szCs w:val="24"/>
        </w:rPr>
        <w:t xml:space="preserve"> been referenced by P&amp;F in the past stating a task is needed to adjust the bond. We are interpreting the exoneration itself is not a bond adjustment, but rather a removal of a bond. </w:t>
      </w:r>
    </w:p>
    <w:p w14:paraId="0A2AE1BB" w14:textId="453F6A1D" w:rsidR="00ED1D5A" w:rsidRPr="004212BC" w:rsidRDefault="00ED1D5A" w:rsidP="0038274B">
      <w:pPr>
        <w:spacing w:before="0" w:after="0"/>
        <w:rPr>
          <w:rFonts w:ascii="Arial" w:eastAsia="Calibri" w:hAnsi="Arial" w:cs="Arial"/>
          <w:color w:val="000000"/>
          <w:sz w:val="24"/>
          <w:szCs w:val="24"/>
        </w:rPr>
      </w:pPr>
      <w:r w:rsidRPr="0054292A">
        <w:rPr>
          <w:rFonts w:ascii="Arial" w:eastAsia="Times New Roman" w:hAnsi="Arial" w:cs="Arial"/>
          <w:b/>
          <w:bCs/>
          <w:sz w:val="24"/>
          <w:szCs w:val="24"/>
          <w:u w:val="single"/>
        </w:rPr>
        <w:t>P&amp;F Service Response</w:t>
      </w:r>
      <w:r w:rsidR="004D7A36">
        <w:rPr>
          <w:rFonts w:ascii="Arial" w:eastAsia="Times New Roman" w:hAnsi="Arial" w:cs="Arial"/>
          <w:b/>
          <w:bCs/>
          <w:sz w:val="24"/>
          <w:szCs w:val="24"/>
          <w:u w:val="single"/>
        </w:rPr>
        <w:t xml:space="preserve">: </w:t>
      </w:r>
      <w:r w:rsidRPr="004212BC">
        <w:rPr>
          <w:rFonts w:ascii="Arial" w:eastAsia="Calibri" w:hAnsi="Arial" w:cs="Arial"/>
          <w:color w:val="000000"/>
          <w:sz w:val="24"/>
          <w:szCs w:val="24"/>
        </w:rPr>
        <w:t xml:space="preserve">A bond exoneration task is </w:t>
      </w:r>
      <w:r w:rsidRPr="004212BC">
        <w:rPr>
          <w:rFonts w:ascii="Arial" w:eastAsia="Calibri" w:hAnsi="Arial" w:cs="Arial"/>
          <w:b/>
          <w:bCs/>
          <w:i/>
          <w:iCs/>
          <w:color w:val="000000"/>
          <w:sz w:val="24"/>
          <w:szCs w:val="24"/>
        </w:rPr>
        <w:t>not required</w:t>
      </w:r>
      <w:r w:rsidRPr="004212BC">
        <w:rPr>
          <w:rFonts w:ascii="Arial" w:eastAsia="Calibri" w:hAnsi="Arial" w:cs="Arial"/>
          <w:color w:val="000000"/>
          <w:sz w:val="24"/>
          <w:szCs w:val="24"/>
        </w:rPr>
        <w:t xml:space="preserve"> to track proof a bond was </w:t>
      </w:r>
      <w:proofErr w:type="gramStart"/>
      <w:r w:rsidRPr="004212BC">
        <w:rPr>
          <w:rFonts w:ascii="Arial" w:eastAsia="Calibri" w:hAnsi="Arial" w:cs="Arial"/>
          <w:color w:val="000000"/>
          <w:sz w:val="24"/>
          <w:szCs w:val="24"/>
        </w:rPr>
        <w:t>exonerated</w:t>
      </w:r>
      <w:proofErr w:type="gramEnd"/>
      <w:r w:rsidRPr="004212BC">
        <w:rPr>
          <w:rFonts w:ascii="Arial" w:eastAsia="Calibri" w:hAnsi="Arial" w:cs="Arial"/>
          <w:color w:val="000000"/>
          <w:sz w:val="24"/>
          <w:szCs w:val="24"/>
        </w:rPr>
        <w:t xml:space="preserve"> and any unused premiums are refunded.  </w:t>
      </w:r>
    </w:p>
    <w:p w14:paraId="2A228818" w14:textId="77777777" w:rsidR="00ED1D5A" w:rsidRPr="004212BC" w:rsidRDefault="00ED1D5A" w:rsidP="0038274B">
      <w:pPr>
        <w:spacing w:before="0" w:after="0"/>
        <w:rPr>
          <w:rFonts w:ascii="Arial" w:eastAsia="Calibri" w:hAnsi="Arial" w:cs="Arial"/>
          <w:color w:val="000000"/>
          <w:sz w:val="24"/>
          <w:szCs w:val="24"/>
        </w:rPr>
      </w:pPr>
    </w:p>
    <w:p w14:paraId="09CBCD4D" w14:textId="77777777" w:rsidR="00ED1D5A" w:rsidRPr="004212BC" w:rsidRDefault="00ED1D5A" w:rsidP="0038274B">
      <w:pPr>
        <w:spacing w:before="0" w:after="0"/>
        <w:rPr>
          <w:rFonts w:ascii="Arial" w:eastAsia="Calibri" w:hAnsi="Arial" w:cs="Arial"/>
          <w:sz w:val="24"/>
          <w:szCs w:val="24"/>
        </w:rPr>
      </w:pPr>
      <w:r w:rsidRPr="004212BC">
        <w:rPr>
          <w:rFonts w:ascii="Arial" w:eastAsia="Calibri" w:hAnsi="Arial" w:cs="Arial"/>
          <w:color w:val="000000"/>
          <w:sz w:val="24"/>
          <w:szCs w:val="24"/>
        </w:rPr>
        <w:t xml:space="preserve">The procedures listed in </w:t>
      </w:r>
      <w:hyperlink r:id="rId31" w:anchor="1h" w:history="1">
        <w:r w:rsidRPr="004212BC">
          <w:rPr>
            <w:rFonts w:ascii="Arial" w:eastAsia="Calibri" w:hAnsi="Arial" w:cs="Arial"/>
            <w:color w:val="0563C1"/>
            <w:sz w:val="24"/>
            <w:szCs w:val="24"/>
            <w:u w:val="single"/>
          </w:rPr>
          <w:t>FPM, Part II, 2.B.1.h</w:t>
        </w:r>
      </w:hyperlink>
      <w:r w:rsidRPr="004212BC">
        <w:rPr>
          <w:rFonts w:ascii="Arial" w:eastAsia="Calibri" w:hAnsi="Arial" w:cs="Arial"/>
          <w:color w:val="000000"/>
          <w:sz w:val="24"/>
          <w:szCs w:val="24"/>
        </w:rPr>
        <w:t>, are concerning adjusting a bond amount to account for a significant change in VA funds under management. The procedures outlined within this block allow timely oversight of the required actions of the fiduciary to ensure appropriate benefit funds protection are in place for the beneficiary.</w:t>
      </w:r>
      <w:r w:rsidRPr="004212BC">
        <w:rPr>
          <w:rFonts w:ascii="Arial" w:eastAsia="Calibri" w:hAnsi="Arial" w:cs="Arial"/>
          <w:color w:val="000000"/>
          <w:sz w:val="24"/>
          <w:szCs w:val="24"/>
          <w:u w:val="single"/>
        </w:rPr>
        <w:t xml:space="preserve"> </w:t>
      </w:r>
    </w:p>
    <w:p w14:paraId="6A8FA882" w14:textId="77777777" w:rsidR="00ED1D5A" w:rsidRPr="004212BC" w:rsidRDefault="00ED1D5A" w:rsidP="0038274B">
      <w:pPr>
        <w:spacing w:before="0" w:after="0"/>
        <w:rPr>
          <w:rFonts w:ascii="Arial" w:eastAsia="Calibri" w:hAnsi="Arial" w:cs="Arial"/>
          <w:sz w:val="24"/>
          <w:szCs w:val="24"/>
        </w:rPr>
      </w:pPr>
    </w:p>
    <w:p w14:paraId="5FC44007" w14:textId="2347F221" w:rsidR="00220042" w:rsidRPr="0038274B" w:rsidRDefault="00ED1D5A" w:rsidP="0038274B">
      <w:pPr>
        <w:spacing w:before="0" w:after="0"/>
        <w:rPr>
          <w:rFonts w:ascii="Arial" w:eastAsia="Calibri" w:hAnsi="Arial" w:cs="Arial"/>
          <w:sz w:val="24"/>
          <w:szCs w:val="24"/>
        </w:rPr>
      </w:pPr>
      <w:r w:rsidRPr="004212BC">
        <w:rPr>
          <w:rFonts w:ascii="Arial" w:eastAsia="Calibri" w:hAnsi="Arial" w:cs="Arial"/>
          <w:sz w:val="24"/>
          <w:szCs w:val="24"/>
        </w:rPr>
        <w:t xml:space="preserve">P&amp;F Service is researching existing procedures to determine if clarification is needed within the FPM.  Please note, if a manual change is implemented, you will be notified via the Compensation Service Calendar email blast. To subscribe to this email blast, please visit the </w:t>
      </w:r>
      <w:hyperlink r:id="rId32" w:history="1">
        <w:r w:rsidRPr="004212BC">
          <w:rPr>
            <w:rFonts w:ascii="Arial" w:eastAsia="Calibri" w:hAnsi="Arial" w:cs="Arial"/>
            <w:color w:val="0563C1"/>
            <w:sz w:val="24"/>
            <w:szCs w:val="24"/>
            <w:u w:val="single"/>
          </w:rPr>
          <w:t>Calendar Subscriptions</w:t>
        </w:r>
      </w:hyperlink>
      <w:r w:rsidRPr="004212BC">
        <w:rPr>
          <w:rFonts w:ascii="Arial" w:eastAsia="Calibri" w:hAnsi="Arial" w:cs="Arial"/>
          <w:sz w:val="24"/>
          <w:szCs w:val="24"/>
        </w:rPr>
        <w:t xml:space="preserve"> website.</w:t>
      </w:r>
    </w:p>
    <w:sectPr w:rsidR="00220042" w:rsidRPr="0038274B">
      <w:footerReference w:type="default" r:id="rId33"/>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C722" w14:textId="77777777" w:rsidR="00612829" w:rsidRDefault="00612829">
      <w:pPr>
        <w:spacing w:before="0" w:after="0"/>
      </w:pPr>
      <w:r>
        <w:separator/>
      </w:r>
    </w:p>
  </w:endnote>
  <w:endnote w:type="continuationSeparator" w:id="0">
    <w:p w14:paraId="36E65BBA" w14:textId="77777777" w:rsidR="00612829" w:rsidRDefault="006128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96814"/>
      <w:docPartObj>
        <w:docPartGallery w:val="Page Numbers (Bottom of Page)"/>
        <w:docPartUnique/>
      </w:docPartObj>
    </w:sdtPr>
    <w:sdtEndPr>
      <w:rPr>
        <w:noProof/>
      </w:rPr>
    </w:sdtEndPr>
    <w:sdtContent>
      <w:p w14:paraId="0378161C" w14:textId="77777777" w:rsidR="002B2D13" w:rsidRDefault="006344A8">
        <w:pPr>
          <w:pStyle w:val="Footer"/>
        </w:pPr>
        <w:r>
          <w:fldChar w:fldCharType="begin"/>
        </w:r>
        <w:r>
          <w:instrText xml:space="preserve"> PAGE   \* MERGEFORMAT </w:instrText>
        </w:r>
        <w:r>
          <w:fldChar w:fldCharType="separate"/>
        </w:r>
        <w:r w:rsidR="003D5BF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6C20" w14:textId="77777777" w:rsidR="00612829" w:rsidRDefault="00612829">
      <w:pPr>
        <w:spacing w:before="0" w:after="0"/>
      </w:pPr>
      <w:r>
        <w:separator/>
      </w:r>
    </w:p>
  </w:footnote>
  <w:footnote w:type="continuationSeparator" w:id="0">
    <w:p w14:paraId="24C8C174" w14:textId="77777777" w:rsidR="00612829" w:rsidRDefault="0061282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A18DBD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208E5C2"/>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217A7765"/>
    <w:multiLevelType w:val="hybridMultilevel"/>
    <w:tmpl w:val="397C9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AE33CD"/>
    <w:multiLevelType w:val="hybridMultilevel"/>
    <w:tmpl w:val="EC54D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3EA3939"/>
    <w:multiLevelType w:val="hybridMultilevel"/>
    <w:tmpl w:val="1BDAE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BE685F"/>
    <w:multiLevelType w:val="multilevel"/>
    <w:tmpl w:val="B9A0B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40635969">
    <w:abstractNumId w:val="4"/>
  </w:num>
  <w:num w:numId="2" w16cid:durableId="82460269">
    <w:abstractNumId w:val="6"/>
  </w:num>
  <w:num w:numId="3" w16cid:durableId="135687345">
    <w:abstractNumId w:val="1"/>
  </w:num>
  <w:num w:numId="4" w16cid:durableId="1647666014">
    <w:abstractNumId w:val="0"/>
  </w:num>
  <w:num w:numId="5" w16cid:durableId="1879853443">
    <w:abstractNumId w:val="1"/>
    <w:lvlOverride w:ilvl="0">
      <w:startOverride w:val="1"/>
    </w:lvlOverride>
  </w:num>
  <w:num w:numId="6" w16cid:durableId="1398555021">
    <w:abstractNumId w:val="1"/>
    <w:lvlOverride w:ilvl="0">
      <w:startOverride w:val="1"/>
    </w:lvlOverride>
  </w:num>
  <w:num w:numId="7" w16cid:durableId="842352624">
    <w:abstractNumId w:val="1"/>
  </w:num>
  <w:num w:numId="8" w16cid:durableId="2128963352">
    <w:abstractNumId w:val="1"/>
  </w:num>
  <w:num w:numId="9" w16cid:durableId="974141406">
    <w:abstractNumId w:val="1"/>
  </w:num>
  <w:num w:numId="10" w16cid:durableId="1812288154">
    <w:abstractNumId w:val="1"/>
  </w:num>
  <w:num w:numId="11" w16cid:durableId="1455172212">
    <w:abstractNumId w:val="1"/>
  </w:num>
  <w:num w:numId="12" w16cid:durableId="1013340418">
    <w:abstractNumId w:val="1"/>
  </w:num>
  <w:num w:numId="13" w16cid:durableId="9453801">
    <w:abstractNumId w:val="1"/>
  </w:num>
  <w:num w:numId="14" w16cid:durableId="2042895493">
    <w:abstractNumId w:val="1"/>
  </w:num>
  <w:num w:numId="15" w16cid:durableId="751049602">
    <w:abstractNumId w:val="1"/>
  </w:num>
  <w:num w:numId="16" w16cid:durableId="744231814">
    <w:abstractNumId w:val="1"/>
  </w:num>
  <w:num w:numId="17" w16cid:durableId="7562021">
    <w:abstractNumId w:val="1"/>
  </w:num>
  <w:num w:numId="18" w16cid:durableId="121651531">
    <w:abstractNumId w:val="1"/>
  </w:num>
  <w:num w:numId="19" w16cid:durableId="1024599510">
    <w:abstractNumId w:val="1"/>
  </w:num>
  <w:num w:numId="20" w16cid:durableId="329792845">
    <w:abstractNumId w:val="1"/>
  </w:num>
  <w:num w:numId="21" w16cid:durableId="1171528804">
    <w:abstractNumId w:val="1"/>
  </w:num>
  <w:num w:numId="22" w16cid:durableId="1289821744">
    <w:abstractNumId w:val="1"/>
  </w:num>
  <w:num w:numId="23" w16cid:durableId="325478805">
    <w:abstractNumId w:val="7"/>
  </w:num>
  <w:num w:numId="24" w16cid:durableId="1909876413">
    <w:abstractNumId w:val="3"/>
  </w:num>
  <w:num w:numId="25" w16cid:durableId="174005412">
    <w:abstractNumId w:val="5"/>
  </w:num>
  <w:num w:numId="26" w16cid:durableId="321276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00"/>
    <w:rsid w:val="00012B79"/>
    <w:rsid w:val="00022E23"/>
    <w:rsid w:val="0002310E"/>
    <w:rsid w:val="0003676B"/>
    <w:rsid w:val="000367B4"/>
    <w:rsid w:val="00047521"/>
    <w:rsid w:val="00075FC0"/>
    <w:rsid w:val="000C03B4"/>
    <w:rsid w:val="000D41CE"/>
    <w:rsid w:val="000D431A"/>
    <w:rsid w:val="00123438"/>
    <w:rsid w:val="001479B9"/>
    <w:rsid w:val="001601B5"/>
    <w:rsid w:val="00166898"/>
    <w:rsid w:val="001A71CE"/>
    <w:rsid w:val="001D0388"/>
    <w:rsid w:val="001E0877"/>
    <w:rsid w:val="00220042"/>
    <w:rsid w:val="00221FDF"/>
    <w:rsid w:val="00222A05"/>
    <w:rsid w:val="002370B8"/>
    <w:rsid w:val="00255CEA"/>
    <w:rsid w:val="002763C4"/>
    <w:rsid w:val="00290A0E"/>
    <w:rsid w:val="002B2D13"/>
    <w:rsid w:val="002C0EBF"/>
    <w:rsid w:val="002E04E9"/>
    <w:rsid w:val="0034721D"/>
    <w:rsid w:val="003634AF"/>
    <w:rsid w:val="0038274B"/>
    <w:rsid w:val="003A340E"/>
    <w:rsid w:val="003B1430"/>
    <w:rsid w:val="003D5BF7"/>
    <w:rsid w:val="003D6F28"/>
    <w:rsid w:val="003F0788"/>
    <w:rsid w:val="003F1B99"/>
    <w:rsid w:val="003F1EB4"/>
    <w:rsid w:val="003F257D"/>
    <w:rsid w:val="00406094"/>
    <w:rsid w:val="004212BC"/>
    <w:rsid w:val="004512E2"/>
    <w:rsid w:val="00465B17"/>
    <w:rsid w:val="004925ED"/>
    <w:rsid w:val="004A4D19"/>
    <w:rsid w:val="004B768A"/>
    <w:rsid w:val="004C5BD6"/>
    <w:rsid w:val="004C6763"/>
    <w:rsid w:val="004D3FEF"/>
    <w:rsid w:val="004D7A36"/>
    <w:rsid w:val="004E564D"/>
    <w:rsid w:val="004F2C34"/>
    <w:rsid w:val="005027D2"/>
    <w:rsid w:val="005242EA"/>
    <w:rsid w:val="0054292A"/>
    <w:rsid w:val="005537F7"/>
    <w:rsid w:val="00576095"/>
    <w:rsid w:val="00590F0E"/>
    <w:rsid w:val="005A7328"/>
    <w:rsid w:val="005D5A53"/>
    <w:rsid w:val="005E2F77"/>
    <w:rsid w:val="00611058"/>
    <w:rsid w:val="00612829"/>
    <w:rsid w:val="006344A8"/>
    <w:rsid w:val="0063741D"/>
    <w:rsid w:val="00645C6C"/>
    <w:rsid w:val="00646458"/>
    <w:rsid w:val="00665BE7"/>
    <w:rsid w:val="00694C08"/>
    <w:rsid w:val="006C616F"/>
    <w:rsid w:val="006F031C"/>
    <w:rsid w:val="00717522"/>
    <w:rsid w:val="00734EEC"/>
    <w:rsid w:val="00767841"/>
    <w:rsid w:val="007709C3"/>
    <w:rsid w:val="0078400B"/>
    <w:rsid w:val="007B529C"/>
    <w:rsid w:val="007C2C07"/>
    <w:rsid w:val="007D5F00"/>
    <w:rsid w:val="007E4418"/>
    <w:rsid w:val="007F04FA"/>
    <w:rsid w:val="0080005F"/>
    <w:rsid w:val="00800723"/>
    <w:rsid w:val="008074A6"/>
    <w:rsid w:val="0081400F"/>
    <w:rsid w:val="00827E35"/>
    <w:rsid w:val="008901FD"/>
    <w:rsid w:val="00893438"/>
    <w:rsid w:val="008B0207"/>
    <w:rsid w:val="008D2E41"/>
    <w:rsid w:val="008E706D"/>
    <w:rsid w:val="0098401C"/>
    <w:rsid w:val="009F20D9"/>
    <w:rsid w:val="00A070BE"/>
    <w:rsid w:val="00A41470"/>
    <w:rsid w:val="00A43E46"/>
    <w:rsid w:val="00A75F5A"/>
    <w:rsid w:val="00A81E31"/>
    <w:rsid w:val="00A93FAD"/>
    <w:rsid w:val="00B008C0"/>
    <w:rsid w:val="00B35C43"/>
    <w:rsid w:val="00B413B3"/>
    <w:rsid w:val="00B8458D"/>
    <w:rsid w:val="00BA35FA"/>
    <w:rsid w:val="00BD3B56"/>
    <w:rsid w:val="00C57777"/>
    <w:rsid w:val="00CB231B"/>
    <w:rsid w:val="00CE1752"/>
    <w:rsid w:val="00CF51DF"/>
    <w:rsid w:val="00D00C7E"/>
    <w:rsid w:val="00D27B0C"/>
    <w:rsid w:val="00D30235"/>
    <w:rsid w:val="00D34264"/>
    <w:rsid w:val="00D60069"/>
    <w:rsid w:val="00D62E01"/>
    <w:rsid w:val="00D661EE"/>
    <w:rsid w:val="00D7315C"/>
    <w:rsid w:val="00DA2957"/>
    <w:rsid w:val="00DC4360"/>
    <w:rsid w:val="00E048B4"/>
    <w:rsid w:val="00E134D2"/>
    <w:rsid w:val="00E54C1A"/>
    <w:rsid w:val="00E80383"/>
    <w:rsid w:val="00EA3B76"/>
    <w:rsid w:val="00ED1D5A"/>
    <w:rsid w:val="00EE1706"/>
    <w:rsid w:val="00EF5F29"/>
    <w:rsid w:val="00F06E5B"/>
    <w:rsid w:val="00F07F1A"/>
    <w:rsid w:val="00F10231"/>
    <w:rsid w:val="00F15EBC"/>
    <w:rsid w:val="00F31E9F"/>
    <w:rsid w:val="00F434DD"/>
    <w:rsid w:val="00F61499"/>
    <w:rsid w:val="00F767DA"/>
    <w:rsid w:val="00F96A26"/>
    <w:rsid w:val="00FA2398"/>
    <w:rsid w:val="00FE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28948"/>
  <w15:docId w15:val="{ACEFD8FA-3FA5-458A-938B-06FC1F72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841"/>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7E4418"/>
    <w:rPr>
      <w:sz w:val="16"/>
      <w:szCs w:val="16"/>
    </w:rPr>
  </w:style>
  <w:style w:type="paragraph" w:styleId="CommentText">
    <w:name w:val="annotation text"/>
    <w:basedOn w:val="Normal"/>
    <w:link w:val="CommentTextChar"/>
    <w:uiPriority w:val="99"/>
    <w:semiHidden/>
    <w:unhideWhenUsed/>
    <w:rsid w:val="007E4418"/>
    <w:rPr>
      <w:sz w:val="20"/>
      <w:szCs w:val="20"/>
    </w:rPr>
  </w:style>
  <w:style w:type="character" w:customStyle="1" w:styleId="CommentTextChar">
    <w:name w:val="Comment Text Char"/>
    <w:basedOn w:val="DefaultParagraphFont"/>
    <w:link w:val="CommentText"/>
    <w:uiPriority w:val="99"/>
    <w:semiHidden/>
    <w:rsid w:val="007E4418"/>
    <w:rPr>
      <w:sz w:val="20"/>
      <w:szCs w:val="20"/>
    </w:rPr>
  </w:style>
  <w:style w:type="paragraph" w:styleId="CommentSubject">
    <w:name w:val="annotation subject"/>
    <w:basedOn w:val="CommentText"/>
    <w:next w:val="CommentText"/>
    <w:link w:val="CommentSubjectChar"/>
    <w:uiPriority w:val="99"/>
    <w:semiHidden/>
    <w:unhideWhenUsed/>
    <w:rsid w:val="007E4418"/>
    <w:rPr>
      <w:b/>
      <w:bCs/>
    </w:rPr>
  </w:style>
  <w:style w:type="character" w:customStyle="1" w:styleId="CommentSubjectChar">
    <w:name w:val="Comment Subject Char"/>
    <w:basedOn w:val="CommentTextChar"/>
    <w:link w:val="CommentSubject"/>
    <w:uiPriority w:val="99"/>
    <w:semiHidden/>
    <w:rsid w:val="007E4418"/>
    <w:rPr>
      <w:b/>
      <w:bCs/>
      <w:sz w:val="20"/>
      <w:szCs w:val="20"/>
    </w:rPr>
  </w:style>
  <w:style w:type="character" w:styleId="Hyperlink">
    <w:name w:val="Hyperlink"/>
    <w:basedOn w:val="DefaultParagraphFont"/>
    <w:uiPriority w:val="99"/>
    <w:unhideWhenUsed/>
    <w:rsid w:val="007B529C"/>
    <w:rPr>
      <w:color w:val="0000FF" w:themeColor="hyperlink"/>
      <w:u w:val="single"/>
    </w:rPr>
  </w:style>
  <w:style w:type="character" w:styleId="UnresolvedMention">
    <w:name w:val="Unresolved Mention"/>
    <w:basedOn w:val="DefaultParagraphFont"/>
    <w:uiPriority w:val="99"/>
    <w:semiHidden/>
    <w:unhideWhenUsed/>
    <w:rsid w:val="007B529C"/>
    <w:rPr>
      <w:color w:val="605E5C"/>
      <w:shd w:val="clear" w:color="auto" w:fill="E1DFDD"/>
    </w:rPr>
  </w:style>
  <w:style w:type="character" w:styleId="FollowedHyperlink">
    <w:name w:val="FollowedHyperlink"/>
    <w:basedOn w:val="DefaultParagraphFont"/>
    <w:uiPriority w:val="99"/>
    <w:semiHidden/>
    <w:unhideWhenUsed/>
    <w:rsid w:val="00EE1706"/>
    <w:rPr>
      <w:color w:val="800080" w:themeColor="followedHyperlink"/>
      <w:u w:val="single"/>
    </w:rPr>
  </w:style>
  <w:style w:type="paragraph" w:styleId="ListParagraph">
    <w:name w:val="List Paragraph"/>
    <w:basedOn w:val="Normal"/>
    <w:uiPriority w:val="34"/>
    <w:qFormat/>
    <w:rsid w:val="002763C4"/>
    <w:pPr>
      <w:spacing w:before="0" w:after="0"/>
      <w:ind w:left="720"/>
    </w:pPr>
    <w:rPr>
      <w:rFonts w:ascii="Calibri" w:eastAsiaTheme="minorHAnsi" w:hAnsi="Calibri" w:cs="Calibri"/>
      <w:sz w:val="22"/>
      <w:szCs w:val="22"/>
    </w:rPr>
  </w:style>
  <w:style w:type="paragraph" w:styleId="Revision">
    <w:name w:val="Revision"/>
    <w:hidden/>
    <w:uiPriority w:val="99"/>
    <w:semiHidden/>
    <w:rsid w:val="002E04E9"/>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3132">
      <w:bodyDiv w:val="1"/>
      <w:marLeft w:val="0"/>
      <w:marRight w:val="0"/>
      <w:marTop w:val="0"/>
      <w:marBottom w:val="0"/>
      <w:divBdr>
        <w:top w:val="none" w:sz="0" w:space="0" w:color="auto"/>
        <w:left w:val="none" w:sz="0" w:space="0" w:color="auto"/>
        <w:bottom w:val="none" w:sz="0" w:space="0" w:color="auto"/>
        <w:right w:val="none" w:sz="0" w:space="0" w:color="auto"/>
      </w:divBdr>
    </w:div>
    <w:div w:id="452288152">
      <w:bodyDiv w:val="1"/>
      <w:marLeft w:val="0"/>
      <w:marRight w:val="0"/>
      <w:marTop w:val="0"/>
      <w:marBottom w:val="0"/>
      <w:divBdr>
        <w:top w:val="none" w:sz="0" w:space="0" w:color="auto"/>
        <w:left w:val="none" w:sz="0" w:space="0" w:color="auto"/>
        <w:bottom w:val="none" w:sz="0" w:space="0" w:color="auto"/>
        <w:right w:val="none" w:sz="0" w:space="0" w:color="auto"/>
      </w:divBdr>
    </w:div>
    <w:div w:id="658845851">
      <w:bodyDiv w:val="1"/>
      <w:marLeft w:val="0"/>
      <w:marRight w:val="0"/>
      <w:marTop w:val="0"/>
      <w:marBottom w:val="0"/>
      <w:divBdr>
        <w:top w:val="none" w:sz="0" w:space="0" w:color="auto"/>
        <w:left w:val="none" w:sz="0" w:space="0" w:color="auto"/>
        <w:bottom w:val="none" w:sz="0" w:space="0" w:color="auto"/>
        <w:right w:val="none" w:sz="0" w:space="0" w:color="auto"/>
      </w:divBdr>
    </w:div>
    <w:div w:id="1180581034">
      <w:bodyDiv w:val="1"/>
      <w:marLeft w:val="0"/>
      <w:marRight w:val="0"/>
      <w:marTop w:val="0"/>
      <w:marBottom w:val="0"/>
      <w:divBdr>
        <w:top w:val="none" w:sz="0" w:space="0" w:color="auto"/>
        <w:left w:val="none" w:sz="0" w:space="0" w:color="auto"/>
        <w:bottom w:val="none" w:sz="0" w:space="0" w:color="auto"/>
        <w:right w:val="none" w:sz="0" w:space="0" w:color="auto"/>
      </w:divBdr>
    </w:div>
    <w:div w:id="1356076834">
      <w:bodyDiv w:val="1"/>
      <w:marLeft w:val="0"/>
      <w:marRight w:val="0"/>
      <w:marTop w:val="0"/>
      <w:marBottom w:val="0"/>
      <w:divBdr>
        <w:top w:val="none" w:sz="0" w:space="0" w:color="auto"/>
        <w:left w:val="none" w:sz="0" w:space="0" w:color="auto"/>
        <w:bottom w:val="none" w:sz="0" w:space="0" w:color="auto"/>
        <w:right w:val="none" w:sz="0" w:space="0" w:color="auto"/>
      </w:divBdr>
    </w:div>
    <w:div w:id="211675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vaww.vrm.km.va.gov%2Fsystem%2Ftemplates%2Fselfservice%2Fva_kanew%2Fhelp%2Fagent%2Flocale%2Fen-US%2Fportal%2F554400000001034%2Fcontent%2F554400000011657%2FChapter%25205.%2520Strategic%2520Oversight%2520and%2520Analysis%2520Review%2520(SOAR)%232c&amp;data=05%7C01%7C%7C858de4753e4246df5ec608dad4a4ee53%7Ce95f1b23abaf45ee821db7ab251ab3bf%7C0%7C0%7C638056102087187984%7CUnknown%7CTWFpbGZsb3d8eyJWIjoiMC4wLjAwMDAiLCJQIjoiV2luMzIiLCJBTiI6Ik1haWwiLCJXVCI6Mn0%3D%7C3000%7C%7C%7C&amp;sdata=kHzMzTNHa4mk%2FTnf364C3%2BBptCQpNZyeDIKJFWS%2BQcA%3D&amp;reserved=0" TargetMode="External"/><Relationship Id="rId18" Type="http://schemas.openxmlformats.org/officeDocument/2006/relationships/hyperlink" Target="https://vaww.vrm.km.va.gov/system/templates/selfservice/va_kanew/help/agent/locale/en-US/portal/554400000001030/content/554400000153946/FPM-Part-I-Chapter-1-Section-B-General-Information-on-the-Fiduciary-Program" TargetMode="External"/><Relationship Id="rId26" Type="http://schemas.openxmlformats.org/officeDocument/2006/relationships/hyperlink" Target="mailto:PFPOLPROC.VBACO@va.gov" TargetMode="External"/><Relationship Id="rId3" Type="http://schemas.openxmlformats.org/officeDocument/2006/relationships/styles" Target="styles.xml"/><Relationship Id="rId21" Type="http://schemas.openxmlformats.org/officeDocument/2006/relationships/hyperlink" Target="https://vaww.vrm.km.va.gov/system/templates/selfservice/va_kanew/help/agent/locale/en-US/portal/554400000001030/content/554400000153954/FPM-Part-I-Chapter-3-Section-A-Accounting-Process-and-Requirement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cc02.safelinks.protection.outlook.com/?url=https%3A%2F%2Fvaww.vrm.km.va.gov%2Fsystem%2Ftemplates%2Fselfservice%2Fva_kanew%2Fhelp%2Fagent%2Flocale%2Fen-US%2Fportal%2F554400000001034%2Fcontent%2F554400000011657%2FChapter%25205.%2520Strategic%2520Oversight%2520and%2520Analysis%2520Review%2520(SOAR)%232c&amp;data=05%7C01%7C%7C858de4753e4246df5ec608dad4a4ee53%7Ce95f1b23abaf45ee821db7ab251ab3bf%7C0%7C0%7C638056102087187984%7CUnknown%7CTWFpbGZsb3d8eyJWIjoiMC4wLjAwMDAiLCJQIjoiV2luMzIiLCJBTiI6Ik1haWwiLCJXVCI6Mn0%3D%7C3000%7C%7C%7C&amp;sdata=kHzMzTNHa4mk%2FTnf364C3%2BBptCQpNZyeDIKJFWS%2BQcA%3D&amp;reserved=0" TargetMode="External"/><Relationship Id="rId17" Type="http://schemas.openxmlformats.org/officeDocument/2006/relationships/hyperlink" Target="https://vaww.vrm.km.va.gov/system/templates/selfservice/va_kanew/help/agent/locale/en-US/portal/554400000001030/content/554400000153946/FPM-Part-I-Chapter-1-Section-B-General-Information-on-the-Fiduciary-Program" TargetMode="External"/><Relationship Id="rId25" Type="http://schemas.openxmlformats.org/officeDocument/2006/relationships/hyperlink" Target="mailto:PFTNGQUALOVRST.VBACO@va.gov"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aww.vrm.km.va.gov/system/templates/selfservice/va_kanew/help/agent/locale/en-US/portal/554400000001030/content/554400000127439/Chapter%208.%20%20Fiduciary%20Hub%20(Hub)%20National%20Quality%20Reviews%20and%20Quality%20Review%20Teams%20(QRT)" TargetMode="External"/><Relationship Id="rId20" Type="http://schemas.openxmlformats.org/officeDocument/2006/relationships/hyperlink" Target="https://vaww.vrm.km.va.gov/system/templates/selfservice/va_kanew/help/agent/locale/en-US/portal/554400000001030/content/554400000153954/FPM-Part-I-Chapter-3-Section-A-Accounting-Process-and-Requirements"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ww.vrm.km.va.gov/system/templates/selfservice/va_kanew/help/agent/locale/en-US/portal/554400000001030/content/554400000153966/FPM-Part-II-Chapter-1-Section-C-Issues-Regarding-Beneficiarys-Funds" TargetMode="External"/><Relationship Id="rId24" Type="http://schemas.openxmlformats.org/officeDocument/2006/relationships/hyperlink" Target="https://vaww.vrm.km.va.gov/system/templates/selfservice/va_kanew/help/agent/locale/en-US/portal/554400000001030/content/554400000153966/FPM-Part-II-Chapter-1-Section-C-Issues-Regarding-Beneficiarys-Funds" TargetMode="External"/><Relationship Id="rId32" Type="http://schemas.openxmlformats.org/officeDocument/2006/relationships/hyperlink" Target="http://vbacoweb03.dva.va.gov/bl/21/Calendar/cal_Subscribe.asp" TargetMode="External"/><Relationship Id="rId5" Type="http://schemas.openxmlformats.org/officeDocument/2006/relationships/webSettings" Target="webSettings.xml"/><Relationship Id="rId15" Type="http://schemas.openxmlformats.org/officeDocument/2006/relationships/hyperlink" Target="https://www.ecfr.gov/current/title-38/chapter-I/part-13/section-13.280" TargetMode="External"/><Relationship Id="rId23" Type="http://schemas.openxmlformats.org/officeDocument/2006/relationships/hyperlink" Target="https://vaww.vrm.km.va.gov/system/templates/selfservice/va_kanew/help/agent/locale/en-US/portal/554400000001030/content/554400000153966/FPM-Part-II-Chapter-1-Section-C-Issues-Regarding-Beneficiarys-Funds" TargetMode="External"/><Relationship Id="rId28" Type="http://schemas.openxmlformats.org/officeDocument/2006/relationships/hyperlink" Target="https://web.microsoftstream.com/video/ed62b659-f709-4149-97d1-1d9daa86c93f" TargetMode="External"/><Relationship Id="rId36" Type="http://schemas.openxmlformats.org/officeDocument/2006/relationships/theme" Target="theme/theme1.xml"/><Relationship Id="rId10" Type="http://schemas.openxmlformats.org/officeDocument/2006/relationships/hyperlink" Target="https://vaww.vrm.km.va.gov/system/templates/selfservice/va_kanew/help/agent/locale/en-US/portal/554400000001030/content/554400000153966/FPM-Part-II-Chapter-1-Section-C-Issues-Regarding-Beneficiarys-Funds" TargetMode="External"/><Relationship Id="rId19" Type="http://schemas.openxmlformats.org/officeDocument/2006/relationships/hyperlink" Target="https://vaww.vrm.km.va.gov/system/templates/selfservice/va_kanew/help/agent/locale/en-US/portal/554400000001030/content/554400000153946/FPM-Part-I-Chapter-1-Section-B-General-Information-on-the-Fiduciary-Program" TargetMode="External"/><Relationship Id="rId31" Type="http://schemas.openxmlformats.org/officeDocument/2006/relationships/hyperlink" Target="https://vaww.vrm.km.va.gov/system/templates/selfservice/va_kanew/help/agent/locale/en-US/portal/554400000001030/content/554400000153970/FPM-Part-II-Chapter-2-Section-B-Bonds-Withdrawal-Agreements-and-Liability-Insurance" TargetMode="External"/><Relationship Id="rId4" Type="http://schemas.openxmlformats.org/officeDocument/2006/relationships/settings" Target="settings.xml"/><Relationship Id="rId9" Type="http://schemas.openxmlformats.org/officeDocument/2006/relationships/hyperlink" Target="https://vaww.vrm.km.va.gov/system/templates/selfservice/va_kanew/help/agent/locale/en-US/portal/554400000001030/content/554400000153966/FPM-Part-II-Chapter-1-Section-C-Issues-Regarding-Beneficiarys-Funds" TargetMode="External"/><Relationship Id="rId14" Type="http://schemas.openxmlformats.org/officeDocument/2006/relationships/hyperlink" Target="https://vaww.vrm.km.va.gov/system/templates/selfservice/va_kanew/help/agent/locale/en-US/portal/554400000001030/content/554400000153954/FPM-Part-I-Chapter-3-Section-A-Accounting-Process-and-Requirements" TargetMode="External"/><Relationship Id="rId22" Type="http://schemas.openxmlformats.org/officeDocument/2006/relationships/hyperlink" Target="https://vaww.vrm.km.va.gov/system/templates/selfservice/va_kanew/help/agent/locale/en-US/portal/554400000001030/content/554400000153959/FPM-Part-I-Chapter-3-Section-D-Accounting-Disposition" TargetMode="External"/><Relationship Id="rId27" Type="http://schemas.openxmlformats.org/officeDocument/2006/relationships/hyperlink" Target="https://vbaw.vba.va.gov/PENSIONANDFIDUCIARY/Quality_Call_Bulletins.asp" TargetMode="External"/><Relationship Id="rId30" Type="http://schemas.openxmlformats.org/officeDocument/2006/relationships/image" Target="media/image3.png"/><Relationship Id="rId35" Type="http://schemas.openxmlformats.org/officeDocument/2006/relationships/glossaryDocument" Target="glossary/document.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DCOYL\AppData\Roaming\Microsoft\Templates\In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5DDF16B8D840B4B01294AF94A69C40"/>
        <w:category>
          <w:name w:val="General"/>
          <w:gallery w:val="placeholder"/>
        </w:category>
        <w:types>
          <w:type w:val="bbPlcHdr"/>
        </w:types>
        <w:behaviors>
          <w:behavior w:val="content"/>
        </w:behaviors>
        <w:guid w:val="{BE621820-A021-4478-B288-84D99DB3AFF9}"/>
      </w:docPartPr>
      <w:docPartBody>
        <w:p w:rsidR="00F91AC9" w:rsidRDefault="0050150A">
          <w:pPr>
            <w:pStyle w:val="0E5DDF16B8D840B4B01294AF94A69C40"/>
          </w:pPr>
          <w:r>
            <w:t>Date</w:t>
          </w:r>
        </w:p>
      </w:docPartBody>
    </w:docPart>
    <w:docPart>
      <w:docPartPr>
        <w:name w:val="20DE57C5D5E449D1A227C0884E237AD8"/>
        <w:category>
          <w:name w:val="General"/>
          <w:gallery w:val="placeholder"/>
        </w:category>
        <w:types>
          <w:type w:val="bbPlcHdr"/>
        </w:types>
        <w:behaviors>
          <w:behavior w:val="content"/>
        </w:behaviors>
        <w:guid w:val="{09008CE1-9DCF-4300-8643-5394F1432026}"/>
      </w:docPartPr>
      <w:docPartBody>
        <w:p w:rsidR="00F91AC9" w:rsidRDefault="0050150A">
          <w:pPr>
            <w:pStyle w:val="20DE57C5D5E449D1A227C0884E237AD8"/>
          </w:pPr>
          <w:r>
            <w:t>Agenda item:</w:t>
          </w:r>
        </w:p>
      </w:docPartBody>
    </w:docPart>
    <w:docPart>
      <w:docPartPr>
        <w:name w:val="351F97E736274FF0994F1CE60D68DE77"/>
        <w:category>
          <w:name w:val="General"/>
          <w:gallery w:val="placeholder"/>
        </w:category>
        <w:types>
          <w:type w:val="bbPlcHdr"/>
        </w:types>
        <w:behaviors>
          <w:behavior w:val="content"/>
        </w:behaviors>
        <w:guid w:val="{39FE9B49-D436-4B92-9650-7F2267C8D06E}"/>
      </w:docPartPr>
      <w:docPartBody>
        <w:p w:rsidR="00F91AC9" w:rsidRDefault="0050150A">
          <w:pPr>
            <w:pStyle w:val="351F97E736274FF0994F1CE60D68DE77"/>
          </w:pPr>
          <w:r>
            <w:t>Presenter:</w:t>
          </w:r>
        </w:p>
      </w:docPartBody>
    </w:docPart>
    <w:docPart>
      <w:docPartPr>
        <w:name w:val="BEEE93B5055349CDA16253D1263663B8"/>
        <w:category>
          <w:name w:val="General"/>
          <w:gallery w:val="placeholder"/>
        </w:category>
        <w:types>
          <w:type w:val="bbPlcHdr"/>
        </w:types>
        <w:behaviors>
          <w:behavior w:val="content"/>
        </w:behaviors>
        <w:guid w:val="{6B625FD9-9BA0-4429-B5EF-B0EF4AADC695}"/>
      </w:docPartPr>
      <w:docPartBody>
        <w:p w:rsidR="00F91AC9" w:rsidRDefault="0050150A">
          <w:pPr>
            <w:pStyle w:val="BEEE93B5055349CDA16253D1263663B8"/>
          </w:pPr>
          <w:r>
            <w:t>Agenda item:</w:t>
          </w:r>
        </w:p>
      </w:docPartBody>
    </w:docPart>
    <w:docPart>
      <w:docPartPr>
        <w:name w:val="EE2DA83037A34D638D4ED63942E9D9E4"/>
        <w:category>
          <w:name w:val="General"/>
          <w:gallery w:val="placeholder"/>
        </w:category>
        <w:types>
          <w:type w:val="bbPlcHdr"/>
        </w:types>
        <w:behaviors>
          <w:behavior w:val="content"/>
        </w:behaviors>
        <w:guid w:val="{46D50C73-5137-4064-9B41-B7454747B0D4}"/>
      </w:docPartPr>
      <w:docPartBody>
        <w:p w:rsidR="00F91AC9" w:rsidRDefault="0050150A">
          <w:pPr>
            <w:pStyle w:val="EE2DA83037A34D638D4ED63942E9D9E4"/>
          </w:pPr>
          <w:r>
            <w:t>Presenter:</w:t>
          </w:r>
        </w:p>
      </w:docPartBody>
    </w:docPart>
    <w:docPart>
      <w:docPartPr>
        <w:name w:val="5C526D49C19E4A4DA765D72573DF8370"/>
        <w:category>
          <w:name w:val="General"/>
          <w:gallery w:val="placeholder"/>
        </w:category>
        <w:types>
          <w:type w:val="bbPlcHdr"/>
        </w:types>
        <w:behaviors>
          <w:behavior w:val="content"/>
        </w:behaviors>
        <w:guid w:val="{C9E0606B-E1D8-4A40-A157-D6E8C5A2776C}"/>
      </w:docPartPr>
      <w:docPartBody>
        <w:p w:rsidR="00F91AC9" w:rsidRDefault="0050150A">
          <w:pPr>
            <w:pStyle w:val="5C526D49C19E4A4DA765D72573DF8370"/>
          </w:pPr>
          <w:r>
            <w:t>Agenda item:</w:t>
          </w:r>
        </w:p>
      </w:docPartBody>
    </w:docPart>
    <w:docPart>
      <w:docPartPr>
        <w:name w:val="02EA8C92C8104148B1800799423752F6"/>
        <w:category>
          <w:name w:val="General"/>
          <w:gallery w:val="placeholder"/>
        </w:category>
        <w:types>
          <w:type w:val="bbPlcHdr"/>
        </w:types>
        <w:behaviors>
          <w:behavior w:val="content"/>
        </w:behaviors>
        <w:guid w:val="{B141B2E8-AC88-4736-871B-B7A512A3FD7C}"/>
      </w:docPartPr>
      <w:docPartBody>
        <w:p w:rsidR="00F91AC9" w:rsidRDefault="0050150A">
          <w:pPr>
            <w:pStyle w:val="02EA8C92C8104148B1800799423752F6"/>
          </w:pPr>
          <w:r>
            <w:t>Presenter:</w:t>
          </w:r>
        </w:p>
      </w:docPartBody>
    </w:docPart>
    <w:docPart>
      <w:docPartPr>
        <w:name w:val="63F8F156A0BA49FD94B529EB45F4DDD9"/>
        <w:category>
          <w:name w:val="General"/>
          <w:gallery w:val="placeholder"/>
        </w:category>
        <w:types>
          <w:type w:val="bbPlcHdr"/>
        </w:types>
        <w:behaviors>
          <w:behavior w:val="content"/>
        </w:behaviors>
        <w:guid w:val="{BCC2497A-6995-4963-9177-CBBDCE096C32}"/>
      </w:docPartPr>
      <w:docPartBody>
        <w:p w:rsidR="00CD1B07" w:rsidRDefault="00C66D9E" w:rsidP="00C66D9E">
          <w:pPr>
            <w:pStyle w:val="63F8F156A0BA49FD94B529EB45F4DDD9"/>
          </w:pPr>
          <w:r>
            <w:t>Agenda item:</w:t>
          </w:r>
        </w:p>
      </w:docPartBody>
    </w:docPart>
    <w:docPart>
      <w:docPartPr>
        <w:name w:val="B9AD265B8BA14DF9BFC87494C85D00AA"/>
        <w:category>
          <w:name w:val="General"/>
          <w:gallery w:val="placeholder"/>
        </w:category>
        <w:types>
          <w:type w:val="bbPlcHdr"/>
        </w:types>
        <w:behaviors>
          <w:behavior w:val="content"/>
        </w:behaviors>
        <w:guid w:val="{6A55160E-50DD-4E9E-89E5-0A8072C981B8}"/>
      </w:docPartPr>
      <w:docPartBody>
        <w:p w:rsidR="00CD1B07" w:rsidRDefault="00C66D9E" w:rsidP="00C66D9E">
          <w:pPr>
            <w:pStyle w:val="B9AD265B8BA14DF9BFC87494C85D00AA"/>
          </w:pPr>
          <w:r>
            <w:t>Presenter:</w:t>
          </w:r>
        </w:p>
      </w:docPartBody>
    </w:docPart>
    <w:docPart>
      <w:docPartPr>
        <w:name w:val="D2F682D7EEDC4D41BE88C703B1C57A15"/>
        <w:category>
          <w:name w:val="General"/>
          <w:gallery w:val="placeholder"/>
        </w:category>
        <w:types>
          <w:type w:val="bbPlcHdr"/>
        </w:types>
        <w:behaviors>
          <w:behavior w:val="content"/>
        </w:behaviors>
        <w:guid w:val="{6F1B56B0-ECF1-43D8-8106-FE0135283E9A}"/>
      </w:docPartPr>
      <w:docPartBody>
        <w:p w:rsidR="00CD1B07" w:rsidRDefault="00C66D9E" w:rsidP="00C66D9E">
          <w:pPr>
            <w:pStyle w:val="D2F682D7EEDC4D41BE88C703B1C57A15"/>
          </w:pPr>
          <w:r>
            <w:t>Agenda item:</w:t>
          </w:r>
        </w:p>
      </w:docPartBody>
    </w:docPart>
    <w:docPart>
      <w:docPartPr>
        <w:name w:val="3220624657EA4639A46999FC96D43AE9"/>
        <w:category>
          <w:name w:val="General"/>
          <w:gallery w:val="placeholder"/>
        </w:category>
        <w:types>
          <w:type w:val="bbPlcHdr"/>
        </w:types>
        <w:behaviors>
          <w:behavior w:val="content"/>
        </w:behaviors>
        <w:guid w:val="{7C762472-488C-4A6A-887E-7273F636B3C7}"/>
      </w:docPartPr>
      <w:docPartBody>
        <w:p w:rsidR="00CD1B07" w:rsidRDefault="00C66D9E" w:rsidP="00C66D9E">
          <w:pPr>
            <w:pStyle w:val="3220624657EA4639A46999FC96D43AE9"/>
          </w:pPr>
          <w:r>
            <w:t>Presenter: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C6"/>
    <w:rsid w:val="00015DB0"/>
    <w:rsid w:val="0028152F"/>
    <w:rsid w:val="0043477B"/>
    <w:rsid w:val="0050150A"/>
    <w:rsid w:val="005507E6"/>
    <w:rsid w:val="00551E84"/>
    <w:rsid w:val="005916E2"/>
    <w:rsid w:val="00645C56"/>
    <w:rsid w:val="00720A3D"/>
    <w:rsid w:val="00760522"/>
    <w:rsid w:val="00835298"/>
    <w:rsid w:val="009A11DC"/>
    <w:rsid w:val="00A831DC"/>
    <w:rsid w:val="00C0234A"/>
    <w:rsid w:val="00C66D9E"/>
    <w:rsid w:val="00CD1B07"/>
    <w:rsid w:val="00CF7EE1"/>
    <w:rsid w:val="00D84B6A"/>
    <w:rsid w:val="00D9187D"/>
    <w:rsid w:val="00ED13C6"/>
    <w:rsid w:val="00F91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5DDF16B8D840B4B01294AF94A69C40">
    <w:name w:val="0E5DDF16B8D840B4B01294AF94A69C40"/>
  </w:style>
  <w:style w:type="paragraph" w:customStyle="1" w:styleId="20DE57C5D5E449D1A227C0884E237AD8">
    <w:name w:val="20DE57C5D5E449D1A227C0884E237AD8"/>
  </w:style>
  <w:style w:type="paragraph" w:customStyle="1" w:styleId="351F97E736274FF0994F1CE60D68DE77">
    <w:name w:val="351F97E736274FF0994F1CE60D68DE77"/>
  </w:style>
  <w:style w:type="paragraph" w:customStyle="1" w:styleId="BEEE93B5055349CDA16253D1263663B8">
    <w:name w:val="BEEE93B5055349CDA16253D1263663B8"/>
  </w:style>
  <w:style w:type="paragraph" w:customStyle="1" w:styleId="EE2DA83037A34D638D4ED63942E9D9E4">
    <w:name w:val="EE2DA83037A34D638D4ED63942E9D9E4"/>
  </w:style>
  <w:style w:type="paragraph" w:customStyle="1" w:styleId="5C526D49C19E4A4DA765D72573DF8370">
    <w:name w:val="5C526D49C19E4A4DA765D72573DF8370"/>
  </w:style>
  <w:style w:type="paragraph" w:customStyle="1" w:styleId="02EA8C92C8104148B1800799423752F6">
    <w:name w:val="02EA8C92C8104148B1800799423752F6"/>
  </w:style>
  <w:style w:type="paragraph" w:customStyle="1" w:styleId="63F8F156A0BA49FD94B529EB45F4DDD9">
    <w:name w:val="63F8F156A0BA49FD94B529EB45F4DDD9"/>
    <w:rsid w:val="00C66D9E"/>
  </w:style>
  <w:style w:type="paragraph" w:customStyle="1" w:styleId="B9AD265B8BA14DF9BFC87494C85D00AA">
    <w:name w:val="B9AD265B8BA14DF9BFC87494C85D00AA"/>
    <w:rsid w:val="00C66D9E"/>
  </w:style>
  <w:style w:type="paragraph" w:customStyle="1" w:styleId="D2F682D7EEDC4D41BE88C703B1C57A15">
    <w:name w:val="D2F682D7EEDC4D41BE88C703B1C57A15"/>
    <w:rsid w:val="00C66D9E"/>
  </w:style>
  <w:style w:type="paragraph" w:customStyle="1" w:styleId="3220624657EA4639A46999FC96D43AE9">
    <w:name w:val="3220624657EA4639A46999FC96D43AE9"/>
    <w:rsid w:val="00C66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271F3-0229-41A9-830E-142959DF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minutes</Template>
  <TotalTime>3</TotalTime>
  <Pages>6</Pages>
  <Words>2413</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December 2022 Fiduciary Quality Call Bulletin</vt:lpstr>
    </vt:vector>
  </TitlesOfParts>
  <Company>Veterans Benefits Administration</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2022 Fiduciary Quality Call Bulletin</dc:title>
  <dc:subject/>
  <dc:creator>Department of Veterans Affairs, Veterans Benefits Administration, Pension and Fiduciary Service, STAFF</dc:creator>
  <cp:keywords/>
  <dc:description/>
  <cp:lastModifiedBy>Kathy Poole</cp:lastModifiedBy>
  <cp:revision>4</cp:revision>
  <dcterms:created xsi:type="dcterms:W3CDTF">2023-01-19T14:41:00Z</dcterms:created>
  <dcterms:modified xsi:type="dcterms:W3CDTF">2023-01-20T19:54:00Z</dcterms:modified>
  <cp:category>NTC Curriculum</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