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BA" w:rsidRPr="007A364D" w:rsidRDefault="004A19B4" w:rsidP="00064176">
      <w:pPr>
        <w:pStyle w:val="Title"/>
        <w:jc w:val="center"/>
      </w:pPr>
      <w:bookmarkStart w:id="0" w:name="_GoBack"/>
      <w:bookmarkEnd w:id="0"/>
      <w:r>
        <w:t xml:space="preserve">Accounting Policy Release </w:t>
      </w:r>
      <w:r w:rsidR="00F80D64" w:rsidRPr="007A364D">
        <w:t>Train</w:t>
      </w:r>
      <w:r>
        <w:t>ing</w:t>
      </w:r>
    </w:p>
    <w:p w:rsidR="00262E91" w:rsidRDefault="00FC7B14" w:rsidP="00262E91">
      <w:pPr>
        <w:pStyle w:val="Heading1"/>
      </w:pPr>
      <w:r>
        <w:t>Instr</w:t>
      </w:r>
      <w:r w:rsidR="00262E91">
        <w:t>uct</w:t>
      </w:r>
      <w:r>
        <w:t>or Guide</w:t>
      </w:r>
    </w:p>
    <w:p w:rsidR="00262E91" w:rsidRDefault="00262E91" w:rsidP="00262E91">
      <w:pPr>
        <w:rPr>
          <w:rFonts w:ascii="Arial" w:hAnsi="Arial" w:cs="Arial"/>
          <w:sz w:val="24"/>
          <w:szCs w:val="24"/>
        </w:rPr>
      </w:pPr>
      <w:r w:rsidRPr="00262E91">
        <w:rPr>
          <w:rFonts w:ascii="Arial" w:hAnsi="Arial" w:cs="Arial"/>
          <w:sz w:val="24"/>
          <w:szCs w:val="24"/>
        </w:rPr>
        <w:t xml:space="preserve">The manual update breaks the chapter into logical sections of the accounting process.  This train-the-trainer session will approach each step in that process to clarify policy and offer support to help Fiduciary Hubs execute policy. </w:t>
      </w:r>
    </w:p>
    <w:p w:rsidR="004F2ACA" w:rsidRDefault="004F2ACA" w:rsidP="00262E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3 is now reserved for accounting specific policy, while chapt</w:t>
      </w:r>
      <w:r w:rsidR="00A67FCC">
        <w:rPr>
          <w:rFonts w:ascii="Arial" w:hAnsi="Arial" w:cs="Arial"/>
          <w:sz w:val="24"/>
          <w:szCs w:val="24"/>
        </w:rPr>
        <w:t xml:space="preserve">er 4 </w:t>
      </w:r>
      <w:r w:rsidR="004A19B4">
        <w:rPr>
          <w:rFonts w:ascii="Arial" w:hAnsi="Arial" w:cs="Arial"/>
          <w:sz w:val="24"/>
          <w:szCs w:val="24"/>
        </w:rPr>
        <w:t xml:space="preserve">references </w:t>
      </w:r>
      <w:r>
        <w:rPr>
          <w:rFonts w:ascii="Arial" w:hAnsi="Arial" w:cs="Arial"/>
          <w:sz w:val="24"/>
          <w:szCs w:val="24"/>
        </w:rPr>
        <w:t>policy</w:t>
      </w:r>
      <w:r w:rsidR="00A67FCC">
        <w:rPr>
          <w:rFonts w:ascii="Arial" w:hAnsi="Arial" w:cs="Arial"/>
          <w:sz w:val="24"/>
          <w:szCs w:val="24"/>
        </w:rPr>
        <w:t xml:space="preserve"> outside the accounting process.</w:t>
      </w:r>
    </w:p>
    <w:p w:rsidR="00BB7D60" w:rsidRDefault="00BB7D60" w:rsidP="00064176">
      <w:pPr>
        <w:pStyle w:val="Heading1"/>
      </w:pPr>
      <w:r>
        <w:t>FPG Articles</w:t>
      </w:r>
    </w:p>
    <w:p w:rsidR="00A67FCC" w:rsidRPr="00A67FCC" w:rsidRDefault="00A67FCC" w:rsidP="00A67FCC">
      <w:pPr>
        <w:rPr>
          <w:rFonts w:ascii="Arial" w:hAnsi="Arial" w:cs="Arial"/>
          <w:sz w:val="24"/>
          <w:szCs w:val="24"/>
        </w:rPr>
      </w:pPr>
      <w:r w:rsidRPr="00A67FCC">
        <w:rPr>
          <w:rFonts w:ascii="Arial" w:hAnsi="Arial" w:cs="Arial"/>
          <w:sz w:val="24"/>
          <w:szCs w:val="24"/>
        </w:rPr>
        <w:t>The new accounting chapter is accompanied by five FPG articles that</w:t>
      </w:r>
      <w:r>
        <w:rPr>
          <w:rFonts w:ascii="Arial" w:hAnsi="Arial" w:cs="Arial"/>
          <w:sz w:val="24"/>
          <w:szCs w:val="24"/>
        </w:rPr>
        <w:t xml:space="preserve"> assist executing the accounting policy.</w:t>
      </w:r>
      <w:r w:rsidRPr="00A67FCC">
        <w:rPr>
          <w:rFonts w:ascii="Arial" w:hAnsi="Arial" w:cs="Arial"/>
          <w:sz w:val="24"/>
          <w:szCs w:val="24"/>
        </w:rPr>
        <w:t xml:space="preserve"> </w:t>
      </w:r>
      <w:r w:rsidR="002B683C">
        <w:rPr>
          <w:rFonts w:ascii="Arial" w:hAnsi="Arial" w:cs="Arial"/>
          <w:sz w:val="24"/>
          <w:szCs w:val="24"/>
        </w:rPr>
        <w:t>Login to the Fiduciary KM portal and navigate to the Fiduciary Program Guide. Show students the five accompanying articles that accompany the chapter.</w:t>
      </w:r>
    </w:p>
    <w:p w:rsidR="0039123F" w:rsidRPr="00A67FCC" w:rsidRDefault="00ED76C9" w:rsidP="00A67FCC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A67FCC">
        <w:rPr>
          <w:rFonts w:ascii="Arial" w:hAnsi="Arial" w:cs="Arial"/>
          <w:sz w:val="24"/>
          <w:szCs w:val="24"/>
        </w:rPr>
        <w:t>Accounting Work Items</w:t>
      </w:r>
    </w:p>
    <w:p w:rsidR="0039123F" w:rsidRPr="00A67FCC" w:rsidRDefault="00ED76C9" w:rsidP="00A67FCC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A67FCC">
        <w:rPr>
          <w:rFonts w:ascii="Arial" w:hAnsi="Arial" w:cs="Arial"/>
          <w:sz w:val="24"/>
          <w:szCs w:val="24"/>
        </w:rPr>
        <w:t>Accounting Solicitation</w:t>
      </w:r>
    </w:p>
    <w:p w:rsidR="0039123F" w:rsidRPr="00A67FCC" w:rsidRDefault="00ED76C9" w:rsidP="00A67FCC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A67FCC">
        <w:rPr>
          <w:rFonts w:ascii="Arial" w:hAnsi="Arial" w:cs="Arial"/>
          <w:sz w:val="24"/>
          <w:szCs w:val="24"/>
        </w:rPr>
        <w:t>Accounting Audit</w:t>
      </w:r>
    </w:p>
    <w:p w:rsidR="0039123F" w:rsidRPr="00A67FCC" w:rsidRDefault="00ED76C9" w:rsidP="00A67FCC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A67FCC">
        <w:rPr>
          <w:rFonts w:ascii="Arial" w:hAnsi="Arial" w:cs="Arial"/>
          <w:sz w:val="24"/>
          <w:szCs w:val="24"/>
        </w:rPr>
        <w:t>Accounting Disposition</w:t>
      </w:r>
    </w:p>
    <w:p w:rsidR="0039123F" w:rsidRPr="00A67FCC" w:rsidRDefault="00ED76C9" w:rsidP="00A67FCC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A67FCC">
        <w:rPr>
          <w:rFonts w:ascii="Arial" w:hAnsi="Arial" w:cs="Arial"/>
          <w:sz w:val="24"/>
          <w:szCs w:val="24"/>
        </w:rPr>
        <w:t>Accounting FAQs</w:t>
      </w:r>
    </w:p>
    <w:p w:rsidR="00BB7D60" w:rsidRDefault="00BB7D60" w:rsidP="00064176">
      <w:pPr>
        <w:pStyle w:val="Heading1"/>
      </w:pPr>
      <w:r>
        <w:t>FAQs</w:t>
      </w:r>
    </w:p>
    <w:p w:rsidR="00A67FCC" w:rsidRPr="00A67FCC" w:rsidRDefault="00A67FCC" w:rsidP="00A67FCC">
      <w:r w:rsidRPr="00A67FC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Accounting FAQs article answers common questions from the Fiduciary Program Manual (FPM) by manual reference. </w:t>
      </w:r>
      <w:r w:rsidR="002B683C">
        <w:rPr>
          <w:rFonts w:ascii="Arial" w:hAnsi="Arial" w:cs="Arial"/>
          <w:sz w:val="24"/>
          <w:szCs w:val="24"/>
        </w:rPr>
        <w:t xml:space="preserve"> Walk students through common questions in your hub.</w:t>
      </w:r>
    </w:p>
    <w:p w:rsidR="00BB7D60" w:rsidRDefault="00BB7D60" w:rsidP="00BB7D60">
      <w:pPr>
        <w:pStyle w:val="Heading1"/>
      </w:pPr>
      <w:r>
        <w:t>Securing Accountings</w:t>
      </w:r>
    </w:p>
    <w:p w:rsidR="002B683C" w:rsidRPr="002B683C" w:rsidRDefault="002B683C" w:rsidP="002B683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how your h</w:t>
      </w:r>
      <w:r w:rsidRPr="002B683C">
        <w:rPr>
          <w:rFonts w:ascii="Arial" w:hAnsi="Arial" w:cs="Arial"/>
          <w:sz w:val="24"/>
          <w:szCs w:val="24"/>
        </w:rPr>
        <w:t xml:space="preserve">ub will track and </w:t>
      </w:r>
      <w:r>
        <w:rPr>
          <w:rFonts w:ascii="Arial" w:hAnsi="Arial" w:cs="Arial"/>
          <w:sz w:val="24"/>
          <w:szCs w:val="24"/>
        </w:rPr>
        <w:t>complete</w:t>
      </w:r>
      <w:r w:rsidRPr="002B683C">
        <w:rPr>
          <w:rFonts w:ascii="Arial" w:hAnsi="Arial" w:cs="Arial"/>
          <w:sz w:val="24"/>
          <w:szCs w:val="24"/>
        </w:rPr>
        <w:t xml:space="preserve"> accounting letters and phone call.</w:t>
      </w:r>
    </w:p>
    <w:p w:rsidR="00BB7D60" w:rsidRPr="002B683C" w:rsidRDefault="002B683C" w:rsidP="002B683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683C">
        <w:rPr>
          <w:rFonts w:ascii="Arial" w:hAnsi="Arial" w:cs="Arial"/>
          <w:sz w:val="24"/>
          <w:szCs w:val="24"/>
        </w:rPr>
        <w:t xml:space="preserve">Demonstrate how to use the “Accounting </w:t>
      </w:r>
      <w:r w:rsidR="00BB7D60" w:rsidRPr="002B683C">
        <w:rPr>
          <w:rFonts w:ascii="Arial" w:hAnsi="Arial" w:cs="Arial"/>
          <w:sz w:val="24"/>
          <w:szCs w:val="24"/>
        </w:rPr>
        <w:t>Solicitation</w:t>
      </w:r>
      <w:r w:rsidRPr="002B683C">
        <w:rPr>
          <w:rFonts w:ascii="Arial" w:hAnsi="Arial" w:cs="Arial"/>
          <w:sz w:val="24"/>
          <w:szCs w:val="24"/>
        </w:rPr>
        <w:t xml:space="preserve">” FPG article to </w:t>
      </w:r>
      <w:r>
        <w:rPr>
          <w:rFonts w:ascii="Arial" w:hAnsi="Arial" w:cs="Arial"/>
          <w:sz w:val="24"/>
          <w:szCs w:val="24"/>
        </w:rPr>
        <w:t>complete:</w:t>
      </w:r>
    </w:p>
    <w:p w:rsidR="00BB7D60" w:rsidRPr="007A364D" w:rsidRDefault="002B683C" w:rsidP="002B683C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Export accounting letters</w:t>
      </w:r>
    </w:p>
    <w:p w:rsidR="00BB7D60" w:rsidRPr="002B683C" w:rsidRDefault="002B683C" w:rsidP="002B683C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2B683C">
        <w:rPr>
          <w:rFonts w:ascii="Arial" w:hAnsi="Arial" w:cs="Arial"/>
          <w:sz w:val="24"/>
          <w:szCs w:val="24"/>
        </w:rPr>
        <w:t>Conduct accounting</w:t>
      </w:r>
      <w:r>
        <w:rPr>
          <w:rFonts w:ascii="Arial" w:hAnsi="Arial" w:cs="Arial"/>
          <w:sz w:val="24"/>
          <w:szCs w:val="24"/>
        </w:rPr>
        <w:t xml:space="preserve"> p</w:t>
      </w:r>
      <w:r w:rsidR="00BB7D60" w:rsidRPr="002B683C">
        <w:rPr>
          <w:rFonts w:ascii="Arial" w:hAnsi="Arial" w:cs="Arial"/>
          <w:sz w:val="24"/>
          <w:szCs w:val="24"/>
        </w:rPr>
        <w:t>hone call</w:t>
      </w:r>
    </w:p>
    <w:p w:rsidR="00BB7D60" w:rsidRPr="002B683C" w:rsidRDefault="002B683C" w:rsidP="002B683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683C">
        <w:rPr>
          <w:rFonts w:ascii="Arial" w:hAnsi="Arial" w:cs="Arial"/>
          <w:sz w:val="24"/>
          <w:szCs w:val="24"/>
        </w:rPr>
        <w:t>Explain how during the misuse process the 570-</w:t>
      </w:r>
      <w:r w:rsidR="00BB7D60" w:rsidRPr="002B683C">
        <w:rPr>
          <w:rFonts w:ascii="Arial" w:hAnsi="Arial" w:cs="Arial"/>
          <w:sz w:val="24"/>
          <w:szCs w:val="24"/>
        </w:rPr>
        <w:t xml:space="preserve">Misuse </w:t>
      </w:r>
      <w:r w:rsidRPr="002B683C">
        <w:rPr>
          <w:rFonts w:ascii="Arial" w:hAnsi="Arial" w:cs="Arial"/>
          <w:sz w:val="24"/>
          <w:szCs w:val="24"/>
        </w:rPr>
        <w:t>Work Item and 560/565-Accounting Work Item must both remain open until the misuse investigation is complete.</w:t>
      </w:r>
    </w:p>
    <w:p w:rsidR="00064176" w:rsidRDefault="00064176" w:rsidP="00064176">
      <w:pPr>
        <w:pStyle w:val="Heading1"/>
      </w:pPr>
      <w:r>
        <w:lastRenderedPageBreak/>
        <w:t xml:space="preserve">Accounting </w:t>
      </w:r>
      <w:r w:rsidR="00A67FCC">
        <w:t>Changes</w:t>
      </w:r>
    </w:p>
    <w:p w:rsidR="002E457A" w:rsidRPr="002E457A" w:rsidRDefault="002E457A" w:rsidP="002E457A">
      <w:pPr>
        <w:rPr>
          <w:rFonts w:ascii="Arial" w:hAnsi="Arial" w:cs="Arial"/>
          <w:sz w:val="24"/>
          <w:szCs w:val="24"/>
        </w:rPr>
      </w:pPr>
      <w:r w:rsidRPr="002E457A">
        <w:rPr>
          <w:rFonts w:ascii="Arial" w:hAnsi="Arial" w:cs="Arial"/>
          <w:sz w:val="24"/>
          <w:szCs w:val="24"/>
        </w:rPr>
        <w:t>Discuss</w:t>
      </w:r>
      <w:r>
        <w:rPr>
          <w:rFonts w:ascii="Arial" w:hAnsi="Arial" w:cs="Arial"/>
          <w:sz w:val="24"/>
          <w:szCs w:val="24"/>
        </w:rPr>
        <w:t xml:space="preserve"> the major changes to the accounting process</w:t>
      </w:r>
    </w:p>
    <w:p w:rsidR="00064176" w:rsidRPr="007A364D" w:rsidRDefault="002E457A" w:rsidP="000641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how the hub must complete a l</w:t>
      </w:r>
      <w:r w:rsidR="00064176" w:rsidRPr="007A364D">
        <w:rPr>
          <w:rFonts w:ascii="Arial" w:hAnsi="Arial" w:cs="Arial"/>
          <w:sz w:val="24"/>
          <w:szCs w:val="24"/>
        </w:rPr>
        <w:t>ess than 1 year accounting v</w:t>
      </w:r>
      <w:r w:rsidR="00FA358C">
        <w:rPr>
          <w:rFonts w:ascii="Arial" w:hAnsi="Arial" w:cs="Arial"/>
          <w:sz w:val="24"/>
          <w:szCs w:val="24"/>
        </w:rPr>
        <w:t>s</w:t>
      </w:r>
      <w:r w:rsidR="00064176" w:rsidRPr="007A364D">
        <w:rPr>
          <w:rFonts w:ascii="Arial" w:hAnsi="Arial" w:cs="Arial"/>
          <w:sz w:val="24"/>
          <w:szCs w:val="24"/>
        </w:rPr>
        <w:t xml:space="preserve"> spend down</w:t>
      </w:r>
      <w:r>
        <w:rPr>
          <w:rFonts w:ascii="Arial" w:hAnsi="Arial" w:cs="Arial"/>
          <w:sz w:val="24"/>
          <w:szCs w:val="24"/>
        </w:rPr>
        <w:t>.</w:t>
      </w:r>
    </w:p>
    <w:p w:rsidR="00064176" w:rsidRPr="00FA358C" w:rsidRDefault="002E457A" w:rsidP="00FA35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how a f</w:t>
      </w:r>
      <w:r w:rsidR="00FA358C" w:rsidRPr="00FA358C">
        <w:rPr>
          <w:rFonts w:ascii="Arial" w:hAnsi="Arial" w:cs="Arial"/>
          <w:sz w:val="24"/>
          <w:szCs w:val="24"/>
        </w:rPr>
        <w:t>lexible</w:t>
      </w:r>
      <w:r w:rsidR="00FA358C">
        <w:rPr>
          <w:rFonts w:ascii="Arial" w:hAnsi="Arial" w:cs="Arial"/>
          <w:sz w:val="24"/>
          <w:szCs w:val="24"/>
        </w:rPr>
        <w:t xml:space="preserve"> Accounting Period End Date reduces stress on fiduciary</w:t>
      </w:r>
      <w:r w:rsidR="00064176" w:rsidRPr="00FA358C">
        <w:rPr>
          <w:rFonts w:ascii="Arial" w:hAnsi="Arial" w:cs="Arial"/>
          <w:sz w:val="24"/>
          <w:szCs w:val="24"/>
        </w:rPr>
        <w:t xml:space="preserve">. </w:t>
      </w:r>
      <w:r w:rsidR="00FA35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064176" w:rsidRPr="00FA35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ccounting </w:t>
      </w:r>
      <w:r w:rsidR="00064176" w:rsidRPr="00FA358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izard</w:t>
      </w:r>
      <w:r w:rsidR="00064176" w:rsidRPr="00FA358C">
        <w:rPr>
          <w:rFonts w:ascii="Arial" w:hAnsi="Arial" w:cs="Arial"/>
          <w:sz w:val="24"/>
          <w:szCs w:val="24"/>
        </w:rPr>
        <w:t xml:space="preserve"> tells what </w:t>
      </w:r>
      <w:r>
        <w:rPr>
          <w:rFonts w:ascii="Arial" w:hAnsi="Arial" w:cs="Arial"/>
          <w:sz w:val="24"/>
          <w:szCs w:val="24"/>
        </w:rPr>
        <w:t xml:space="preserve">date </w:t>
      </w:r>
      <w:r w:rsidR="00064176" w:rsidRPr="00FA358C">
        <w:rPr>
          <w:rFonts w:ascii="Arial" w:hAnsi="Arial" w:cs="Arial"/>
          <w:sz w:val="24"/>
          <w:szCs w:val="24"/>
        </w:rPr>
        <w:t>to select in BFFS upon approval.</w:t>
      </w:r>
    </w:p>
    <w:p w:rsidR="002E457A" w:rsidRPr="002E457A" w:rsidRDefault="002E457A" w:rsidP="002E457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the </w:t>
      </w:r>
      <w:r w:rsidR="00064176" w:rsidRPr="00FA358C">
        <w:rPr>
          <w:rFonts w:ascii="Arial" w:hAnsi="Arial" w:cs="Arial"/>
          <w:sz w:val="24"/>
          <w:szCs w:val="24"/>
        </w:rPr>
        <w:t>Final accounting Requirements</w:t>
      </w:r>
      <w:r>
        <w:rPr>
          <w:rFonts w:ascii="Arial" w:hAnsi="Arial" w:cs="Arial"/>
          <w:sz w:val="24"/>
          <w:szCs w:val="24"/>
        </w:rPr>
        <w:t xml:space="preserve"> in FPM 3.B.1.d. Final Accountings.</w:t>
      </w:r>
    </w:p>
    <w:p w:rsidR="00FA358C" w:rsidRDefault="002E457A" w:rsidP="00FA35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how an accounting can only be approved after all</w:t>
      </w:r>
      <w:r w:rsidR="00FA358C">
        <w:rPr>
          <w:rFonts w:ascii="Arial" w:hAnsi="Arial" w:cs="Arial"/>
          <w:sz w:val="24"/>
          <w:szCs w:val="24"/>
        </w:rPr>
        <w:t xml:space="preserve"> contingencies</w:t>
      </w:r>
      <w:r>
        <w:rPr>
          <w:rFonts w:ascii="Arial" w:hAnsi="Arial" w:cs="Arial"/>
          <w:sz w:val="24"/>
          <w:szCs w:val="24"/>
        </w:rPr>
        <w:t xml:space="preserve"> complete.</w:t>
      </w:r>
    </w:p>
    <w:p w:rsidR="00FA358C" w:rsidRPr="00FA358C" w:rsidRDefault="002E457A" w:rsidP="00FA35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FPM 3.D.2.a. </w:t>
      </w:r>
      <w:proofErr w:type="gramStart"/>
      <w:r w:rsidR="00FC7B14">
        <w:rPr>
          <w:rFonts w:ascii="Arial" w:hAnsi="Arial" w:cs="Arial"/>
          <w:sz w:val="24"/>
          <w:szCs w:val="24"/>
        </w:rPr>
        <w:t>and</w:t>
      </w:r>
      <w:proofErr w:type="gramEnd"/>
      <w:r w:rsidR="00FC7B14">
        <w:rPr>
          <w:rFonts w:ascii="Arial" w:hAnsi="Arial" w:cs="Arial"/>
          <w:sz w:val="24"/>
          <w:szCs w:val="24"/>
        </w:rPr>
        <w:t xml:space="preserve"> explain the requirement to review 21P-4706b.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64176" w:rsidRDefault="002E457A" w:rsidP="00064176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Explain how a VA Form 21-</w:t>
      </w:r>
      <w:r w:rsidR="00064176" w:rsidRPr="00064176">
        <w:rPr>
          <w:rFonts w:ascii="Arial" w:hAnsi="Arial" w:cs="Arial"/>
          <w:sz w:val="24"/>
          <w:szCs w:val="24"/>
        </w:rPr>
        <w:t>4718a</w:t>
      </w:r>
      <w:r w:rsidR="00A67F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 only be completed when necessary.</w:t>
      </w:r>
    </w:p>
    <w:p w:rsidR="00BB7D60" w:rsidRDefault="00BB7D60" w:rsidP="00BB7D60">
      <w:pPr>
        <w:pStyle w:val="Heading1"/>
      </w:pPr>
      <w:r>
        <w:t>Court Issues</w:t>
      </w:r>
    </w:p>
    <w:p w:rsidR="00BB7D60" w:rsidRDefault="004A19B4" w:rsidP="00BB7D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Court-</w:t>
      </w:r>
      <w:r w:rsidR="00BB7D60" w:rsidRPr="007A364D">
        <w:rPr>
          <w:rFonts w:ascii="Arial" w:hAnsi="Arial" w:cs="Arial"/>
          <w:sz w:val="24"/>
          <w:szCs w:val="24"/>
        </w:rPr>
        <w:t>appointed</w:t>
      </w:r>
      <w:r>
        <w:rPr>
          <w:rFonts w:ascii="Arial" w:hAnsi="Arial" w:cs="Arial"/>
          <w:sz w:val="24"/>
          <w:szCs w:val="24"/>
        </w:rPr>
        <w:t xml:space="preserve"> (VA recognized)</w:t>
      </w:r>
      <w:r w:rsidR="00BB7D60" w:rsidRPr="007A364D">
        <w:rPr>
          <w:rFonts w:ascii="Arial" w:hAnsi="Arial" w:cs="Arial"/>
          <w:sz w:val="24"/>
          <w:szCs w:val="24"/>
        </w:rPr>
        <w:t xml:space="preserve"> impact on </w:t>
      </w:r>
      <w:r w:rsidR="00BB7D60">
        <w:rPr>
          <w:rFonts w:ascii="Arial" w:hAnsi="Arial" w:cs="Arial"/>
          <w:sz w:val="24"/>
          <w:szCs w:val="24"/>
        </w:rPr>
        <w:t>process</w:t>
      </w:r>
    </w:p>
    <w:p w:rsidR="004C2139" w:rsidRPr="00481ED7" w:rsidRDefault="004C2139" w:rsidP="004C213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81ED7">
        <w:rPr>
          <w:rFonts w:ascii="Arial" w:hAnsi="Arial" w:cs="Arial"/>
          <w:sz w:val="24"/>
          <w:szCs w:val="24"/>
        </w:rPr>
        <w:t>Must always acco</w:t>
      </w:r>
      <w:r>
        <w:rPr>
          <w:rFonts w:ascii="Arial" w:hAnsi="Arial" w:cs="Arial"/>
          <w:sz w:val="24"/>
          <w:szCs w:val="24"/>
        </w:rPr>
        <w:t xml:space="preserve">unt - VA will attempt to align </w:t>
      </w:r>
      <w:r w:rsidRPr="00481ED7">
        <w:rPr>
          <w:rFonts w:ascii="Arial" w:hAnsi="Arial" w:cs="Arial"/>
          <w:sz w:val="24"/>
          <w:szCs w:val="24"/>
        </w:rPr>
        <w:t>the accounting with the Court date.  May align with bi-annual o</w:t>
      </w:r>
      <w:r>
        <w:rPr>
          <w:rFonts w:ascii="Arial" w:hAnsi="Arial" w:cs="Arial"/>
          <w:sz w:val="24"/>
          <w:szCs w:val="24"/>
        </w:rPr>
        <w:t xml:space="preserve">r tri-annual accountings. FPM, </w:t>
      </w:r>
      <w:r w:rsidRPr="00481ED7">
        <w:rPr>
          <w:rFonts w:ascii="Arial" w:hAnsi="Arial" w:cs="Arial"/>
          <w:sz w:val="24"/>
          <w:szCs w:val="24"/>
        </w:rPr>
        <w:t>3.B.1.b</w:t>
      </w:r>
    </w:p>
    <w:p w:rsidR="004C2139" w:rsidRPr="00481ED7" w:rsidRDefault="005940C5" w:rsidP="004C21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VA-Appointed</w:t>
      </w:r>
      <w:r w:rsidR="004C2139" w:rsidRPr="00481ED7">
        <w:rPr>
          <w:rFonts w:ascii="Arial" w:hAnsi="Arial" w:cs="Arial"/>
          <w:sz w:val="24"/>
          <w:szCs w:val="24"/>
        </w:rPr>
        <w:t xml:space="preserve"> Fiduciary</w:t>
      </w:r>
      <w:r>
        <w:rPr>
          <w:rFonts w:ascii="Arial" w:hAnsi="Arial" w:cs="Arial"/>
          <w:sz w:val="24"/>
          <w:szCs w:val="24"/>
        </w:rPr>
        <w:t xml:space="preserve"> &amp; Court Appointment</w:t>
      </w:r>
    </w:p>
    <w:p w:rsidR="004C2139" w:rsidRPr="00481ED7" w:rsidRDefault="004C2139" w:rsidP="004C213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81ED7">
        <w:rPr>
          <w:rFonts w:ascii="Arial" w:hAnsi="Arial" w:cs="Arial"/>
          <w:sz w:val="24"/>
          <w:szCs w:val="24"/>
        </w:rPr>
        <w:t xml:space="preserve">Required – If </w:t>
      </w:r>
      <w:r>
        <w:rPr>
          <w:rFonts w:ascii="Arial" w:hAnsi="Arial" w:cs="Arial"/>
          <w:sz w:val="24"/>
          <w:szCs w:val="24"/>
        </w:rPr>
        <w:t xml:space="preserve">any condition per FPM, 3.B.1.a., </w:t>
      </w:r>
      <w:r w:rsidRPr="00481ED7">
        <w:rPr>
          <w:rFonts w:ascii="Arial" w:hAnsi="Arial" w:cs="Arial"/>
          <w:sz w:val="24"/>
          <w:szCs w:val="24"/>
        </w:rPr>
        <w:t>ap</w:t>
      </w:r>
      <w:r>
        <w:rPr>
          <w:rFonts w:ascii="Arial" w:hAnsi="Arial" w:cs="Arial"/>
          <w:sz w:val="24"/>
          <w:szCs w:val="24"/>
        </w:rPr>
        <w:t>ply</w:t>
      </w:r>
      <w:r w:rsidRPr="00481ED7">
        <w:rPr>
          <w:rFonts w:ascii="Arial" w:hAnsi="Arial" w:cs="Arial"/>
          <w:sz w:val="24"/>
          <w:szCs w:val="24"/>
        </w:rPr>
        <w:t xml:space="preserve"> unless required by the Hub Manager.</w:t>
      </w:r>
    </w:p>
    <w:p w:rsidR="004C2139" w:rsidRDefault="004C2139" w:rsidP="004C213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Extenuating Circumstances</w:t>
      </w:r>
    </w:p>
    <w:p w:rsidR="004A19B4" w:rsidRDefault="004A19B4" w:rsidP="00064176">
      <w:pPr>
        <w:pStyle w:val="Heading1"/>
      </w:pPr>
      <w:r>
        <w:t>Estate Protection</w:t>
      </w:r>
    </w:p>
    <w:p w:rsidR="004C2139" w:rsidRPr="0025052C" w:rsidRDefault="004C2139" w:rsidP="004C21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19B4">
        <w:rPr>
          <w:rFonts w:ascii="Arial" w:hAnsi="Arial" w:cs="Arial"/>
          <w:sz w:val="24"/>
          <w:szCs w:val="24"/>
        </w:rPr>
        <w:t>Protecting Beneficiary Funds</w:t>
      </w:r>
      <w:r w:rsidRPr="0025052C">
        <w:rPr>
          <w:rFonts w:ascii="Arial" w:hAnsi="Arial" w:cs="Arial"/>
          <w:sz w:val="24"/>
          <w:szCs w:val="24"/>
        </w:rPr>
        <w:t xml:space="preserve"> </w:t>
      </w:r>
    </w:p>
    <w:p w:rsidR="004C2139" w:rsidRPr="007A364D" w:rsidRDefault="004C2139" w:rsidP="004C213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A364D">
        <w:rPr>
          <w:rFonts w:ascii="Arial" w:hAnsi="Arial" w:cs="Arial"/>
          <w:sz w:val="24"/>
          <w:szCs w:val="24"/>
        </w:rPr>
        <w:t>Commingled</w:t>
      </w:r>
    </w:p>
    <w:p w:rsidR="004C2139" w:rsidRPr="007A364D" w:rsidRDefault="004C2139" w:rsidP="004C213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A364D">
        <w:rPr>
          <w:rFonts w:ascii="Arial" w:hAnsi="Arial" w:cs="Arial"/>
          <w:sz w:val="24"/>
          <w:szCs w:val="24"/>
        </w:rPr>
        <w:t>Multiple people, no. Multiple fund sources, yes.</w:t>
      </w:r>
    </w:p>
    <w:p w:rsidR="004C2139" w:rsidRPr="007A364D" w:rsidRDefault="004C2139" w:rsidP="004C213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A364D">
        <w:rPr>
          <w:rFonts w:ascii="Arial" w:hAnsi="Arial" w:cs="Arial"/>
          <w:sz w:val="24"/>
          <w:szCs w:val="24"/>
        </w:rPr>
        <w:t>There is no presumption as to use.</w:t>
      </w:r>
    </w:p>
    <w:p w:rsidR="004C2139" w:rsidRPr="007A364D" w:rsidRDefault="004C2139" w:rsidP="004C213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A364D">
        <w:rPr>
          <w:rFonts w:ascii="Arial" w:hAnsi="Arial" w:cs="Arial"/>
          <w:sz w:val="24"/>
          <w:szCs w:val="24"/>
        </w:rPr>
        <w:t>Home expense vs VA home loan approval</w:t>
      </w:r>
    </w:p>
    <w:p w:rsidR="004C2139" w:rsidRDefault="004C2139" w:rsidP="004C213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62E91">
        <w:rPr>
          <w:rFonts w:ascii="Arial" w:hAnsi="Arial" w:cs="Arial"/>
          <w:sz w:val="24"/>
          <w:szCs w:val="24"/>
        </w:rPr>
        <w:t>Spouse: By statute, not able to redefine</w:t>
      </w:r>
    </w:p>
    <w:p w:rsidR="004C2139" w:rsidRPr="007A364D" w:rsidRDefault="004C2139" w:rsidP="004C21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364D">
        <w:rPr>
          <w:rFonts w:ascii="Arial" w:hAnsi="Arial" w:cs="Arial"/>
          <w:sz w:val="24"/>
          <w:szCs w:val="24"/>
        </w:rPr>
        <w:t>Surety bond</w:t>
      </w:r>
    </w:p>
    <w:p w:rsidR="004C2139" w:rsidRPr="007A364D" w:rsidRDefault="004C2139" w:rsidP="004C213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A364D">
        <w:rPr>
          <w:rFonts w:ascii="Arial" w:hAnsi="Arial" w:cs="Arial"/>
          <w:sz w:val="24"/>
          <w:szCs w:val="24"/>
        </w:rPr>
        <w:t xml:space="preserve">No personal bonds </w:t>
      </w:r>
    </w:p>
    <w:p w:rsidR="004C2139" w:rsidRPr="007A364D" w:rsidRDefault="004C2139" w:rsidP="004C213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A364D">
        <w:rPr>
          <w:rFonts w:ascii="Arial" w:hAnsi="Arial" w:cs="Arial"/>
          <w:sz w:val="24"/>
          <w:szCs w:val="24"/>
        </w:rPr>
        <w:t>No partial retro release for a bond</w:t>
      </w:r>
    </w:p>
    <w:p w:rsidR="004C2139" w:rsidRPr="007A364D" w:rsidRDefault="004C2139" w:rsidP="004C213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A364D">
        <w:rPr>
          <w:rFonts w:ascii="Arial" w:hAnsi="Arial" w:cs="Arial"/>
          <w:sz w:val="24"/>
          <w:szCs w:val="24"/>
        </w:rPr>
        <w:t>No waiver of bond because the fid may not pay that one-time bill…</w:t>
      </w:r>
    </w:p>
    <w:p w:rsidR="004C2139" w:rsidRPr="007A364D" w:rsidRDefault="004C2139" w:rsidP="004C21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364D">
        <w:rPr>
          <w:rFonts w:ascii="Arial" w:hAnsi="Arial" w:cs="Arial"/>
          <w:sz w:val="24"/>
          <w:szCs w:val="24"/>
        </w:rPr>
        <w:t>Withdrawal agreement</w:t>
      </w:r>
      <w:r>
        <w:rPr>
          <w:rFonts w:ascii="Arial" w:hAnsi="Arial" w:cs="Arial"/>
          <w:sz w:val="24"/>
          <w:szCs w:val="24"/>
        </w:rPr>
        <w:t xml:space="preserve"> </w:t>
      </w:r>
    </w:p>
    <w:p w:rsidR="004C2139" w:rsidRDefault="004C2139" w:rsidP="004C213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for foreign cases</w:t>
      </w:r>
    </w:p>
    <w:p w:rsidR="004C2139" w:rsidRPr="00481ED7" w:rsidRDefault="004C2139" w:rsidP="004C213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81ED7">
        <w:rPr>
          <w:rFonts w:ascii="Arial" w:hAnsi="Arial" w:cs="Arial"/>
          <w:sz w:val="24"/>
          <w:szCs w:val="24"/>
        </w:rPr>
        <w:t>No longer acceptab</w:t>
      </w:r>
      <w:r>
        <w:rPr>
          <w:rFonts w:ascii="Arial" w:hAnsi="Arial" w:cs="Arial"/>
          <w:sz w:val="24"/>
          <w:szCs w:val="24"/>
        </w:rPr>
        <w:t xml:space="preserve">le after April 1, 2017, unless </w:t>
      </w:r>
      <w:r w:rsidRPr="00481ED7">
        <w:rPr>
          <w:rFonts w:ascii="Arial" w:hAnsi="Arial" w:cs="Arial"/>
          <w:sz w:val="24"/>
          <w:szCs w:val="24"/>
        </w:rPr>
        <w:t>the fiduciary qualifies per FPM, 4.D.4.c.</w:t>
      </w:r>
    </w:p>
    <w:p w:rsidR="004C2139" w:rsidRPr="00481ED7" w:rsidRDefault="004C2139" w:rsidP="004C213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81ED7">
        <w:rPr>
          <w:rFonts w:ascii="Arial" w:hAnsi="Arial" w:cs="Arial"/>
          <w:sz w:val="24"/>
          <w:szCs w:val="24"/>
        </w:rPr>
        <w:t xml:space="preserve">Withdrawal Agreements </w:t>
      </w:r>
      <w:r>
        <w:rPr>
          <w:rFonts w:ascii="Arial" w:hAnsi="Arial" w:cs="Arial"/>
          <w:sz w:val="24"/>
          <w:szCs w:val="24"/>
        </w:rPr>
        <w:t xml:space="preserve">initiated after April 1, 2017, </w:t>
      </w:r>
      <w:r w:rsidRPr="00481ED7">
        <w:rPr>
          <w:rFonts w:ascii="Arial" w:hAnsi="Arial" w:cs="Arial"/>
          <w:sz w:val="24"/>
          <w:szCs w:val="24"/>
        </w:rPr>
        <w:t xml:space="preserve">will require the fiduciary obtaining </w:t>
      </w:r>
      <w:r>
        <w:rPr>
          <w:rFonts w:ascii="Arial" w:hAnsi="Arial" w:cs="Arial"/>
          <w:sz w:val="24"/>
          <w:szCs w:val="24"/>
        </w:rPr>
        <w:t xml:space="preserve">a Surety Bond </w:t>
      </w:r>
      <w:r>
        <w:rPr>
          <w:rFonts w:ascii="Arial" w:hAnsi="Arial" w:cs="Arial"/>
          <w:sz w:val="24"/>
          <w:szCs w:val="24"/>
        </w:rPr>
        <w:tab/>
        <w:t>within 60 days of</w:t>
      </w:r>
      <w:r w:rsidRPr="00481ED7">
        <w:rPr>
          <w:rFonts w:ascii="Arial" w:hAnsi="Arial" w:cs="Arial"/>
          <w:sz w:val="24"/>
          <w:szCs w:val="24"/>
        </w:rPr>
        <w:t xml:space="preserve"> the accounting anniversary. </w:t>
      </w:r>
    </w:p>
    <w:p w:rsidR="004C2139" w:rsidRPr="00481ED7" w:rsidRDefault="004C2139" w:rsidP="004C2139">
      <w:pPr>
        <w:pStyle w:val="ListParagraph"/>
        <w:numPr>
          <w:ilvl w:val="0"/>
          <w:numId w:val="1"/>
        </w:numPr>
      </w:pPr>
      <w:r w:rsidRPr="00064176">
        <w:rPr>
          <w:rFonts w:ascii="Arial" w:hAnsi="Arial" w:cs="Arial"/>
          <w:sz w:val="24"/>
          <w:szCs w:val="24"/>
        </w:rPr>
        <w:t>BFFS task to track surety changes</w:t>
      </w:r>
    </w:p>
    <w:p w:rsidR="002B26E1" w:rsidRPr="002B26E1" w:rsidRDefault="002B26E1" w:rsidP="002B26E1">
      <w:pPr>
        <w:rPr>
          <w:rFonts w:ascii="Arial" w:hAnsi="Arial" w:cs="Arial"/>
          <w:sz w:val="24"/>
          <w:szCs w:val="24"/>
        </w:rPr>
      </w:pPr>
    </w:p>
    <w:sectPr w:rsidR="002B26E1" w:rsidRPr="002B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1012"/>
    <w:multiLevelType w:val="hybridMultilevel"/>
    <w:tmpl w:val="8500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24509"/>
    <w:multiLevelType w:val="hybridMultilevel"/>
    <w:tmpl w:val="3C88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57F0E"/>
    <w:multiLevelType w:val="hybridMultilevel"/>
    <w:tmpl w:val="1AD83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F17CC"/>
    <w:multiLevelType w:val="hybridMultilevel"/>
    <w:tmpl w:val="2C5C18DE"/>
    <w:lvl w:ilvl="0" w:tplc="7DF80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6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25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EB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08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BC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46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14E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87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65A58A0"/>
    <w:multiLevelType w:val="hybridMultilevel"/>
    <w:tmpl w:val="281AD1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64"/>
    <w:rsid w:val="00064176"/>
    <w:rsid w:val="001548DA"/>
    <w:rsid w:val="00262E91"/>
    <w:rsid w:val="002B26E1"/>
    <w:rsid w:val="002B683C"/>
    <w:rsid w:val="002E457A"/>
    <w:rsid w:val="0039123F"/>
    <w:rsid w:val="004A19B4"/>
    <w:rsid w:val="004C2139"/>
    <w:rsid w:val="004F2ACA"/>
    <w:rsid w:val="004F559C"/>
    <w:rsid w:val="005940C5"/>
    <w:rsid w:val="007A364D"/>
    <w:rsid w:val="00895862"/>
    <w:rsid w:val="00A469BA"/>
    <w:rsid w:val="00A67FCC"/>
    <w:rsid w:val="00BB7D60"/>
    <w:rsid w:val="00E16120"/>
    <w:rsid w:val="00ED76C9"/>
    <w:rsid w:val="00F80D64"/>
    <w:rsid w:val="00FA358C"/>
    <w:rsid w:val="00F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D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4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4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641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41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4C2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1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13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D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4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4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641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41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4C2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1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13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4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Policy Release Training</vt:lpstr>
    </vt:vector>
  </TitlesOfParts>
  <Company>Veterans Benefits Administration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Policy Release Training</dc:title>
  <dc:subject>FE, FSR, LIE, QRT</dc:subject>
  <dc:creator>Department of Veterans Affairs, Veterans Benefits Administration, Fiduciary Service, STAFF</dc:creator>
  <cp:keywords>FPG,securing accountings,accounting changes,court issues,estate protection</cp:keywords>
  <cp:lastModifiedBy>Kathleen Poole</cp:lastModifiedBy>
  <cp:revision>13</cp:revision>
  <dcterms:created xsi:type="dcterms:W3CDTF">2017-02-03T14:28:00Z</dcterms:created>
  <dcterms:modified xsi:type="dcterms:W3CDTF">2017-02-28T14:26:00Z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