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495F3" w14:textId="77777777" w:rsidR="00C8779F" w:rsidRDefault="00954748" w:rsidP="003E3D02">
      <w:pPr>
        <w:pStyle w:val="VBAILTCoverService"/>
      </w:pPr>
      <w:r>
        <w:t xml:space="preserve">Education </w:t>
      </w:r>
      <w:r w:rsidR="00C8779F">
        <w:t>Service</w:t>
      </w:r>
    </w:p>
    <w:p w14:paraId="75ABA40C" w14:textId="2FA59732" w:rsidR="215B120A" w:rsidRDefault="215B120A" w:rsidP="00E04B4E">
      <w:pPr>
        <w:pStyle w:val="VBAILTCoverLessonTitle"/>
        <w:rPr>
          <w:rFonts w:eastAsia="Calibri" w:cs="Arial"/>
          <w:bCs/>
        </w:rPr>
      </w:pPr>
      <w:r>
        <w:t>The Tuition Fairness and REMOTE Act</w:t>
      </w:r>
    </w:p>
    <w:p w14:paraId="6E422D4B" w14:textId="27140499" w:rsidR="00C30F06" w:rsidRPr="00EC1CAB" w:rsidRDefault="00DD17BE" w:rsidP="00EC1CAB">
      <w:pPr>
        <w:pStyle w:val="VBAILTCoverdoctypecourse"/>
      </w:pPr>
      <w:r>
        <w:rPr>
          <w:noProof/>
        </w:rPr>
        <mc:AlternateContent>
          <mc:Choice Requires="wps">
            <w:drawing>
              <wp:anchor distT="45720" distB="45720" distL="114300" distR="114300" simplePos="0" relativeHeight="251661312" behindDoc="0" locked="0" layoutInCell="1" allowOverlap="1" wp14:anchorId="5ED9A209" wp14:editId="0BD8BDB4">
                <wp:simplePos x="0" y="0"/>
                <wp:positionH relativeFrom="margin">
                  <wp:align>center</wp:align>
                </wp:positionH>
                <wp:positionV relativeFrom="paragraph">
                  <wp:posOffset>1868805</wp:posOffset>
                </wp:positionV>
                <wp:extent cx="2360930" cy="1404620"/>
                <wp:effectExtent l="0" t="0" r="3810" b="19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C785DAE" w14:textId="003AABEE" w:rsidR="00DD17BE" w:rsidRPr="001218FF" w:rsidRDefault="001218FF" w:rsidP="001218FF">
                            <w:pPr>
                              <w:jc w:val="center"/>
                              <w:rPr>
                                <w:rFonts w:ascii="Verdana" w:hAnsi="Verdana"/>
                                <w:sz w:val="28"/>
                                <w:szCs w:val="28"/>
                              </w:rPr>
                            </w:pPr>
                            <w:r w:rsidRPr="001218FF">
                              <w:rPr>
                                <w:rFonts w:ascii="Verdana" w:hAnsi="Verdana"/>
                                <w:sz w:val="28"/>
                                <w:szCs w:val="28"/>
                              </w:rPr>
                              <w:t>February 2022</w:t>
                            </w:r>
                          </w:p>
                          <w:p w14:paraId="65E2851A" w14:textId="4EBDED0C" w:rsidR="001218FF" w:rsidRPr="001218FF" w:rsidRDefault="001218FF" w:rsidP="001218FF">
                            <w:pPr>
                              <w:jc w:val="center"/>
                              <w:rPr>
                                <w:rFonts w:ascii="Verdana" w:hAnsi="Verdana"/>
                                <w:sz w:val="28"/>
                                <w:szCs w:val="28"/>
                              </w:rPr>
                            </w:pPr>
                            <w:r w:rsidRPr="001218FF">
                              <w:rPr>
                                <w:rFonts w:ascii="Verdana" w:hAnsi="Verdana"/>
                                <w:sz w:val="28"/>
                                <w:szCs w:val="28"/>
                              </w:rPr>
                              <w:t>Version 1.0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ED9A209" id="_x0000_t202" coordsize="21600,21600" o:spt="202" path="m,l,21600r21600,l21600,xe">
                <v:stroke joinstyle="miter"/>
                <v:path gradientshapeok="t" o:connecttype="rect"/>
              </v:shapetype>
              <v:shape id="Text Box 2" o:spid="_x0000_s1026" type="#_x0000_t202" style="position:absolute;left:0;text-align:left;margin-left:0;margin-top:147.15pt;width:185.9pt;height:110.6pt;z-index:25166131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" stroked="f">
                <v:textbox style="mso-fit-shape-to-text:t">
                  <w:txbxContent>
                    <w:p w14:paraId="6C785DAE" w14:textId="003AABEE" w:rsidR="00DD17BE" w:rsidRPr="001218FF" w:rsidRDefault="001218FF" w:rsidP="001218FF">
                      <w:pPr>
                        <w:jc w:val="center"/>
                        <w:rPr>
                          <w:rFonts w:ascii="Verdana" w:hAnsi="Verdana"/>
                          <w:sz w:val="28"/>
                          <w:szCs w:val="28"/>
                        </w:rPr>
                      </w:pPr>
                      <w:r w:rsidRPr="001218FF">
                        <w:rPr>
                          <w:rFonts w:ascii="Verdana" w:hAnsi="Verdana"/>
                          <w:sz w:val="28"/>
                          <w:szCs w:val="28"/>
                        </w:rPr>
                        <w:t>February 2022</w:t>
                      </w:r>
                    </w:p>
                    <w:p w14:paraId="65E2851A" w14:textId="4EBDED0C" w:rsidR="001218FF" w:rsidRPr="001218FF" w:rsidRDefault="001218FF" w:rsidP="001218FF">
                      <w:pPr>
                        <w:jc w:val="center"/>
                        <w:rPr>
                          <w:rFonts w:ascii="Verdana" w:hAnsi="Verdana"/>
                          <w:sz w:val="28"/>
                          <w:szCs w:val="28"/>
                        </w:rPr>
                      </w:pPr>
                      <w:r w:rsidRPr="001218FF">
                        <w:rPr>
                          <w:rFonts w:ascii="Verdana" w:hAnsi="Verdana"/>
                          <w:sz w:val="28"/>
                          <w:szCs w:val="28"/>
                        </w:rPr>
                        <w:t>Version 1.0</w:t>
                      </w:r>
                    </w:p>
                  </w:txbxContent>
                </v:textbox>
                <w10:wrap type="square" anchorx="margin"/>
              </v:shape>
            </w:pict>
          </mc:Fallback>
        </mc:AlternateContent>
      </w:r>
      <w:r w:rsidR="00182135">
        <w:t>Overview Training</w:t>
      </w:r>
      <w:r w:rsidR="000239EF">
        <w:t xml:space="preserve"> </w:t>
      </w:r>
      <w:r w:rsidR="004C1AE1">
        <w:t xml:space="preserve">                </w:t>
      </w:r>
      <w:r w:rsidR="000E4DFA">
        <w:t xml:space="preserve">                  </w:t>
      </w:r>
      <w:r w:rsidR="00EC1CAB">
        <w:t xml:space="preserve">                         </w:t>
      </w:r>
      <w:r w:rsidR="000E4DFA">
        <w:t xml:space="preserve">         </w:t>
      </w:r>
      <w:r w:rsidR="00C30F06">
        <w:br w:type="page"/>
      </w:r>
    </w:p>
    <w:p w14:paraId="7BD094F2"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14:paraId="47E6098D" w14:textId="77777777" w:rsidTr="2EE49849">
        <w:trPr>
          <w:cantSplit/>
          <w:tblHeader/>
        </w:trPr>
        <w:tc>
          <w:tcPr>
            <w:tcW w:w="1908" w:type="dxa"/>
            <w:shd w:val="clear" w:color="auto" w:fill="BDD6EE" w:themeFill="accent1" w:themeFillTint="66"/>
          </w:tcPr>
          <w:p w14:paraId="0BEF0E1D" w14:textId="77777777" w:rsidR="003B118F" w:rsidRDefault="003B118F" w:rsidP="003B118F">
            <w:pPr>
              <w:pStyle w:val="VBAILTTableHeading1"/>
            </w:pPr>
            <w:r>
              <w:t>Topic</w:t>
            </w:r>
          </w:p>
        </w:tc>
        <w:tc>
          <w:tcPr>
            <w:tcW w:w="7452" w:type="dxa"/>
            <w:shd w:val="clear" w:color="auto" w:fill="BDD6EE" w:themeFill="accent1" w:themeFillTint="66"/>
          </w:tcPr>
          <w:p w14:paraId="6CFD2E4C" w14:textId="77777777" w:rsidR="003B118F" w:rsidRDefault="003B118F" w:rsidP="003B118F">
            <w:pPr>
              <w:pStyle w:val="VBAILTTableHeading1"/>
            </w:pPr>
            <w:r>
              <w:t>Description</w:t>
            </w:r>
          </w:p>
        </w:tc>
      </w:tr>
      <w:tr w:rsidR="00267BA2" w14:paraId="19231472" w14:textId="77777777" w:rsidTr="2EE49849">
        <w:trPr>
          <w:cantSplit/>
        </w:trPr>
        <w:tc>
          <w:tcPr>
            <w:tcW w:w="1908" w:type="dxa"/>
          </w:tcPr>
          <w:p w14:paraId="5F094E72" w14:textId="77777777" w:rsidR="00267BA2" w:rsidRDefault="00267BA2" w:rsidP="0034087B">
            <w:pPr>
              <w:pStyle w:val="VBAILTBody"/>
            </w:pPr>
            <w:r>
              <w:t>Time Estimate</w:t>
            </w:r>
            <w:r w:rsidR="00077BE7">
              <w:t>:</w:t>
            </w:r>
          </w:p>
        </w:tc>
        <w:tc>
          <w:tcPr>
            <w:tcW w:w="7452" w:type="dxa"/>
          </w:tcPr>
          <w:p w14:paraId="03135EA8" w14:textId="685CD39D" w:rsidR="00267BA2" w:rsidRDefault="00F2730B" w:rsidP="0034087B">
            <w:pPr>
              <w:pStyle w:val="VBAILTBody"/>
            </w:pPr>
            <w:r>
              <w:t>30 minutes</w:t>
            </w:r>
          </w:p>
        </w:tc>
      </w:tr>
      <w:tr w:rsidR="002D1DCE" w14:paraId="0EFCAA4E" w14:textId="77777777" w:rsidTr="2EE49849">
        <w:trPr>
          <w:cantSplit/>
        </w:trPr>
        <w:tc>
          <w:tcPr>
            <w:tcW w:w="1908" w:type="dxa"/>
          </w:tcPr>
          <w:p w14:paraId="71D422D8" w14:textId="77777777" w:rsidR="002D1DCE" w:rsidRDefault="00267BA2" w:rsidP="001262F7">
            <w:pPr>
              <w:pStyle w:val="VBAILTBody"/>
            </w:pPr>
            <w:r>
              <w:t>Purpose of the Lesson:</w:t>
            </w:r>
          </w:p>
        </w:tc>
        <w:tc>
          <w:tcPr>
            <w:tcW w:w="7452" w:type="dxa"/>
          </w:tcPr>
          <w:p w14:paraId="7249A99C" w14:textId="23911F4D" w:rsidR="002D1DCE" w:rsidRDefault="00E854E3" w:rsidP="001262F7">
            <w:pPr>
              <w:pStyle w:val="VBAILTBody"/>
            </w:pPr>
            <w:r>
              <w:t xml:space="preserve">Provides </w:t>
            </w:r>
            <w:r w:rsidR="003260DE">
              <w:t>a</w:t>
            </w:r>
            <w:r>
              <w:t>n overview of</w:t>
            </w:r>
            <w:r w:rsidR="003260DE">
              <w:t xml:space="preserve"> provisions of</w:t>
            </w:r>
            <w:r>
              <w:t xml:space="preserve"> </w:t>
            </w:r>
            <w:r w:rsidR="003260DE">
              <w:t>the Tuition Fairness Act Public Law 117-68 and the REMOTE Act</w:t>
            </w:r>
            <w:r w:rsidR="00AD4855">
              <w:t xml:space="preserve"> Public Law </w:t>
            </w:r>
            <w:r w:rsidR="003260DE">
              <w:t xml:space="preserve">117-76. </w:t>
            </w:r>
            <w:r>
              <w:t xml:space="preserve"> </w:t>
            </w:r>
            <w:r w:rsidR="003260DE">
              <w:t>Recognizes the impact of these Public Laws on education benefits.</w:t>
            </w:r>
          </w:p>
        </w:tc>
      </w:tr>
      <w:tr w:rsidR="002D1DCE" w14:paraId="63E7383F" w14:textId="77777777" w:rsidTr="2EE49849">
        <w:trPr>
          <w:cantSplit/>
        </w:trPr>
        <w:tc>
          <w:tcPr>
            <w:tcW w:w="1908" w:type="dxa"/>
          </w:tcPr>
          <w:p w14:paraId="0E1E23B8" w14:textId="77777777" w:rsidR="002D1DCE" w:rsidRDefault="001262F7" w:rsidP="001262F7">
            <w:pPr>
              <w:pStyle w:val="VBAILTBody"/>
            </w:pPr>
            <w:r>
              <w:t>Prerequisite Training Requirements:</w:t>
            </w:r>
          </w:p>
        </w:tc>
        <w:tc>
          <w:tcPr>
            <w:tcW w:w="7452" w:type="dxa"/>
          </w:tcPr>
          <w:p w14:paraId="354CF1DB" w14:textId="252A2C23" w:rsidR="002D1DCE" w:rsidRDefault="00AD4855" w:rsidP="00954748">
            <w:pPr>
              <w:pStyle w:val="VBAILTBody"/>
            </w:pPr>
            <w:r>
              <w:t>N/A</w:t>
            </w:r>
          </w:p>
        </w:tc>
      </w:tr>
      <w:tr w:rsidR="001262F7" w14:paraId="2B3A6530" w14:textId="77777777" w:rsidTr="2EE49849">
        <w:trPr>
          <w:cantSplit/>
        </w:trPr>
        <w:tc>
          <w:tcPr>
            <w:tcW w:w="1908" w:type="dxa"/>
          </w:tcPr>
          <w:p w14:paraId="3865B2FC" w14:textId="77777777" w:rsidR="001262F7" w:rsidRDefault="001262F7" w:rsidP="001262F7">
            <w:pPr>
              <w:pStyle w:val="VBAILTBody"/>
            </w:pPr>
            <w:r>
              <w:t>Target Audience:</w:t>
            </w:r>
          </w:p>
        </w:tc>
        <w:tc>
          <w:tcPr>
            <w:tcW w:w="7452" w:type="dxa"/>
          </w:tcPr>
          <w:p w14:paraId="30904F2E" w14:textId="79EF064F" w:rsidR="001262F7" w:rsidRDefault="00AD4855" w:rsidP="001262F7">
            <w:pPr>
              <w:pStyle w:val="VBAILTBody"/>
            </w:pPr>
            <w:r>
              <w:t>Education Veterans Claims Processors (VCE</w:t>
            </w:r>
            <w:r w:rsidR="00D40023">
              <w:t>s), Senior VCEs, Lead VCEs,</w:t>
            </w:r>
            <w:r w:rsidR="009638D0">
              <w:t xml:space="preserve"> and</w:t>
            </w:r>
            <w:r w:rsidR="00D40023">
              <w:t xml:space="preserve"> Education Quality &amp; Training Specialist (EQTS)</w:t>
            </w:r>
            <w:r w:rsidR="009638D0">
              <w:t>.</w:t>
            </w:r>
          </w:p>
        </w:tc>
      </w:tr>
      <w:tr w:rsidR="002D1DCE" w14:paraId="592FEDED" w14:textId="77777777" w:rsidTr="2EE49849">
        <w:trPr>
          <w:cantSplit/>
        </w:trPr>
        <w:tc>
          <w:tcPr>
            <w:tcW w:w="1908" w:type="dxa"/>
          </w:tcPr>
          <w:p w14:paraId="7A48B53B" w14:textId="77777777" w:rsidR="002D1DCE" w:rsidRDefault="00077BE7" w:rsidP="001262F7">
            <w:pPr>
              <w:pStyle w:val="VBAILTBody"/>
            </w:pPr>
            <w:r>
              <w:t>Lesson References:</w:t>
            </w:r>
          </w:p>
        </w:tc>
        <w:tc>
          <w:tcPr>
            <w:tcW w:w="7452" w:type="dxa"/>
          </w:tcPr>
          <w:p w14:paraId="03D75955" w14:textId="0890004B" w:rsidR="003260DE" w:rsidRPr="003260DE" w:rsidRDefault="003260DE" w:rsidP="003260DE">
            <w:pPr>
              <w:rPr>
                <w:rStyle w:val="normaltextrun"/>
                <w:rFonts w:ascii="Verdana" w:hAnsi="Verdana" w:cs="Arial"/>
                <w:color w:val="000000"/>
                <w:shd w:val="clear" w:color="auto" w:fill="FFFFFF"/>
              </w:rPr>
            </w:pPr>
            <w:r w:rsidRPr="003260DE">
              <w:rPr>
                <w:rStyle w:val="normaltextrun"/>
                <w:rFonts w:ascii="Verdana" w:hAnsi="Verdana" w:cs="Arial"/>
                <w:color w:val="000000"/>
                <w:shd w:val="clear" w:color="auto" w:fill="FFFFFF"/>
              </w:rPr>
              <w:t>PL 117-68 (Col. John M. McHugh Tuition Fairness for Survivors Act of 2021)</w:t>
            </w:r>
          </w:p>
          <w:p w14:paraId="6A0EE9E5" w14:textId="1A2B55AA" w:rsidR="001262F7" w:rsidRPr="003260DE" w:rsidRDefault="003260DE" w:rsidP="003260DE">
            <w:pPr>
              <w:rPr>
                <w:rFonts w:ascii="Verdana" w:hAnsi="Verdana" w:cs="Arial"/>
                <w:sz w:val="20"/>
                <w:szCs w:val="20"/>
              </w:rPr>
            </w:pPr>
            <w:r w:rsidRPr="003260DE">
              <w:rPr>
                <w:rFonts w:ascii="Verdana" w:hAnsi="Verdana" w:cs="Arial"/>
              </w:rPr>
              <w:t>PL 117-76 (Responsible Education Mitigating Options and Technical Extensions Act of 2021)</w:t>
            </w:r>
          </w:p>
        </w:tc>
      </w:tr>
      <w:tr w:rsidR="002D1DCE" w14:paraId="46C00975" w14:textId="77777777" w:rsidTr="2EE49849">
        <w:trPr>
          <w:cantSplit/>
        </w:trPr>
        <w:tc>
          <w:tcPr>
            <w:tcW w:w="1908" w:type="dxa"/>
          </w:tcPr>
          <w:p w14:paraId="1EC780FB" w14:textId="77777777" w:rsidR="002D1DCE" w:rsidRDefault="001262F7" w:rsidP="001262F7">
            <w:pPr>
              <w:pStyle w:val="VBAILTBody"/>
            </w:pPr>
            <w:r>
              <w:t>Lesson Objectives:</w:t>
            </w:r>
          </w:p>
        </w:tc>
        <w:tc>
          <w:tcPr>
            <w:tcW w:w="7452" w:type="dxa"/>
          </w:tcPr>
          <w:p w14:paraId="2DB6F02B" w14:textId="77777777" w:rsidR="003260DE" w:rsidRPr="003260DE" w:rsidRDefault="003260DE" w:rsidP="003260DE">
            <w:pPr>
              <w:pStyle w:val="TableParagraph"/>
              <w:numPr>
                <w:ilvl w:val="0"/>
                <w:numId w:val="5"/>
              </w:numPr>
              <w:adjustRightInd/>
              <w:spacing w:before="8"/>
              <w:rPr>
                <w:rFonts w:ascii="Verdana" w:hAnsi="Verdana"/>
                <w:sz w:val="22"/>
                <w:szCs w:val="22"/>
              </w:rPr>
            </w:pPr>
            <w:r w:rsidRPr="003260DE">
              <w:rPr>
                <w:rFonts w:ascii="Verdana" w:hAnsi="Verdana"/>
                <w:sz w:val="22"/>
                <w:szCs w:val="22"/>
              </w:rPr>
              <w:t>Understand the provisions of Public Law 117-68, Colonel John M. McHugh Tuition Fairness for Survivors Act of 2021(the Tuition Fairness Act).</w:t>
            </w:r>
          </w:p>
          <w:p w14:paraId="5E28717E" w14:textId="77777777" w:rsidR="003260DE" w:rsidRPr="003260DE" w:rsidRDefault="003260DE" w:rsidP="003260DE">
            <w:pPr>
              <w:pStyle w:val="TableParagraph"/>
              <w:numPr>
                <w:ilvl w:val="0"/>
                <w:numId w:val="5"/>
              </w:numPr>
              <w:adjustRightInd/>
              <w:spacing w:before="8"/>
              <w:rPr>
                <w:rFonts w:ascii="Verdana" w:hAnsi="Verdana"/>
                <w:sz w:val="22"/>
                <w:szCs w:val="22"/>
              </w:rPr>
            </w:pPr>
            <w:r w:rsidRPr="003260DE">
              <w:rPr>
                <w:rFonts w:ascii="Verdana" w:hAnsi="Verdana"/>
                <w:sz w:val="22"/>
                <w:szCs w:val="22"/>
              </w:rPr>
              <w:t>Understand the provisions of Public Law 117-76, Responsible Education Mitigating Options and Technical Extension Act (the REMOTE Act).</w:t>
            </w:r>
          </w:p>
          <w:p w14:paraId="692B8CA8" w14:textId="0A1284F6" w:rsidR="0000091D" w:rsidRDefault="003260DE" w:rsidP="003260DE">
            <w:pPr>
              <w:pStyle w:val="TableParagraph"/>
              <w:numPr>
                <w:ilvl w:val="0"/>
                <w:numId w:val="5"/>
              </w:numPr>
              <w:adjustRightInd/>
              <w:spacing w:before="8"/>
            </w:pPr>
            <w:r w:rsidRPr="003260DE">
              <w:rPr>
                <w:rFonts w:ascii="Verdana" w:hAnsi="Verdana"/>
                <w:sz w:val="22"/>
                <w:szCs w:val="22"/>
              </w:rPr>
              <w:t>Recognize the impact of Public Laws 117-68 and 117-76 on education benefits.</w:t>
            </w:r>
          </w:p>
        </w:tc>
      </w:tr>
      <w:tr w:rsidR="00EC11FB" w14:paraId="7F651376" w14:textId="77777777" w:rsidTr="2EE49849">
        <w:trPr>
          <w:cantSplit/>
        </w:trPr>
        <w:tc>
          <w:tcPr>
            <w:tcW w:w="1908" w:type="dxa"/>
          </w:tcPr>
          <w:p w14:paraId="3FE75A45" w14:textId="77777777" w:rsidR="00EC11FB" w:rsidRDefault="00EC11FB" w:rsidP="001262F7">
            <w:pPr>
              <w:pStyle w:val="VBAILTBody"/>
            </w:pPr>
            <w:r>
              <w:t>Post Training Requirements:</w:t>
            </w:r>
          </w:p>
        </w:tc>
        <w:tc>
          <w:tcPr>
            <w:tcW w:w="7452" w:type="dxa"/>
          </w:tcPr>
          <w:p w14:paraId="05B97A1A" w14:textId="77777777" w:rsidR="00EC11FB" w:rsidRDefault="00EC11FB" w:rsidP="00EC11FB">
            <w:pPr>
              <w:pStyle w:val="QSTBody"/>
              <w:jc w:val="left"/>
              <w:rPr>
                <w:bCs/>
              </w:rPr>
            </w:pPr>
            <w:r>
              <w:rPr>
                <w:bCs/>
              </w:rPr>
              <w:t xml:space="preserve">Upon completion of the classroom portion of the lesson, participants are required to complete an online lesson assessment and survey in Talent Management System (TMS). </w:t>
            </w:r>
          </w:p>
          <w:p w14:paraId="378DE48E" w14:textId="13A86B6C" w:rsidR="00EC11FB" w:rsidRDefault="00EC11FB" w:rsidP="00EC11FB">
            <w:pPr>
              <w:pStyle w:val="QSTBody"/>
              <w:jc w:val="left"/>
              <w:rPr>
                <w:bCs/>
              </w:rPr>
            </w:pPr>
            <w:r>
              <w:rPr>
                <w:bCs/>
              </w:rPr>
              <w:t>To demonstrate successful completion of the lesson</w:t>
            </w:r>
            <w:r w:rsidR="00D22797">
              <w:rPr>
                <w:bCs/>
              </w:rPr>
              <w:t>,</w:t>
            </w:r>
            <w:r>
              <w:rPr>
                <w:bCs/>
              </w:rPr>
              <w:t xml:space="preserve"> participants must pass the assessment with a score of at least 80%.</w:t>
            </w:r>
          </w:p>
          <w:p w14:paraId="5985DC66" w14:textId="77777777" w:rsidR="00EC11FB" w:rsidRDefault="00EC11FB" w:rsidP="00EC11FB">
            <w:pPr>
              <w:pStyle w:val="VBAILTBody"/>
            </w:pPr>
            <w:r>
              <w:rPr>
                <w:bCs/>
              </w:rPr>
              <w:t>Participants must also complete the online survey to earn credit for completion of the lesson.</w:t>
            </w:r>
          </w:p>
        </w:tc>
      </w:tr>
    </w:tbl>
    <w:p w14:paraId="12BA6A51" w14:textId="716D4262" w:rsidR="00C214A9" w:rsidRPr="0024084E" w:rsidRDefault="00C214A9" w:rsidP="001262F7">
      <w:pPr>
        <w:pStyle w:val="VBAILTBody"/>
        <w:rPr>
          <w:sz w:val="24"/>
          <w:szCs w:val="24"/>
        </w:rPr>
      </w:pPr>
    </w:p>
    <w:tbl>
      <w:tblPr>
        <w:tblStyle w:val="TableGrid"/>
        <w:tblW w:w="10080"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4104"/>
        <w:gridCol w:w="5976"/>
      </w:tblGrid>
      <w:tr w:rsidR="009F361E" w14:paraId="4C572D66" w14:textId="77777777" w:rsidTr="2EE49849">
        <w:trPr>
          <w:cantSplit/>
          <w:tblHeader/>
          <w:jc w:val="center"/>
        </w:trPr>
        <w:tc>
          <w:tcPr>
            <w:tcW w:w="4104" w:type="dxa"/>
            <w:tcBorders>
              <w:right w:val="dashSmallGap" w:sz="4" w:space="0" w:color="auto"/>
            </w:tcBorders>
            <w:shd w:val="clear" w:color="auto" w:fill="BDD6EE" w:themeFill="accent1" w:themeFillTint="66"/>
          </w:tcPr>
          <w:p w14:paraId="148D560F" w14:textId="194A12D6" w:rsidR="009F361E" w:rsidRPr="006E54AE" w:rsidRDefault="009F361E" w:rsidP="006E54AE">
            <w:pPr>
              <w:pStyle w:val="VBAILTTableHeading1"/>
            </w:pPr>
            <w:r>
              <w:lastRenderedPageBreak/>
              <w:t>Slides</w:t>
            </w:r>
          </w:p>
        </w:tc>
        <w:tc>
          <w:tcPr>
            <w:tcW w:w="5976" w:type="dxa"/>
            <w:tcBorders>
              <w:left w:val="dashSmallGap" w:sz="4" w:space="0" w:color="auto"/>
            </w:tcBorders>
            <w:shd w:val="clear" w:color="auto" w:fill="BDD6EE" w:themeFill="accent1" w:themeFillTint="66"/>
          </w:tcPr>
          <w:p w14:paraId="0D2B2C82" w14:textId="09519191" w:rsidR="009F361E" w:rsidRDefault="009F361E" w:rsidP="006E54AE">
            <w:pPr>
              <w:pStyle w:val="VBAILTTableHeading1"/>
            </w:pPr>
            <w:r>
              <w:t xml:space="preserve">Instructor </w:t>
            </w:r>
            <w:r w:rsidR="009E4526">
              <w:t>Script</w:t>
            </w:r>
          </w:p>
        </w:tc>
      </w:tr>
      <w:tr w:rsidR="009F361E" w14:paraId="76242D45" w14:textId="77777777" w:rsidTr="2EE49849">
        <w:trPr>
          <w:cantSplit/>
          <w:jc w:val="center"/>
        </w:trPr>
        <w:tc>
          <w:tcPr>
            <w:tcW w:w="4104" w:type="dxa"/>
            <w:tcBorders>
              <w:right w:val="dashSmallGap" w:sz="4" w:space="0" w:color="auto"/>
            </w:tcBorders>
          </w:tcPr>
          <w:p w14:paraId="0EE69F76" w14:textId="616A1DD1" w:rsidR="00626C3C" w:rsidRPr="00626C3C" w:rsidRDefault="58D0DAB8" w:rsidP="00626C3C">
            <w:pPr>
              <w:pStyle w:val="VBAILTBody"/>
            </w:pPr>
            <w:r>
              <w:rPr>
                <w:noProof/>
              </w:rPr>
              <w:drawing>
                <wp:inline distT="0" distB="0" distL="0" distR="0" wp14:anchorId="3A26F8C5" wp14:editId="00F74591">
                  <wp:extent cx="2274442" cy="1378522"/>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4442" cy="1378522"/>
                          </a:xfrm>
                          <a:prstGeom prst="rect">
                            <a:avLst/>
                          </a:prstGeom>
                        </pic:spPr>
                      </pic:pic>
                    </a:graphicData>
                  </a:graphic>
                </wp:inline>
              </w:drawing>
            </w:r>
          </w:p>
          <w:p w14:paraId="02FEDC45" w14:textId="28C4A6F3" w:rsidR="00626C3C" w:rsidRPr="00626C3C" w:rsidRDefault="16154609" w:rsidP="2EE49849">
            <w:pPr>
              <w:pStyle w:val="VBAILTBody"/>
              <w:rPr>
                <w:rFonts w:eastAsia="Calibri" w:cs="Arial"/>
              </w:rPr>
            </w:pPr>
            <w:r>
              <w:rPr>
                <w:noProof/>
              </w:rPr>
              <w:drawing>
                <wp:inline distT="0" distB="0" distL="0" distR="0" wp14:anchorId="0E486D22" wp14:editId="48D3FD88">
                  <wp:extent cx="2305062" cy="1568715"/>
                  <wp:effectExtent l="0" t="0" r="0" b="0"/>
                  <wp:docPr id="1237976343" name="Picture 1237976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r="6896" b="11976"/>
                          <a:stretch>
                            <a:fillRect/>
                          </a:stretch>
                        </pic:blipFill>
                        <pic:spPr>
                          <a:xfrm>
                            <a:off x="0" y="0"/>
                            <a:ext cx="2305062" cy="1568715"/>
                          </a:xfrm>
                          <a:prstGeom prst="rect">
                            <a:avLst/>
                          </a:prstGeom>
                        </pic:spPr>
                      </pic:pic>
                    </a:graphicData>
                  </a:graphic>
                </wp:inline>
              </w:drawing>
            </w:r>
            <w:r w:rsidR="00DC020D">
              <w:br/>
            </w:r>
          </w:p>
        </w:tc>
        <w:tc>
          <w:tcPr>
            <w:tcW w:w="5976" w:type="dxa"/>
            <w:tcBorders>
              <w:left w:val="dashSmallGap" w:sz="4" w:space="0" w:color="auto"/>
            </w:tcBorders>
          </w:tcPr>
          <w:p w14:paraId="0654F86B" w14:textId="6DE119AA" w:rsidR="009F361E" w:rsidRDefault="00C056CA" w:rsidP="009F361E">
            <w:pPr>
              <w:pStyle w:val="VBAILTBody"/>
            </w:pPr>
            <w:r>
              <w:rPr>
                <w:rStyle w:val="Strong"/>
              </w:rPr>
              <w:t>Segment</w:t>
            </w:r>
            <w:r w:rsidR="00626C3C">
              <w:t xml:space="preserve"> </w:t>
            </w:r>
            <w:r w:rsidR="008715F0">
              <w:rPr>
                <w:rStyle w:val="Strong"/>
              </w:rPr>
              <w:fldChar w:fldCharType="begin"/>
            </w:r>
            <w:r w:rsidR="008715F0">
              <w:rPr>
                <w:rStyle w:val="Strong"/>
              </w:rPr>
              <w:instrText xml:space="preserve"> AUTONUMLGL  </w:instrText>
            </w:r>
            <w:r w:rsidR="008715F0">
              <w:rPr>
                <w:rStyle w:val="Strong"/>
              </w:rPr>
              <w:fldChar w:fldCharType="end"/>
            </w:r>
          </w:p>
          <w:p w14:paraId="4EFA7E31" w14:textId="3037ED6F" w:rsidR="003260DE" w:rsidRPr="00C056CA" w:rsidRDefault="003260DE" w:rsidP="003260DE">
            <w:pPr>
              <w:rPr>
                <w:rFonts w:ascii="Verdana" w:eastAsiaTheme="minorEastAsia" w:hAnsi="Verdana" w:cs="Arial"/>
                <w:i/>
                <w:iCs/>
                <w:color w:val="000000" w:themeColor="text1"/>
                <w:sz w:val="20"/>
                <w:szCs w:val="20"/>
                <w:lang w:eastAsia="ja-JP"/>
              </w:rPr>
            </w:pPr>
            <w:r w:rsidRPr="00C056CA">
              <w:rPr>
                <w:rFonts w:ascii="Verdana" w:eastAsiaTheme="minorEastAsia" w:hAnsi="Verdana" w:cs="Arial"/>
                <w:b/>
                <w:bCs/>
                <w:sz w:val="20"/>
                <w:szCs w:val="20"/>
                <w:lang w:eastAsia="ja-JP"/>
              </w:rPr>
              <w:t>Breaking News</w:t>
            </w:r>
            <w:r w:rsidRPr="00C056CA">
              <w:rPr>
                <w:rFonts w:ascii="Verdana" w:eastAsiaTheme="minorEastAsia" w:hAnsi="Verdana" w:cs="Arial"/>
                <w:color w:val="000000" w:themeColor="text1"/>
                <w:sz w:val="20"/>
                <w:szCs w:val="20"/>
                <w:lang w:eastAsia="ja-JP"/>
              </w:rPr>
              <w:t xml:space="preserve">: </w:t>
            </w:r>
            <w:r w:rsidRPr="00C056CA">
              <w:rPr>
                <w:rFonts w:ascii="Verdana" w:eastAsiaTheme="minorEastAsia" w:hAnsi="Verdana" w:cs="Arial"/>
                <w:i/>
                <w:iCs/>
                <w:color w:val="000000" w:themeColor="text1"/>
                <w:sz w:val="20"/>
                <w:szCs w:val="20"/>
                <w:lang w:eastAsia="ja-JP"/>
              </w:rPr>
              <w:t>(VA Reporter with “breaking news” banner or background and use bullets on the screen to highlight the two main points: “Public Law 117-68 the Colonel John M McHugh Tuition Fairness for Survivors Act of 2021” &amp; “Public Law 117-76 the Responsible Education Mitigating Options and Technical Extension” newsroom)</w:t>
            </w:r>
          </w:p>
          <w:p w14:paraId="7AC7F7DC" w14:textId="77777777" w:rsidR="003260DE" w:rsidRPr="00C056CA" w:rsidRDefault="003260DE" w:rsidP="003260DE">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color w:val="002060"/>
                <w:sz w:val="20"/>
                <w:szCs w:val="20"/>
                <w:lang w:eastAsia="ja-JP"/>
              </w:rPr>
            </w:pPr>
            <w:bookmarkStart w:id="0" w:name="_Hlk94091383"/>
            <w:r w:rsidRPr="00C056CA">
              <w:rPr>
                <w:rFonts w:ascii="Verdana" w:eastAsiaTheme="minorEastAsia" w:hAnsi="Verdana" w:cs="Arial"/>
                <w:color w:val="002060"/>
                <w:sz w:val="20"/>
                <w:szCs w:val="20"/>
                <w:lang w:eastAsia="ja-JP"/>
              </w:rPr>
              <w:t>Hello, we interrupt your regularly scheduled programming to bring you a special, breaking news report, from Education Service. Public Laws 117-68 and 117-76 bring about some exciting changes to education benefits.</w:t>
            </w:r>
          </w:p>
          <w:bookmarkEnd w:id="0"/>
          <w:p w14:paraId="04CAE0F1" w14:textId="35196D83" w:rsidR="009F361E" w:rsidRDefault="009F361E" w:rsidP="003260DE">
            <w:pPr>
              <w:pStyle w:val="VBAILTBody"/>
            </w:pPr>
          </w:p>
        </w:tc>
      </w:tr>
      <w:tr w:rsidR="00077BE7" w14:paraId="71563CC4" w14:textId="77777777" w:rsidTr="2EE49849">
        <w:trPr>
          <w:cantSplit/>
          <w:jc w:val="center"/>
        </w:trPr>
        <w:tc>
          <w:tcPr>
            <w:tcW w:w="4104" w:type="dxa"/>
            <w:tcBorders>
              <w:right w:val="dashSmallGap" w:sz="4" w:space="0" w:color="auto"/>
            </w:tcBorders>
          </w:tcPr>
          <w:p w14:paraId="55C69385" w14:textId="4D18EEBE" w:rsidR="00EF4D37" w:rsidRDefault="5FA639C6" w:rsidP="006E54AE">
            <w:pPr>
              <w:pStyle w:val="VBAILTBody"/>
            </w:pPr>
            <w:r>
              <w:rPr>
                <w:noProof/>
              </w:rPr>
              <w:lastRenderedPageBreak/>
              <w:drawing>
                <wp:inline distT="0" distB="0" distL="0" distR="0" wp14:anchorId="0CF72F2E" wp14:editId="0697BA38">
                  <wp:extent cx="2353474" cy="1531290"/>
                  <wp:effectExtent l="0" t="0" r="0" b="0"/>
                  <wp:docPr id="401483325" name="Picture 40148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rcRect r="6530" b="6875"/>
                          <a:stretch>
                            <a:fillRect/>
                          </a:stretch>
                        </pic:blipFill>
                        <pic:spPr>
                          <a:xfrm>
                            <a:off x="0" y="0"/>
                            <a:ext cx="2353474" cy="1531290"/>
                          </a:xfrm>
                          <a:prstGeom prst="rect">
                            <a:avLst/>
                          </a:prstGeom>
                        </pic:spPr>
                      </pic:pic>
                    </a:graphicData>
                  </a:graphic>
                </wp:inline>
              </w:drawing>
            </w:r>
            <w:r w:rsidR="00EF4D37">
              <w:br/>
            </w:r>
            <w:r w:rsidR="3EF8AC5F">
              <w:rPr>
                <w:noProof/>
              </w:rPr>
              <w:drawing>
                <wp:inline distT="0" distB="0" distL="0" distR="0" wp14:anchorId="08363B1B" wp14:editId="5D7A6E1F">
                  <wp:extent cx="2358558" cy="1559136"/>
                  <wp:effectExtent l="0" t="0" r="0" b="0"/>
                  <wp:docPr id="2009907339" name="Picture 2009907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l="2822" r="6451" b="6918"/>
                          <a:stretch>
                            <a:fillRect/>
                          </a:stretch>
                        </pic:blipFill>
                        <pic:spPr>
                          <a:xfrm>
                            <a:off x="0" y="0"/>
                            <a:ext cx="2358558" cy="1559136"/>
                          </a:xfrm>
                          <a:prstGeom prst="rect">
                            <a:avLst/>
                          </a:prstGeom>
                        </pic:spPr>
                      </pic:pic>
                    </a:graphicData>
                  </a:graphic>
                </wp:inline>
              </w:drawing>
            </w:r>
            <w:r w:rsidR="00EF4D37">
              <w:br/>
            </w:r>
            <w:r w:rsidR="162F86DD">
              <w:rPr>
                <w:noProof/>
              </w:rPr>
              <w:drawing>
                <wp:inline distT="0" distB="0" distL="0" distR="0" wp14:anchorId="26F057C9" wp14:editId="09EA354C">
                  <wp:extent cx="2371240" cy="1479243"/>
                  <wp:effectExtent l="0" t="0" r="0" b="0"/>
                  <wp:docPr id="1545722785" name="Picture 154572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rcRect r="5128" b="9375"/>
                          <a:stretch>
                            <a:fillRect/>
                          </a:stretch>
                        </pic:blipFill>
                        <pic:spPr>
                          <a:xfrm>
                            <a:off x="0" y="0"/>
                            <a:ext cx="2371240" cy="1479243"/>
                          </a:xfrm>
                          <a:prstGeom prst="rect">
                            <a:avLst/>
                          </a:prstGeom>
                        </pic:spPr>
                      </pic:pic>
                    </a:graphicData>
                  </a:graphic>
                </wp:inline>
              </w:drawing>
            </w:r>
            <w:r w:rsidR="00EF4D37">
              <w:br/>
            </w:r>
            <w:r w:rsidR="162F86DD">
              <w:rPr>
                <w:noProof/>
              </w:rPr>
              <w:drawing>
                <wp:inline distT="0" distB="0" distL="0" distR="0" wp14:anchorId="771EA031" wp14:editId="3C58F369">
                  <wp:extent cx="2400313" cy="1488464"/>
                  <wp:effectExtent l="0" t="0" r="0" b="0"/>
                  <wp:docPr id="2051987374" name="Picture 2051987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rcRect r="6282" b="11904"/>
                          <a:stretch>
                            <a:fillRect/>
                          </a:stretch>
                        </pic:blipFill>
                        <pic:spPr>
                          <a:xfrm>
                            <a:off x="0" y="0"/>
                            <a:ext cx="2400313" cy="1488464"/>
                          </a:xfrm>
                          <a:prstGeom prst="rect">
                            <a:avLst/>
                          </a:prstGeom>
                        </pic:spPr>
                      </pic:pic>
                    </a:graphicData>
                  </a:graphic>
                </wp:inline>
              </w:drawing>
            </w:r>
            <w:r w:rsidR="00EF4D37">
              <w:br/>
            </w:r>
          </w:p>
          <w:p w14:paraId="0394C266" w14:textId="5A9D6675" w:rsidR="00EF4D37" w:rsidRDefault="00EF4D37" w:rsidP="2EE49849">
            <w:pPr>
              <w:pStyle w:val="VBAILTBody"/>
              <w:rPr>
                <w:rFonts w:eastAsia="Calibri" w:cs="Arial"/>
              </w:rPr>
            </w:pPr>
          </w:p>
          <w:p w14:paraId="7B15D6FD" w14:textId="01D89C10" w:rsidR="00EF4D37" w:rsidRDefault="00EF4D37" w:rsidP="2EE49849">
            <w:pPr>
              <w:pStyle w:val="VBAILTBody"/>
              <w:rPr>
                <w:rFonts w:eastAsia="Calibri" w:cs="Arial"/>
              </w:rPr>
            </w:pPr>
          </w:p>
          <w:p w14:paraId="7020BAAF" w14:textId="7D39BBC2" w:rsidR="00EF4D37" w:rsidRDefault="00EF4D37" w:rsidP="2EE49849">
            <w:pPr>
              <w:pStyle w:val="VBAILTBody"/>
              <w:rPr>
                <w:rFonts w:eastAsia="Calibri" w:cs="Arial"/>
              </w:rPr>
            </w:pPr>
          </w:p>
        </w:tc>
        <w:tc>
          <w:tcPr>
            <w:tcW w:w="5976" w:type="dxa"/>
            <w:tcBorders>
              <w:left w:val="dashSmallGap" w:sz="4" w:space="0" w:color="auto"/>
            </w:tcBorders>
          </w:tcPr>
          <w:p w14:paraId="32A6B06E" w14:textId="43E51CA4" w:rsidR="00141EDD" w:rsidRDefault="00C056CA" w:rsidP="00141EDD">
            <w:pPr>
              <w:pStyle w:val="VBAILTBody"/>
            </w:pPr>
            <w:r>
              <w:rPr>
                <w:rStyle w:val="Strong"/>
              </w:rPr>
              <w:t>Segment</w:t>
            </w:r>
            <w:r w:rsidR="00626C3C">
              <w:t xml:space="preserve"> </w:t>
            </w:r>
            <w:r w:rsidR="00141EDD">
              <w:rPr>
                <w:rStyle w:val="Strong"/>
              </w:rPr>
              <w:fldChar w:fldCharType="begin"/>
            </w:r>
            <w:r w:rsidR="00141EDD">
              <w:rPr>
                <w:rStyle w:val="Strong"/>
              </w:rPr>
              <w:instrText xml:space="preserve"> AUTONUMLGL  </w:instrText>
            </w:r>
            <w:r w:rsidR="00141EDD">
              <w:rPr>
                <w:rStyle w:val="Strong"/>
              </w:rPr>
              <w:fldChar w:fldCharType="end"/>
            </w:r>
          </w:p>
          <w:p w14:paraId="28D149C5" w14:textId="77777777" w:rsidR="00C056CA" w:rsidRPr="00C056CA" w:rsidRDefault="00C056CA" w:rsidP="00C056CA">
            <w:pPr>
              <w:rPr>
                <w:rFonts w:ascii="Verdana" w:eastAsiaTheme="minorEastAsia" w:hAnsi="Verdana" w:cs="Arial"/>
                <w:color w:val="000000" w:themeColor="text1"/>
                <w:sz w:val="20"/>
                <w:szCs w:val="20"/>
                <w:lang w:eastAsia="ja-JP"/>
              </w:rPr>
            </w:pPr>
            <w:r w:rsidRPr="00C056CA">
              <w:rPr>
                <w:rFonts w:ascii="Verdana" w:eastAsiaTheme="minorEastAsia" w:hAnsi="Verdana" w:cs="Arial"/>
                <w:b/>
                <w:bCs/>
                <w:sz w:val="20"/>
                <w:szCs w:val="20"/>
                <w:lang w:eastAsia="ja-JP"/>
              </w:rPr>
              <w:t>Breaking News</w:t>
            </w:r>
            <w:r w:rsidRPr="00C056CA">
              <w:rPr>
                <w:rFonts w:ascii="Verdana" w:eastAsiaTheme="minorEastAsia" w:hAnsi="Verdana" w:cs="Arial"/>
                <w:color w:val="000000" w:themeColor="text1"/>
                <w:sz w:val="20"/>
                <w:szCs w:val="20"/>
                <w:lang w:eastAsia="ja-JP"/>
              </w:rPr>
              <w:t xml:space="preserve">: </w:t>
            </w:r>
            <w:r w:rsidRPr="00C056CA">
              <w:rPr>
                <w:rFonts w:ascii="Verdana" w:eastAsiaTheme="minorEastAsia" w:hAnsi="Verdana" w:cs="Arial"/>
                <w:i/>
                <w:iCs/>
                <w:color w:val="000000" w:themeColor="text1"/>
                <w:sz w:val="20"/>
                <w:szCs w:val="20"/>
                <w:lang w:eastAsia="ja-JP"/>
              </w:rPr>
              <w:t>(VA Reporter with “breaking news” could we move the screen as if the Anchor was changing to a different “camera view” for this next segment.  Banner or background and use bullets on the screen to highlight the main point: “Public Law 117-68 the Colonel John M McHugh Tuition Fairness for Survivors Act of 2021” &amp; “bullet points” newsroom)</w:t>
            </w:r>
          </w:p>
          <w:p w14:paraId="0007DDBE" w14:textId="77777777" w:rsidR="00C056CA" w:rsidRPr="00C056CA" w:rsidRDefault="00C056CA" w:rsidP="00C056C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color w:val="002060"/>
                <w:sz w:val="20"/>
                <w:szCs w:val="20"/>
                <w:lang w:eastAsia="ja-JP"/>
              </w:rPr>
            </w:pPr>
            <w:r w:rsidRPr="00C056CA">
              <w:rPr>
                <w:rFonts w:ascii="Verdana" w:eastAsiaTheme="minorEastAsia" w:hAnsi="Verdana" w:cs="Arial"/>
                <w:color w:val="002060"/>
                <w:sz w:val="20"/>
                <w:szCs w:val="20"/>
                <w:lang w:eastAsia="ja-JP"/>
              </w:rPr>
              <w:t xml:space="preserve">Public Law 117-68, the Colonel John M. McHugh Tuition Fairness for Survivors Act of 2021, amends Title 38 to allow VA to disapprove a program of education at an Institute of Higher Learning (IHL) facility if the IHL facility does not charge in-state tuition rates for those using chapter 35, </w:t>
            </w:r>
            <w:proofErr w:type="gramStart"/>
            <w:r w:rsidRPr="00C056CA">
              <w:rPr>
                <w:rFonts w:ascii="Verdana" w:eastAsiaTheme="minorEastAsia" w:hAnsi="Verdana" w:cs="Arial"/>
                <w:color w:val="002060"/>
                <w:sz w:val="20"/>
                <w:szCs w:val="20"/>
                <w:lang w:eastAsia="ja-JP"/>
              </w:rPr>
              <w:t>Survivors’</w:t>
            </w:r>
            <w:proofErr w:type="gramEnd"/>
            <w:r w:rsidRPr="00C056CA">
              <w:rPr>
                <w:rFonts w:ascii="Verdana" w:eastAsiaTheme="minorEastAsia" w:hAnsi="Verdana" w:cs="Arial"/>
                <w:color w:val="002060"/>
                <w:sz w:val="20"/>
                <w:szCs w:val="20"/>
                <w:lang w:eastAsia="ja-JP"/>
              </w:rPr>
              <w:t xml:space="preserve"> and Dependents’ Educational Assistance Program.</w:t>
            </w:r>
          </w:p>
          <w:p w14:paraId="48D266F6" w14:textId="77777777" w:rsidR="00C056CA" w:rsidRPr="00C056CA" w:rsidRDefault="00C056CA" w:rsidP="00C056C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color w:val="002060"/>
                <w:sz w:val="20"/>
                <w:szCs w:val="20"/>
                <w:lang w:eastAsia="ja-JP"/>
              </w:rPr>
            </w:pPr>
            <w:r w:rsidRPr="00C056CA">
              <w:rPr>
                <w:rFonts w:ascii="Verdana" w:eastAsiaTheme="minorEastAsia" w:hAnsi="Verdana" w:cs="Arial"/>
                <w:color w:val="002060"/>
                <w:sz w:val="20"/>
                <w:szCs w:val="20"/>
                <w:lang w:eastAsia="ja-JP"/>
              </w:rPr>
              <w:t>This new law applies to enrollment periods which begin on or after August 1, 2022.</w:t>
            </w:r>
          </w:p>
          <w:p w14:paraId="3FCB3252" w14:textId="0B146772" w:rsidR="00077BE7" w:rsidRPr="00077BE7" w:rsidRDefault="00077BE7" w:rsidP="00141EDD">
            <w:pPr>
              <w:pStyle w:val="VBAILTBody"/>
              <w:rPr>
                <w:rStyle w:val="Strong"/>
                <w:b w:val="0"/>
                <w:bCs w:val="0"/>
              </w:rPr>
            </w:pPr>
          </w:p>
        </w:tc>
      </w:tr>
      <w:tr w:rsidR="00CF50B0" w14:paraId="311D914F" w14:textId="77777777" w:rsidTr="2EE49849">
        <w:trPr>
          <w:cantSplit/>
          <w:trHeight w:val="4850"/>
          <w:jc w:val="center"/>
        </w:trPr>
        <w:tc>
          <w:tcPr>
            <w:tcW w:w="4104" w:type="dxa"/>
            <w:tcBorders>
              <w:right w:val="dashSmallGap" w:sz="4" w:space="0" w:color="auto"/>
            </w:tcBorders>
          </w:tcPr>
          <w:p w14:paraId="63CCDD4C" w14:textId="46021939" w:rsidR="00C056CA" w:rsidRDefault="00EF4D37" w:rsidP="00C056CA">
            <w:r>
              <w:rPr>
                <w:noProof/>
              </w:rPr>
              <w:lastRenderedPageBreak/>
              <w:drawing>
                <wp:inline distT="0" distB="0" distL="0" distR="0" wp14:anchorId="598E7F3D" wp14:editId="1FDB223C">
                  <wp:extent cx="2408465" cy="1441722"/>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45556" cy="1463925"/>
                          </a:xfrm>
                          <a:prstGeom prst="rect">
                            <a:avLst/>
                          </a:prstGeom>
                        </pic:spPr>
                      </pic:pic>
                    </a:graphicData>
                  </a:graphic>
                </wp:inline>
              </w:drawing>
            </w:r>
          </w:p>
          <w:p w14:paraId="2E234BF6" w14:textId="6394442B" w:rsidR="00CF50B0" w:rsidRDefault="00EF4D37" w:rsidP="006E54AE">
            <w:pPr>
              <w:pStyle w:val="VBAILTBody"/>
            </w:pPr>
            <w:r>
              <w:rPr>
                <w:noProof/>
              </w:rPr>
              <w:drawing>
                <wp:inline distT="0" distB="0" distL="0" distR="0" wp14:anchorId="4A0807C7" wp14:editId="6E7112DD">
                  <wp:extent cx="2419924" cy="1447332"/>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59110" cy="1470769"/>
                          </a:xfrm>
                          <a:prstGeom prst="rect">
                            <a:avLst/>
                          </a:prstGeom>
                        </pic:spPr>
                      </pic:pic>
                    </a:graphicData>
                  </a:graphic>
                </wp:inline>
              </w:drawing>
            </w:r>
          </w:p>
        </w:tc>
        <w:tc>
          <w:tcPr>
            <w:tcW w:w="5976" w:type="dxa"/>
            <w:tcBorders>
              <w:left w:val="dashSmallGap" w:sz="4" w:space="0" w:color="auto"/>
            </w:tcBorders>
          </w:tcPr>
          <w:p w14:paraId="1B25E9FF" w14:textId="2B1234B3" w:rsidR="00141EDD" w:rsidRDefault="00C056CA" w:rsidP="00141EDD">
            <w:pPr>
              <w:pStyle w:val="VBAILTBody"/>
            </w:pPr>
            <w:r>
              <w:rPr>
                <w:rStyle w:val="Strong"/>
              </w:rPr>
              <w:t>Segment</w:t>
            </w:r>
            <w:r w:rsidR="00626C3C">
              <w:t xml:space="preserve"> </w:t>
            </w:r>
            <w:r w:rsidR="00141EDD">
              <w:rPr>
                <w:rStyle w:val="Strong"/>
              </w:rPr>
              <w:fldChar w:fldCharType="begin"/>
            </w:r>
            <w:r w:rsidR="00141EDD">
              <w:rPr>
                <w:rStyle w:val="Strong"/>
              </w:rPr>
              <w:instrText xml:space="preserve"> AUTONUMLGL  </w:instrText>
            </w:r>
            <w:r w:rsidR="00141EDD">
              <w:rPr>
                <w:rStyle w:val="Strong"/>
              </w:rPr>
              <w:fldChar w:fldCharType="end"/>
            </w:r>
          </w:p>
          <w:p w14:paraId="188E9602" w14:textId="12FDCD6F" w:rsidR="00CF50B0" w:rsidRPr="00C056CA" w:rsidRDefault="00C056CA" w:rsidP="00C056CA">
            <w:pPr>
              <w:rPr>
                <w:rStyle w:val="Strong"/>
                <w:rFonts w:ascii="Verdana" w:eastAsiaTheme="minorEastAsia" w:hAnsi="Verdana" w:cs="Arial"/>
                <w:b w:val="0"/>
                <w:bCs w:val="0"/>
                <w:color w:val="000000" w:themeColor="text1"/>
                <w:sz w:val="20"/>
                <w:szCs w:val="20"/>
                <w:lang w:eastAsia="ja-JP"/>
              </w:rPr>
            </w:pPr>
            <w:r w:rsidRPr="00C056CA">
              <w:rPr>
                <w:rFonts w:eastAsiaTheme="minorEastAsia" w:cs="Arial"/>
                <w:noProof/>
                <w:color w:val="002060"/>
                <w:sz w:val="20"/>
                <w:szCs w:val="20"/>
                <w:lang w:eastAsia="ja-JP"/>
              </w:rPr>
              <mc:AlternateContent>
                <mc:Choice Requires="wps">
                  <w:drawing>
                    <wp:anchor distT="45720" distB="45720" distL="114300" distR="114300" simplePos="0" relativeHeight="251659264" behindDoc="0" locked="0" layoutInCell="1" allowOverlap="1" wp14:anchorId="4740982A" wp14:editId="07E5D4B5">
                      <wp:simplePos x="0" y="0"/>
                      <wp:positionH relativeFrom="column">
                        <wp:posOffset>-69850</wp:posOffset>
                      </wp:positionH>
                      <wp:positionV relativeFrom="paragraph">
                        <wp:posOffset>737870</wp:posOffset>
                      </wp:positionV>
                      <wp:extent cx="3870325" cy="1750060"/>
                      <wp:effectExtent l="0" t="0" r="1587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1750060"/>
                              </a:xfrm>
                              <a:prstGeom prst="rect">
                                <a:avLst/>
                              </a:prstGeom>
                              <a:solidFill>
                                <a:srgbClr val="FFFFFF"/>
                              </a:solidFill>
                              <a:ln w="6350">
                                <a:solidFill>
                                  <a:srgbClr val="000000"/>
                                </a:solidFill>
                                <a:miter lim="800000"/>
                                <a:headEnd/>
                                <a:tailEnd/>
                              </a:ln>
                            </wps:spPr>
                            <wps:txbx>
                              <w:txbxContent>
                                <w:p w14:paraId="5FC55ABA" w14:textId="47E23ECD" w:rsidR="00C056CA" w:rsidRDefault="00C056CA" w:rsidP="00C056CA">
                                  <w:pPr>
                                    <w:shd w:val="clear" w:color="auto" w:fill="D9D9D9" w:themeFill="background1" w:themeFillShade="D9"/>
                                  </w:pPr>
                                  <w:r w:rsidRPr="00C056CA">
                                    <w:rPr>
                                      <w:rFonts w:ascii="Verdana" w:eastAsiaTheme="minorEastAsia" w:hAnsi="Verdana" w:cs="Arial"/>
                                      <w:color w:val="002060"/>
                                      <w:sz w:val="20"/>
                                      <w:szCs w:val="20"/>
                                      <w:lang w:eastAsia="ja-JP"/>
                                    </w:rPr>
                                    <w:t>I’m sure you are asking, how does this impact chapter 35 beneficiaries? As we know, military families move frequently, which may impact their ability to meet in-state tuition residency requirements. Previously passed legislation removed residency requirements for beneficiaries in receipt of chapter 30, 31, and 33 benefits. The Tuition Fairness Act extends the same protections under the law to beneficiaries in receipt of chapter 35 benefits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0982A" id="_x0000_s1027" type="#_x0000_t202" style="position:absolute;margin-left:-5.5pt;margin-top:58.1pt;width:304.75pt;height:137.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" strokeweight=".5pt">
                      <v:textbox>
                        <w:txbxContent>
                          <w:p w14:paraId="5FC55ABA" w14:textId="47E23ECD" w:rsidR="00C056CA" w:rsidRDefault="00C056CA" w:rsidP="00C056CA">
                            <w:pPr>
                              <w:shd w:val="clear" w:color="auto" w:fill="D9D9D9" w:themeFill="background1" w:themeFillShade="D9"/>
                            </w:pPr>
                            <w:r w:rsidRPr="00C056CA">
                              <w:rPr>
                                <w:rFonts w:ascii="Verdana" w:eastAsiaTheme="minorEastAsia" w:hAnsi="Verdana" w:cs="Arial"/>
                                <w:color w:val="002060"/>
                                <w:sz w:val="20"/>
                                <w:szCs w:val="20"/>
                                <w:lang w:eastAsia="ja-JP"/>
                              </w:rPr>
                              <w:t>I’m sure you are asking, how does this impact chapter 35 beneficiaries? As we know, military families move frequently, which may impact their ability to meet in-state tuition residency requirements. Previously passed legislation removed residency requirements for beneficiaries in receipt of chapter 30, 31, and 33 benefits. The Tuition Fairness Act extends the same protections under the law to beneficiaries in receipt of chapter 35 benefits</w:t>
                            </w:r>
                          </w:p>
                        </w:txbxContent>
                      </v:textbox>
                      <w10:wrap type="square"/>
                    </v:shape>
                  </w:pict>
                </mc:Fallback>
              </mc:AlternateContent>
            </w:r>
            <w:r w:rsidRPr="00C056CA">
              <w:rPr>
                <w:rFonts w:ascii="Verdana" w:eastAsiaTheme="minorEastAsia" w:hAnsi="Verdana" w:cs="Arial"/>
                <w:b/>
                <w:bCs/>
                <w:sz w:val="20"/>
                <w:szCs w:val="20"/>
                <w:lang w:eastAsia="ja-JP"/>
              </w:rPr>
              <w:t>Breaking News</w:t>
            </w:r>
            <w:r w:rsidRPr="00C056CA">
              <w:rPr>
                <w:rFonts w:ascii="Verdana" w:eastAsiaTheme="minorEastAsia" w:hAnsi="Verdana" w:cs="Arial"/>
                <w:color w:val="000000" w:themeColor="text1"/>
                <w:sz w:val="20"/>
                <w:szCs w:val="20"/>
                <w:lang w:eastAsia="ja-JP"/>
              </w:rPr>
              <w:t xml:space="preserve">: </w:t>
            </w:r>
            <w:r w:rsidRPr="00C056CA">
              <w:rPr>
                <w:rFonts w:ascii="Verdana" w:eastAsiaTheme="minorEastAsia" w:hAnsi="Verdana" w:cs="Arial"/>
                <w:i/>
                <w:iCs/>
                <w:color w:val="000000" w:themeColor="text1"/>
                <w:sz w:val="20"/>
                <w:szCs w:val="20"/>
                <w:lang w:eastAsia="ja-JP"/>
              </w:rPr>
              <w:t>(VA Reporter with “breaking news”. Banner or background and use bullets on the screen to highlight: “the Tuition Fairness Act of 2021” “Images Examples In-State Tuition on the screen”)</w:t>
            </w:r>
          </w:p>
        </w:tc>
      </w:tr>
      <w:tr w:rsidR="00BF37BB" w14:paraId="178CA04A" w14:textId="77777777" w:rsidTr="2EE49849">
        <w:trPr>
          <w:cantSplit/>
          <w:trHeight w:val="7100"/>
          <w:jc w:val="center"/>
        </w:trPr>
        <w:tc>
          <w:tcPr>
            <w:tcW w:w="4104" w:type="dxa"/>
            <w:tcBorders>
              <w:right w:val="dashSmallGap" w:sz="4" w:space="0" w:color="auto"/>
            </w:tcBorders>
          </w:tcPr>
          <w:p w14:paraId="311881D3" w14:textId="78B1CE64" w:rsidR="00BF37BB" w:rsidRDefault="00EF4D37" w:rsidP="006E54AE">
            <w:pPr>
              <w:pStyle w:val="VBAILTBody"/>
            </w:pPr>
            <w:r>
              <w:rPr>
                <w:noProof/>
              </w:rPr>
              <w:drawing>
                <wp:inline distT="0" distB="0" distL="0" distR="0" wp14:anchorId="5847BF0C" wp14:editId="53791EC7">
                  <wp:extent cx="2459990" cy="14579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59990" cy="1457960"/>
                          </a:xfrm>
                          <a:prstGeom prst="rect">
                            <a:avLst/>
                          </a:prstGeom>
                        </pic:spPr>
                      </pic:pic>
                    </a:graphicData>
                  </a:graphic>
                </wp:inline>
              </w:drawing>
            </w:r>
          </w:p>
        </w:tc>
        <w:tc>
          <w:tcPr>
            <w:tcW w:w="5976" w:type="dxa"/>
            <w:tcBorders>
              <w:left w:val="dashSmallGap" w:sz="4" w:space="0" w:color="auto"/>
            </w:tcBorders>
          </w:tcPr>
          <w:p w14:paraId="14393653" w14:textId="0512610D" w:rsidR="00BF37BB" w:rsidRDefault="00C056CA" w:rsidP="00BF37BB">
            <w:pPr>
              <w:pStyle w:val="VBAILTBody"/>
            </w:pPr>
            <w:r>
              <w:rPr>
                <w:rStyle w:val="Strong"/>
              </w:rPr>
              <w:t>Segment</w:t>
            </w:r>
            <w:r w:rsidR="00626C3C">
              <w:t xml:space="preserve"> </w:t>
            </w:r>
            <w:r w:rsidR="00BF37BB">
              <w:rPr>
                <w:rStyle w:val="Strong"/>
              </w:rPr>
              <w:fldChar w:fldCharType="begin"/>
            </w:r>
            <w:r w:rsidR="00BF37BB">
              <w:rPr>
                <w:rStyle w:val="Strong"/>
              </w:rPr>
              <w:instrText xml:space="preserve"> AUTONUMLGL  </w:instrText>
            </w:r>
            <w:r w:rsidR="00BF37BB">
              <w:rPr>
                <w:rStyle w:val="Strong"/>
              </w:rPr>
              <w:fldChar w:fldCharType="end"/>
            </w:r>
          </w:p>
          <w:p w14:paraId="6B0E81BA" w14:textId="77777777" w:rsidR="00DC020D" w:rsidRPr="00DC020D" w:rsidRDefault="00DC020D" w:rsidP="00DC020D">
            <w:pPr>
              <w:rPr>
                <w:rFonts w:ascii="Verdana" w:eastAsiaTheme="minorEastAsia" w:hAnsi="Verdana" w:cs="Arial"/>
                <w:color w:val="000000" w:themeColor="text1"/>
                <w:sz w:val="20"/>
                <w:szCs w:val="20"/>
                <w:lang w:eastAsia="ja-JP"/>
              </w:rPr>
            </w:pPr>
            <w:r w:rsidRPr="00DC020D">
              <w:rPr>
                <w:rFonts w:ascii="Verdana" w:eastAsiaTheme="minorEastAsia" w:hAnsi="Verdana" w:cs="Arial"/>
                <w:b/>
                <w:bCs/>
                <w:sz w:val="20"/>
                <w:szCs w:val="20"/>
                <w:lang w:eastAsia="ja-JP"/>
              </w:rPr>
              <w:t>Breaking News</w:t>
            </w:r>
            <w:r w:rsidRPr="00DC020D">
              <w:rPr>
                <w:rFonts w:ascii="Verdana" w:eastAsiaTheme="minorEastAsia" w:hAnsi="Verdana" w:cs="Arial"/>
                <w:color w:val="000000" w:themeColor="text1"/>
                <w:sz w:val="20"/>
                <w:szCs w:val="20"/>
                <w:lang w:eastAsia="ja-JP"/>
              </w:rPr>
              <w:t xml:space="preserve">: </w:t>
            </w:r>
            <w:r w:rsidRPr="00DC020D">
              <w:rPr>
                <w:rFonts w:ascii="Verdana" w:eastAsiaTheme="minorEastAsia" w:hAnsi="Verdana" w:cs="Arial"/>
                <w:i/>
                <w:iCs/>
                <w:color w:val="000000" w:themeColor="text1"/>
                <w:sz w:val="20"/>
                <w:szCs w:val="20"/>
                <w:lang w:eastAsia="ja-JP"/>
              </w:rPr>
              <w:t>(VA Reporter with “breaking news” could we move the screen if the Anchor was changing to a different “camera view” for this next segment.  Banner or background and use bullets on the screen to highlight the main points: “Public Law 117-76 the responsible education mitigating options and technical extension Act (REMOTE Act)” &amp; “bullet points” any image examples that would help explain)</w:t>
            </w:r>
          </w:p>
          <w:p w14:paraId="2693AC71" w14:textId="77777777" w:rsidR="00DC020D" w:rsidRPr="00DC020D" w:rsidRDefault="00DC020D"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color w:val="002060"/>
                <w:sz w:val="20"/>
                <w:szCs w:val="20"/>
                <w:lang w:eastAsia="ja-JP"/>
              </w:rPr>
            </w:pPr>
            <w:r w:rsidRPr="00DC020D">
              <w:rPr>
                <w:rFonts w:ascii="Verdana" w:eastAsiaTheme="minorEastAsia" w:hAnsi="Verdana" w:cs="Arial"/>
                <w:color w:val="002060"/>
                <w:sz w:val="20"/>
                <w:szCs w:val="20"/>
                <w:lang w:eastAsia="ja-JP"/>
              </w:rPr>
              <w:t>Public Law 117-76, the Responsible Education Mitigating Options and Technical Extension or the REMOTE Act also provides expanded protections under the law. There are four specific provisions or sections in the REMOTE Act which impact education beneficiaries. Let’s take a closer look at each of these four sections.</w:t>
            </w:r>
          </w:p>
          <w:p w14:paraId="71E5CA3E" w14:textId="12805AC0" w:rsidR="00BF37BB" w:rsidRPr="009F361E" w:rsidRDefault="00BF37BB" w:rsidP="00BF37BB">
            <w:pPr>
              <w:pStyle w:val="VBAILTBody"/>
              <w:rPr>
                <w:rStyle w:val="Strong"/>
              </w:rPr>
            </w:pPr>
          </w:p>
        </w:tc>
      </w:tr>
      <w:tr w:rsidR="00373F10" w:rsidRPr="009F361E" w14:paraId="7D1CEA02" w14:textId="77777777" w:rsidTr="2EE49849">
        <w:tblPrEx>
          <w:jc w:val="left"/>
          <w:tblCellMar>
            <w:left w:w="108" w:type="dxa"/>
            <w:right w:w="108" w:type="dxa"/>
          </w:tblCellMar>
          <w:tblLook w:val="04A0" w:firstRow="1" w:lastRow="0" w:firstColumn="1" w:lastColumn="0" w:noHBand="0" w:noVBand="1"/>
        </w:tblPrEx>
        <w:tc>
          <w:tcPr>
            <w:tcW w:w="4104" w:type="dxa"/>
          </w:tcPr>
          <w:p w14:paraId="75815B9A" w14:textId="77777777" w:rsidR="00373F10" w:rsidRDefault="5D5ECCD3" w:rsidP="0034087B">
            <w:pPr>
              <w:pStyle w:val="VBAILTBody"/>
            </w:pPr>
            <w:r>
              <w:rPr>
                <w:noProof/>
              </w:rPr>
              <w:lastRenderedPageBreak/>
              <w:drawing>
                <wp:inline distT="0" distB="0" distL="0" distR="0" wp14:anchorId="180DCBC2" wp14:editId="6E77EDE0">
                  <wp:extent cx="2468880" cy="1476375"/>
                  <wp:effectExtent l="0" t="0" r="762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8880" cy="1476375"/>
                          </a:xfrm>
                          <a:prstGeom prst="rect">
                            <a:avLst/>
                          </a:prstGeom>
                        </pic:spPr>
                      </pic:pic>
                    </a:graphicData>
                  </a:graphic>
                </wp:inline>
              </w:drawing>
            </w:r>
          </w:p>
          <w:p w14:paraId="0A6D3474" w14:textId="7342D224" w:rsidR="00EF4D37" w:rsidRDefault="643275D4" w:rsidP="2EE49849">
            <w:pPr>
              <w:pStyle w:val="VBAILTBody"/>
              <w:rPr>
                <w:rFonts w:eastAsia="Calibri" w:cs="Arial"/>
              </w:rPr>
            </w:pPr>
            <w:r>
              <w:rPr>
                <w:noProof/>
              </w:rPr>
              <w:drawing>
                <wp:inline distT="0" distB="0" distL="0" distR="0" wp14:anchorId="20297BA8" wp14:editId="78D146B6">
                  <wp:extent cx="2488078" cy="1514486"/>
                  <wp:effectExtent l="0" t="0" r="0" b="0"/>
                  <wp:docPr id="406119316" name="Picture 406119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rcRect r="7630" b="7894"/>
                          <a:stretch>
                            <a:fillRect/>
                          </a:stretch>
                        </pic:blipFill>
                        <pic:spPr>
                          <a:xfrm>
                            <a:off x="0" y="0"/>
                            <a:ext cx="2488078" cy="1514486"/>
                          </a:xfrm>
                          <a:prstGeom prst="rect">
                            <a:avLst/>
                          </a:prstGeom>
                        </pic:spPr>
                      </pic:pic>
                    </a:graphicData>
                  </a:graphic>
                </wp:inline>
              </w:drawing>
            </w:r>
            <w:r w:rsidR="00EF4D37">
              <w:br/>
            </w:r>
          </w:p>
          <w:p w14:paraId="538D303C" w14:textId="335E869F" w:rsidR="00EF4D37" w:rsidRDefault="00EF4D37" w:rsidP="0034087B">
            <w:pPr>
              <w:pStyle w:val="VBAILTBody"/>
            </w:pPr>
          </w:p>
          <w:p w14:paraId="65660CDE" w14:textId="6E245467" w:rsidR="00EF4D37" w:rsidRDefault="00EF4D37" w:rsidP="2EE49849">
            <w:pPr>
              <w:pStyle w:val="VBAILTBody"/>
              <w:rPr>
                <w:rFonts w:eastAsia="Calibri" w:cs="Arial"/>
              </w:rPr>
            </w:pPr>
          </w:p>
          <w:p w14:paraId="1646C2C5" w14:textId="45095EA9" w:rsidR="00EF4D37" w:rsidRDefault="00EF4D37" w:rsidP="2EE49849">
            <w:pPr>
              <w:pStyle w:val="VBAILTBody"/>
              <w:rPr>
                <w:rFonts w:eastAsia="Calibri" w:cs="Arial"/>
              </w:rPr>
            </w:pPr>
          </w:p>
          <w:p w14:paraId="54FD95EC" w14:textId="0731EC01" w:rsidR="00EF4D37" w:rsidRDefault="00EF4D37" w:rsidP="2EE49849">
            <w:pPr>
              <w:pStyle w:val="VBAILTBody"/>
              <w:rPr>
                <w:rFonts w:eastAsia="Calibri" w:cs="Arial"/>
              </w:rPr>
            </w:pPr>
          </w:p>
        </w:tc>
        <w:tc>
          <w:tcPr>
            <w:tcW w:w="5976" w:type="dxa"/>
          </w:tcPr>
          <w:p w14:paraId="1F6D56ED" w14:textId="7B2BF705" w:rsidR="00373F10" w:rsidRDefault="00DC020D" w:rsidP="0034087B">
            <w:pPr>
              <w:pStyle w:val="VBAILTBody"/>
            </w:pPr>
            <w:r>
              <w:rPr>
                <w:rStyle w:val="Strong"/>
              </w:rPr>
              <w:t>Segment 5.</w:t>
            </w:r>
          </w:p>
          <w:p w14:paraId="656A0377" w14:textId="77777777" w:rsidR="00DC020D" w:rsidRPr="00DC020D" w:rsidRDefault="00DC020D" w:rsidP="00DC020D">
            <w:pPr>
              <w:rPr>
                <w:rFonts w:ascii="Verdana" w:eastAsiaTheme="minorEastAsia" w:hAnsi="Verdana" w:cs="Arial"/>
                <w:color w:val="000000" w:themeColor="text1"/>
                <w:sz w:val="20"/>
                <w:szCs w:val="20"/>
                <w:lang w:eastAsia="ja-JP"/>
              </w:rPr>
            </w:pPr>
            <w:r w:rsidRPr="00DC020D">
              <w:rPr>
                <w:rFonts w:ascii="Verdana" w:eastAsiaTheme="minorEastAsia" w:hAnsi="Verdana" w:cs="Arial"/>
                <w:b/>
                <w:bCs/>
                <w:sz w:val="20"/>
                <w:szCs w:val="20"/>
                <w:lang w:eastAsia="ja-JP"/>
              </w:rPr>
              <w:t>Breaking News</w:t>
            </w:r>
            <w:r w:rsidRPr="00DC020D">
              <w:rPr>
                <w:rFonts w:ascii="Verdana" w:eastAsiaTheme="minorEastAsia" w:hAnsi="Verdana" w:cs="Arial"/>
                <w:color w:val="000000" w:themeColor="text1"/>
                <w:sz w:val="20"/>
                <w:szCs w:val="20"/>
                <w:lang w:eastAsia="ja-JP"/>
              </w:rPr>
              <w:t xml:space="preserve">: </w:t>
            </w:r>
            <w:r w:rsidRPr="00DC020D">
              <w:rPr>
                <w:rFonts w:ascii="Verdana" w:eastAsiaTheme="minorEastAsia" w:hAnsi="Verdana" w:cs="Arial"/>
                <w:i/>
                <w:iCs/>
                <w:color w:val="000000" w:themeColor="text1"/>
                <w:sz w:val="20"/>
                <w:szCs w:val="20"/>
                <w:lang w:eastAsia="ja-JP"/>
              </w:rPr>
              <w:t>(VA Reporter with “breaking news”.  Banner or background and use bullets on the screen to highlight the main point: “the Remote Act” &amp; bullets of the sections” &amp; transition background while speaking to a different screen giving smaller tidbits of section 2-5 as they are spoken about for the purposed of (June 1, 2022))</w:t>
            </w:r>
          </w:p>
          <w:p w14:paraId="2F13C971" w14:textId="0AE39B85" w:rsidR="00DC020D" w:rsidRPr="00DC020D" w:rsidRDefault="00DC020D"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color w:val="002060"/>
                <w:sz w:val="20"/>
                <w:szCs w:val="20"/>
                <w:lang w:eastAsia="ja-JP"/>
              </w:rPr>
            </w:pPr>
            <w:r w:rsidRPr="00DC020D">
              <w:rPr>
                <w:rFonts w:ascii="Verdana" w:eastAsiaTheme="minorEastAsia" w:hAnsi="Verdana" w:cs="Arial"/>
                <w:color w:val="002060"/>
                <w:sz w:val="20"/>
                <w:szCs w:val="20"/>
                <w:lang w:eastAsia="ja-JP"/>
              </w:rPr>
              <w:t>Section 2 and 5</w:t>
            </w:r>
            <w:r w:rsidR="00C30D97">
              <w:rPr>
                <w:rFonts w:ascii="Verdana" w:eastAsiaTheme="minorEastAsia" w:hAnsi="Verdana" w:cs="Arial"/>
                <w:color w:val="002060"/>
                <w:sz w:val="20"/>
                <w:szCs w:val="20"/>
                <w:lang w:eastAsia="ja-JP"/>
              </w:rPr>
              <w:t xml:space="preserve"> </w:t>
            </w:r>
            <w:r w:rsidRPr="00DC020D">
              <w:rPr>
                <w:rFonts w:ascii="Verdana" w:eastAsiaTheme="minorEastAsia" w:hAnsi="Verdana" w:cs="Arial"/>
                <w:color w:val="002060"/>
                <w:sz w:val="20"/>
                <w:szCs w:val="20"/>
                <w:lang w:eastAsia="ja-JP"/>
              </w:rPr>
              <w:t>extend certain provisions of the law aimed at providing relief to beneficiaries impacted by the COVID-19 pandemic until June 1, 2022. These include payment at the in-resident housing rate for online training, delimiting date extensions and no charge to entitlement for certain beneficiaries who were unable to continue training due to the pandemic.</w:t>
            </w:r>
          </w:p>
          <w:p w14:paraId="2523CC65" w14:textId="77777777" w:rsidR="00DC020D" w:rsidRPr="00DC020D" w:rsidRDefault="00DC020D"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color w:val="002060"/>
                <w:sz w:val="20"/>
                <w:szCs w:val="20"/>
                <w:lang w:eastAsia="ja-JP"/>
              </w:rPr>
            </w:pPr>
            <w:r w:rsidRPr="00DC020D">
              <w:rPr>
                <w:rFonts w:ascii="Verdana" w:eastAsiaTheme="minorEastAsia" w:hAnsi="Verdana" w:cs="Arial"/>
                <w:color w:val="002060"/>
                <w:sz w:val="20"/>
                <w:szCs w:val="20"/>
                <w:lang w:eastAsia="ja-JP"/>
              </w:rPr>
              <w:t>Section 3 modifies certain requirements for educational institutions relating to enrollment verification and exempts foreign schools from certain prohibitions.</w:t>
            </w:r>
          </w:p>
          <w:p w14:paraId="6964F816" w14:textId="77777777" w:rsidR="00DC020D" w:rsidRPr="00DC020D" w:rsidRDefault="00DC020D"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color w:val="002060"/>
                <w:sz w:val="20"/>
                <w:szCs w:val="20"/>
                <w:lang w:eastAsia="ja-JP"/>
              </w:rPr>
            </w:pPr>
            <w:r w:rsidRPr="00DC020D">
              <w:rPr>
                <w:rFonts w:ascii="Verdana" w:eastAsiaTheme="minorEastAsia" w:hAnsi="Verdana" w:cs="Arial"/>
                <w:color w:val="002060"/>
                <w:sz w:val="20"/>
                <w:szCs w:val="20"/>
                <w:lang w:eastAsia="ja-JP"/>
              </w:rPr>
              <w:t xml:space="preserve">Lastly, section 4 allows beneficiaries to “round out” to enroll in, and VA pay for, additional courses not required for graduation during their final semester, </w:t>
            </w:r>
            <w:proofErr w:type="gramStart"/>
            <w:r w:rsidRPr="00DC020D">
              <w:rPr>
                <w:rFonts w:ascii="Verdana" w:eastAsiaTheme="minorEastAsia" w:hAnsi="Verdana" w:cs="Arial"/>
                <w:color w:val="002060"/>
                <w:sz w:val="20"/>
                <w:szCs w:val="20"/>
                <w:lang w:eastAsia="ja-JP"/>
              </w:rPr>
              <w:t>term</w:t>
            </w:r>
            <w:proofErr w:type="gramEnd"/>
            <w:r w:rsidRPr="00DC020D">
              <w:rPr>
                <w:rFonts w:ascii="Verdana" w:eastAsiaTheme="minorEastAsia" w:hAnsi="Verdana" w:cs="Arial"/>
                <w:color w:val="002060"/>
                <w:sz w:val="20"/>
                <w:szCs w:val="20"/>
                <w:lang w:eastAsia="ja-JP"/>
              </w:rPr>
              <w:t xml:space="preserve"> or academic period. </w:t>
            </w:r>
          </w:p>
          <w:p w14:paraId="618E4313" w14:textId="62EF1186" w:rsidR="00DC020D" w:rsidRDefault="00DC020D"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color w:val="002060"/>
                <w:sz w:val="20"/>
                <w:szCs w:val="20"/>
                <w:lang w:eastAsia="ja-JP"/>
              </w:rPr>
            </w:pPr>
          </w:p>
          <w:p w14:paraId="088039F2" w14:textId="796F3481" w:rsidR="00D600C0" w:rsidRPr="00D600C0" w:rsidRDefault="00D600C0"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color w:val="002060"/>
                <w:sz w:val="20"/>
                <w:szCs w:val="20"/>
                <w:lang w:eastAsia="ja-JP"/>
              </w:rPr>
            </w:pPr>
            <w:r w:rsidRPr="00D600C0">
              <w:rPr>
                <w:rFonts w:ascii="Verdana" w:eastAsiaTheme="minorEastAsia" w:hAnsi="Verdana" w:cs="Arial"/>
                <w:color w:val="002060"/>
                <w:sz w:val="20"/>
                <w:szCs w:val="20"/>
                <w:lang w:eastAsia="ja-JP"/>
              </w:rPr>
              <w:t xml:space="preserve">Now to our special reporter, Mr. Gerald Williams, who is live on the campus of </w:t>
            </w:r>
            <w:proofErr w:type="gramStart"/>
            <w:r w:rsidRPr="00D600C0">
              <w:rPr>
                <w:rFonts w:ascii="Verdana" w:eastAsiaTheme="minorEastAsia" w:hAnsi="Verdana" w:cs="Arial"/>
                <w:color w:val="002060"/>
                <w:sz w:val="20"/>
                <w:szCs w:val="20"/>
                <w:lang w:eastAsia="ja-JP"/>
              </w:rPr>
              <w:t>Every Day</w:t>
            </w:r>
            <w:proofErr w:type="gramEnd"/>
            <w:r w:rsidRPr="00D600C0">
              <w:rPr>
                <w:rFonts w:ascii="Verdana" w:eastAsiaTheme="minorEastAsia" w:hAnsi="Verdana" w:cs="Arial"/>
                <w:color w:val="002060"/>
                <w:sz w:val="20"/>
                <w:szCs w:val="20"/>
                <w:lang w:eastAsia="ja-JP"/>
              </w:rPr>
              <w:t xml:space="preserve"> University (EDU) where Veterans have just learned about the REMOTE Act. Gerald….</w:t>
            </w:r>
          </w:p>
          <w:p w14:paraId="1D5A1520" w14:textId="77777777" w:rsidR="00D600C0" w:rsidRPr="00DC020D" w:rsidRDefault="00D600C0"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color w:val="002060"/>
                <w:sz w:val="20"/>
                <w:szCs w:val="20"/>
                <w:lang w:eastAsia="ja-JP"/>
              </w:rPr>
            </w:pPr>
          </w:p>
          <w:p w14:paraId="29B01D00" w14:textId="77777777" w:rsidR="00DC020D" w:rsidRPr="00DC020D" w:rsidRDefault="00DC020D"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color w:val="002060"/>
                <w:sz w:val="20"/>
                <w:szCs w:val="20"/>
                <w:lang w:eastAsia="ja-JP"/>
              </w:rPr>
            </w:pPr>
          </w:p>
          <w:p w14:paraId="37B385B3" w14:textId="72058EF4" w:rsidR="009302FE" w:rsidRPr="009F361E" w:rsidRDefault="009302FE" w:rsidP="00DC020D">
            <w:pPr>
              <w:pStyle w:val="VBAILTBody"/>
              <w:ind w:left="360"/>
              <w:rPr>
                <w:rStyle w:val="Strong"/>
              </w:rPr>
            </w:pPr>
          </w:p>
        </w:tc>
      </w:tr>
      <w:tr w:rsidR="00373F10" w:rsidRPr="009F361E" w14:paraId="4F55177F" w14:textId="77777777" w:rsidTr="00FD2AEA">
        <w:tblPrEx>
          <w:jc w:val="left"/>
          <w:tblCellMar>
            <w:left w:w="108" w:type="dxa"/>
            <w:right w:w="108" w:type="dxa"/>
          </w:tblCellMar>
          <w:tblLook w:val="04A0" w:firstRow="1" w:lastRow="0" w:firstColumn="1" w:lastColumn="0" w:noHBand="0" w:noVBand="1"/>
        </w:tblPrEx>
        <w:trPr>
          <w:trHeight w:val="6650"/>
        </w:trPr>
        <w:tc>
          <w:tcPr>
            <w:tcW w:w="4104" w:type="dxa"/>
          </w:tcPr>
          <w:p w14:paraId="446DF445" w14:textId="77777777" w:rsidR="00373F10" w:rsidRDefault="00EF4D37" w:rsidP="0034087B">
            <w:pPr>
              <w:pStyle w:val="VBAILTBody"/>
            </w:pPr>
            <w:r>
              <w:rPr>
                <w:noProof/>
              </w:rPr>
              <w:lastRenderedPageBreak/>
              <w:drawing>
                <wp:inline distT="0" distB="0" distL="0" distR="0" wp14:anchorId="3297EA6D" wp14:editId="09093184">
                  <wp:extent cx="2468880" cy="145415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68880" cy="1454150"/>
                          </a:xfrm>
                          <a:prstGeom prst="rect">
                            <a:avLst/>
                          </a:prstGeom>
                        </pic:spPr>
                      </pic:pic>
                    </a:graphicData>
                  </a:graphic>
                </wp:inline>
              </w:drawing>
            </w:r>
          </w:p>
          <w:p w14:paraId="25E81B9D" w14:textId="77777777" w:rsidR="00BF3D82" w:rsidRDefault="00BF3D82" w:rsidP="0034087B">
            <w:pPr>
              <w:pStyle w:val="VBAILTBody"/>
              <w:rPr>
                <w:noProof/>
              </w:rPr>
            </w:pPr>
            <w:r>
              <w:rPr>
                <w:noProof/>
              </w:rPr>
              <w:drawing>
                <wp:inline distT="0" distB="0" distL="0" distR="0" wp14:anchorId="149C25A8" wp14:editId="455D59F9">
                  <wp:extent cx="2468880" cy="144970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68880" cy="1449705"/>
                          </a:xfrm>
                          <a:prstGeom prst="rect">
                            <a:avLst/>
                          </a:prstGeom>
                        </pic:spPr>
                      </pic:pic>
                    </a:graphicData>
                  </a:graphic>
                </wp:inline>
              </w:drawing>
            </w:r>
          </w:p>
          <w:p w14:paraId="1DC3C4BC" w14:textId="77777777" w:rsidR="00FD2AEA" w:rsidRDefault="00FD2AEA" w:rsidP="00FD2AEA">
            <w:pPr>
              <w:rPr>
                <w:rFonts w:ascii="Verdana" w:hAnsi="Verdana"/>
                <w:noProof/>
              </w:rPr>
            </w:pPr>
          </w:p>
          <w:p w14:paraId="5722506C" w14:textId="547814D3" w:rsidR="00FD2AEA" w:rsidRPr="00FD2AEA" w:rsidRDefault="00FD2AEA" w:rsidP="00FD2AEA"/>
        </w:tc>
        <w:tc>
          <w:tcPr>
            <w:tcW w:w="5976" w:type="dxa"/>
          </w:tcPr>
          <w:p w14:paraId="5A74274F" w14:textId="445BF514" w:rsidR="00373F10" w:rsidRDefault="00DC020D" w:rsidP="0034087B">
            <w:pPr>
              <w:pStyle w:val="VBAILTBody"/>
            </w:pPr>
            <w:r>
              <w:rPr>
                <w:rStyle w:val="Strong"/>
              </w:rPr>
              <w:t>Segment</w:t>
            </w:r>
            <w:r w:rsidR="00373F10">
              <w:t xml:space="preserve"> </w:t>
            </w:r>
            <w:r>
              <w:rPr>
                <w:rStyle w:val="Strong"/>
              </w:rPr>
              <w:t>6.</w:t>
            </w:r>
          </w:p>
          <w:p w14:paraId="76DA1825" w14:textId="77777777" w:rsidR="00DC020D" w:rsidRPr="00DC020D" w:rsidRDefault="00DC020D" w:rsidP="00DC020D">
            <w:pPr>
              <w:rPr>
                <w:rFonts w:ascii="Verdana" w:eastAsiaTheme="minorEastAsia" w:hAnsi="Verdana" w:cs="Arial"/>
                <w:i/>
                <w:iCs/>
                <w:color w:val="000000" w:themeColor="text1"/>
                <w:sz w:val="20"/>
                <w:szCs w:val="20"/>
                <w:lang w:eastAsia="ja-JP"/>
              </w:rPr>
            </w:pPr>
            <w:r w:rsidRPr="00DC020D">
              <w:rPr>
                <w:rFonts w:ascii="Verdana" w:eastAsiaTheme="minorEastAsia" w:hAnsi="Verdana" w:cs="Arial"/>
                <w:b/>
                <w:bCs/>
                <w:sz w:val="20"/>
                <w:szCs w:val="20"/>
                <w:lang w:eastAsia="ja-JP"/>
              </w:rPr>
              <w:t>Field Reporter</w:t>
            </w:r>
            <w:r w:rsidRPr="00DC020D">
              <w:rPr>
                <w:rFonts w:ascii="Verdana" w:eastAsiaTheme="minorEastAsia" w:hAnsi="Verdana" w:cs="Arial"/>
                <w:color w:val="000000" w:themeColor="text1"/>
                <w:sz w:val="20"/>
                <w:szCs w:val="20"/>
                <w:lang w:eastAsia="ja-JP"/>
              </w:rPr>
              <w:t xml:space="preserve">: </w:t>
            </w:r>
            <w:r w:rsidRPr="00DC020D">
              <w:rPr>
                <w:rFonts w:ascii="Verdana" w:eastAsiaTheme="minorEastAsia" w:hAnsi="Verdana" w:cs="Arial"/>
                <w:i/>
                <w:iCs/>
                <w:color w:val="000000" w:themeColor="text1"/>
                <w:sz w:val="20"/>
                <w:szCs w:val="20"/>
                <w:lang w:eastAsia="ja-JP"/>
              </w:rPr>
              <w:t>(VA Field Reporter out interviewing a directly impacted veteran. Screen moves between interviewer and interviewee)</w:t>
            </w:r>
          </w:p>
          <w:p w14:paraId="27DD33FC" w14:textId="5C9EA2C6" w:rsidR="00DC020D" w:rsidRPr="00DC020D" w:rsidRDefault="00DC020D"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color w:val="002060"/>
                <w:sz w:val="20"/>
                <w:szCs w:val="20"/>
                <w:lang w:eastAsia="ja-JP"/>
              </w:rPr>
            </w:pPr>
            <w:r w:rsidRPr="00DC020D">
              <w:rPr>
                <w:rFonts w:ascii="Verdana" w:eastAsiaTheme="minorEastAsia" w:hAnsi="Verdana" w:cs="Arial"/>
                <w:b/>
                <w:bCs/>
                <w:color w:val="002060"/>
                <w:sz w:val="20"/>
                <w:szCs w:val="20"/>
                <w:lang w:eastAsia="ja-JP"/>
              </w:rPr>
              <w:t xml:space="preserve">Newscaster Gerald Williams: </w:t>
            </w:r>
            <w:r w:rsidRPr="00DC020D">
              <w:rPr>
                <w:rFonts w:ascii="Verdana" w:eastAsiaTheme="minorEastAsia" w:hAnsi="Verdana" w:cs="Arial"/>
                <w:color w:val="002060"/>
                <w:sz w:val="20"/>
                <w:szCs w:val="20"/>
                <w:lang w:eastAsia="ja-JP"/>
              </w:rPr>
              <w:t xml:space="preserve">Thank You and hello. I am here with </w:t>
            </w:r>
            <w:r w:rsidR="008B1B6D">
              <w:rPr>
                <w:rFonts w:ascii="Verdana" w:eastAsiaTheme="minorEastAsia" w:hAnsi="Verdana" w:cs="Arial"/>
                <w:color w:val="002060"/>
                <w:sz w:val="20"/>
                <w:szCs w:val="20"/>
                <w:lang w:eastAsia="ja-JP"/>
              </w:rPr>
              <w:t>Judy Benjamin</w:t>
            </w:r>
            <w:r w:rsidRPr="00DC020D">
              <w:rPr>
                <w:rFonts w:ascii="Verdana" w:eastAsiaTheme="minorEastAsia" w:hAnsi="Verdana" w:cs="Arial"/>
                <w:color w:val="002060"/>
                <w:sz w:val="20"/>
                <w:szCs w:val="20"/>
                <w:lang w:eastAsia="ja-JP"/>
              </w:rPr>
              <w:t xml:space="preserve">, a Veteran who is receiving education benefits for her enrollment at </w:t>
            </w:r>
            <w:proofErr w:type="gramStart"/>
            <w:r w:rsidRPr="00DC020D">
              <w:rPr>
                <w:rFonts w:ascii="Verdana" w:eastAsiaTheme="minorEastAsia" w:hAnsi="Verdana" w:cs="Arial"/>
                <w:color w:val="002060"/>
                <w:sz w:val="20"/>
                <w:szCs w:val="20"/>
                <w:lang w:eastAsia="ja-JP"/>
              </w:rPr>
              <w:t>Every Day</w:t>
            </w:r>
            <w:proofErr w:type="gramEnd"/>
            <w:r w:rsidRPr="00DC020D">
              <w:rPr>
                <w:rFonts w:ascii="Verdana" w:eastAsiaTheme="minorEastAsia" w:hAnsi="Verdana" w:cs="Arial"/>
                <w:color w:val="002060"/>
                <w:sz w:val="20"/>
                <w:szCs w:val="20"/>
                <w:lang w:eastAsia="ja-JP"/>
              </w:rPr>
              <w:t xml:space="preserve"> University. </w:t>
            </w:r>
            <w:r w:rsidR="008B1B6D">
              <w:rPr>
                <w:rFonts w:ascii="Verdana" w:eastAsiaTheme="minorEastAsia" w:hAnsi="Verdana" w:cs="Arial"/>
                <w:color w:val="002060"/>
                <w:sz w:val="20"/>
                <w:szCs w:val="20"/>
                <w:lang w:eastAsia="ja-JP"/>
              </w:rPr>
              <w:t>Judy</w:t>
            </w:r>
            <w:r w:rsidRPr="00DC020D">
              <w:rPr>
                <w:rFonts w:ascii="Verdana" w:eastAsiaTheme="minorEastAsia" w:hAnsi="Verdana" w:cs="Arial"/>
                <w:color w:val="002060"/>
                <w:sz w:val="20"/>
                <w:szCs w:val="20"/>
                <w:lang w:eastAsia="ja-JP"/>
              </w:rPr>
              <w:t xml:space="preserve">, can you tell us what this recently passed legislation means to you? </w:t>
            </w:r>
          </w:p>
          <w:p w14:paraId="6C201DCA" w14:textId="77777777" w:rsidR="00DC020D" w:rsidRDefault="00DC020D"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eastAsiaTheme="minorEastAsia" w:hAnsi="Arial" w:cs="Arial"/>
                <w:color w:val="002060"/>
                <w:sz w:val="32"/>
                <w:szCs w:val="32"/>
                <w:lang w:eastAsia="ja-JP"/>
              </w:rPr>
            </w:pPr>
          </w:p>
          <w:p w14:paraId="2723C705" w14:textId="3613F879" w:rsidR="00DC020D" w:rsidRPr="00DC020D" w:rsidRDefault="008B1B6D"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color w:val="002060"/>
                <w:sz w:val="20"/>
                <w:szCs w:val="20"/>
                <w:lang w:eastAsia="ja-JP"/>
              </w:rPr>
            </w:pPr>
            <w:r>
              <w:rPr>
                <w:rFonts w:ascii="Verdana" w:eastAsiaTheme="minorEastAsia" w:hAnsi="Verdana" w:cs="Arial"/>
                <w:b/>
                <w:bCs/>
                <w:color w:val="002060"/>
                <w:sz w:val="20"/>
                <w:szCs w:val="20"/>
                <w:lang w:eastAsia="ja-JP"/>
              </w:rPr>
              <w:t>Judy Benjamin</w:t>
            </w:r>
            <w:r w:rsidR="00DC020D" w:rsidRPr="00DC020D">
              <w:rPr>
                <w:rFonts w:ascii="Verdana" w:eastAsiaTheme="minorEastAsia" w:hAnsi="Verdana" w:cs="Arial"/>
                <w:b/>
                <w:bCs/>
                <w:color w:val="002060"/>
                <w:sz w:val="20"/>
                <w:szCs w:val="20"/>
                <w:lang w:eastAsia="ja-JP"/>
              </w:rPr>
              <w:t xml:space="preserve">: </w:t>
            </w:r>
            <w:r w:rsidR="00DC020D" w:rsidRPr="00DC020D">
              <w:rPr>
                <w:rFonts w:ascii="Verdana" w:eastAsiaTheme="minorEastAsia" w:hAnsi="Verdana" w:cs="Arial"/>
                <w:color w:val="002060"/>
                <w:sz w:val="20"/>
                <w:szCs w:val="20"/>
                <w:lang w:eastAsia="ja-JP"/>
              </w:rPr>
              <w:t xml:space="preserve">I’m just so glad to hear the REMOTE Act passed. Prior to the pandemic, I was enrolled full-time and depended on my housing benefits. As a result of the pandemic, I had to drop a class and switch to online learning. I was worried this would impact my housing. This law allows me to continue my education through virtual learning while also providing for my family and keeping them safe. </w:t>
            </w:r>
          </w:p>
          <w:p w14:paraId="2296CF61" w14:textId="77777777" w:rsidR="00DC020D" w:rsidRDefault="00DC020D"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eastAsiaTheme="minorEastAsia" w:hAnsi="Arial" w:cs="Arial"/>
                <w:color w:val="002060"/>
                <w:sz w:val="32"/>
                <w:szCs w:val="32"/>
                <w:lang w:eastAsia="ja-JP"/>
              </w:rPr>
            </w:pPr>
          </w:p>
          <w:p w14:paraId="0E9E776F" w14:textId="2E11CE07" w:rsidR="00DC020D" w:rsidRPr="00DC020D" w:rsidRDefault="00DC020D"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color w:val="002060"/>
                <w:sz w:val="20"/>
                <w:szCs w:val="20"/>
                <w:lang w:eastAsia="ja-JP"/>
              </w:rPr>
            </w:pPr>
            <w:r w:rsidRPr="00DC020D">
              <w:rPr>
                <w:rFonts w:ascii="Verdana" w:eastAsiaTheme="minorEastAsia" w:hAnsi="Verdana" w:cs="Arial"/>
                <w:b/>
                <w:bCs/>
                <w:color w:val="002060"/>
                <w:sz w:val="20"/>
                <w:szCs w:val="20"/>
                <w:lang w:eastAsia="ja-JP"/>
              </w:rPr>
              <w:t>Newscaster Gerald Williams</w:t>
            </w:r>
            <w:r w:rsidRPr="00DC020D">
              <w:rPr>
                <w:rFonts w:ascii="Verdana" w:eastAsiaTheme="minorEastAsia" w:hAnsi="Verdana" w:cs="Arial"/>
                <w:color w:val="002060"/>
                <w:sz w:val="20"/>
                <w:szCs w:val="20"/>
                <w:lang w:eastAsia="ja-JP"/>
              </w:rPr>
              <w:t xml:space="preserve">: Thank you Ms. </w:t>
            </w:r>
            <w:r w:rsidR="008B1B6D">
              <w:rPr>
                <w:rFonts w:ascii="Verdana" w:eastAsiaTheme="minorEastAsia" w:hAnsi="Verdana" w:cs="Arial"/>
                <w:color w:val="002060"/>
                <w:sz w:val="20"/>
                <w:szCs w:val="20"/>
                <w:lang w:eastAsia="ja-JP"/>
              </w:rPr>
              <w:t>Benjamin</w:t>
            </w:r>
            <w:r w:rsidRPr="00DC020D">
              <w:rPr>
                <w:rFonts w:ascii="Verdana" w:eastAsiaTheme="minorEastAsia" w:hAnsi="Verdana" w:cs="Arial"/>
                <w:color w:val="002060"/>
                <w:sz w:val="20"/>
                <w:szCs w:val="20"/>
                <w:lang w:eastAsia="ja-JP"/>
              </w:rPr>
              <w:t>, you heard it here first folks. We are directly impacting and helping protect those who have protected us. Back to you in the newsroom, Kristen!</w:t>
            </w:r>
          </w:p>
          <w:p w14:paraId="7DEEDB04" w14:textId="2E43B742" w:rsidR="00373F10" w:rsidRPr="009F361E" w:rsidRDefault="00373F10" w:rsidP="0034087B">
            <w:pPr>
              <w:pStyle w:val="VBAILTBody"/>
              <w:rPr>
                <w:rStyle w:val="Strong"/>
              </w:rPr>
            </w:pPr>
          </w:p>
        </w:tc>
      </w:tr>
      <w:tr w:rsidR="00373F10" w:rsidRPr="009F361E" w14:paraId="00F78CFD" w14:textId="77777777" w:rsidTr="2EE49849">
        <w:tblPrEx>
          <w:jc w:val="left"/>
          <w:tblCellMar>
            <w:left w:w="108" w:type="dxa"/>
            <w:right w:w="108" w:type="dxa"/>
          </w:tblCellMar>
          <w:tblLook w:val="04A0" w:firstRow="1" w:lastRow="0" w:firstColumn="1" w:lastColumn="0" w:noHBand="0" w:noVBand="1"/>
        </w:tblPrEx>
        <w:tc>
          <w:tcPr>
            <w:tcW w:w="4104" w:type="dxa"/>
          </w:tcPr>
          <w:p w14:paraId="3FBC019E" w14:textId="77777777" w:rsidR="00373F10" w:rsidRDefault="00BF3D82" w:rsidP="0034087B">
            <w:pPr>
              <w:pStyle w:val="VBAILTBody"/>
            </w:pPr>
            <w:r>
              <w:rPr>
                <w:noProof/>
              </w:rPr>
              <w:drawing>
                <wp:inline distT="0" distB="0" distL="0" distR="0" wp14:anchorId="52DF75E9" wp14:editId="61BB4C86">
                  <wp:extent cx="2468880" cy="1485265"/>
                  <wp:effectExtent l="0" t="0" r="762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68880" cy="1485265"/>
                          </a:xfrm>
                          <a:prstGeom prst="rect">
                            <a:avLst/>
                          </a:prstGeom>
                        </pic:spPr>
                      </pic:pic>
                    </a:graphicData>
                  </a:graphic>
                </wp:inline>
              </w:drawing>
            </w:r>
          </w:p>
          <w:p w14:paraId="7716878E" w14:textId="1599A56B" w:rsidR="00BF3D82" w:rsidRDefault="00BF3D82" w:rsidP="0034087B">
            <w:pPr>
              <w:pStyle w:val="VBAILTBody"/>
            </w:pPr>
            <w:r>
              <w:rPr>
                <w:noProof/>
              </w:rPr>
              <w:drawing>
                <wp:inline distT="0" distB="0" distL="0" distR="0" wp14:anchorId="426BB4FD" wp14:editId="390B33D0">
                  <wp:extent cx="2468880" cy="139763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68880" cy="1397635"/>
                          </a:xfrm>
                          <a:prstGeom prst="rect">
                            <a:avLst/>
                          </a:prstGeom>
                        </pic:spPr>
                      </pic:pic>
                    </a:graphicData>
                  </a:graphic>
                </wp:inline>
              </w:drawing>
            </w:r>
          </w:p>
        </w:tc>
        <w:tc>
          <w:tcPr>
            <w:tcW w:w="5976" w:type="dxa"/>
          </w:tcPr>
          <w:p w14:paraId="365B5C3B" w14:textId="360E1EC2" w:rsidR="00373F10" w:rsidRDefault="00DC020D" w:rsidP="0034087B">
            <w:pPr>
              <w:pStyle w:val="VBAILTBody"/>
            </w:pPr>
            <w:r>
              <w:rPr>
                <w:rStyle w:val="Strong"/>
              </w:rPr>
              <w:t>Segment 7.</w:t>
            </w:r>
          </w:p>
          <w:p w14:paraId="670FF869" w14:textId="77777777" w:rsidR="00DC020D" w:rsidRPr="00DC020D" w:rsidRDefault="00DC020D" w:rsidP="00DC020D">
            <w:pPr>
              <w:rPr>
                <w:rFonts w:ascii="Verdana" w:eastAsiaTheme="minorEastAsia" w:hAnsi="Verdana" w:cs="Arial"/>
                <w:color w:val="000000" w:themeColor="text1"/>
                <w:sz w:val="20"/>
                <w:szCs w:val="20"/>
                <w:lang w:eastAsia="ja-JP"/>
              </w:rPr>
            </w:pPr>
            <w:r w:rsidRPr="00DC020D">
              <w:rPr>
                <w:rFonts w:ascii="Verdana" w:eastAsiaTheme="minorEastAsia" w:hAnsi="Verdana" w:cs="Arial"/>
                <w:b/>
                <w:bCs/>
                <w:sz w:val="20"/>
                <w:szCs w:val="20"/>
                <w:lang w:eastAsia="ja-JP"/>
              </w:rPr>
              <w:t>Breaking News</w:t>
            </w:r>
            <w:r w:rsidRPr="00DC020D">
              <w:rPr>
                <w:rFonts w:ascii="Verdana" w:eastAsiaTheme="minorEastAsia" w:hAnsi="Verdana" w:cs="Arial"/>
                <w:color w:val="000000" w:themeColor="text1"/>
                <w:sz w:val="20"/>
                <w:szCs w:val="20"/>
                <w:lang w:eastAsia="ja-JP"/>
              </w:rPr>
              <w:t xml:space="preserve">: </w:t>
            </w:r>
            <w:r w:rsidRPr="00DC020D">
              <w:rPr>
                <w:rFonts w:ascii="Verdana" w:eastAsiaTheme="minorEastAsia" w:hAnsi="Verdana" w:cs="Arial"/>
                <w:i/>
                <w:iCs/>
                <w:color w:val="000000" w:themeColor="text1"/>
                <w:sz w:val="20"/>
                <w:szCs w:val="20"/>
                <w:lang w:eastAsia="ja-JP"/>
              </w:rPr>
              <w:t>(VA Reporter back to the newsroom and the Original Slide showing 117-68 and 117-76)</w:t>
            </w:r>
          </w:p>
          <w:p w14:paraId="6AB9C85B" w14:textId="77777777" w:rsidR="00DC020D" w:rsidRPr="00DC020D" w:rsidRDefault="00DC020D"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color w:val="002060"/>
                <w:sz w:val="20"/>
                <w:szCs w:val="20"/>
                <w:lang w:eastAsia="ja-JP"/>
              </w:rPr>
            </w:pPr>
            <w:r w:rsidRPr="00DC020D">
              <w:rPr>
                <w:rFonts w:ascii="Verdana" w:eastAsiaTheme="minorEastAsia" w:hAnsi="Verdana" w:cs="Arial"/>
                <w:color w:val="002060"/>
                <w:sz w:val="20"/>
                <w:szCs w:val="20"/>
                <w:lang w:eastAsia="ja-JP"/>
              </w:rPr>
              <w:t>Thank You Gerald, it’s great to hear how new laws are making a difference in the lives of deserving Veterans.</w:t>
            </w:r>
          </w:p>
          <w:p w14:paraId="744840B1" w14:textId="77777777" w:rsidR="00DC020D" w:rsidRPr="00DC020D" w:rsidRDefault="00DC020D"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color w:val="002060"/>
                <w:sz w:val="20"/>
                <w:szCs w:val="20"/>
                <w:lang w:eastAsia="ja-JP"/>
              </w:rPr>
            </w:pPr>
          </w:p>
          <w:p w14:paraId="12E6CD40" w14:textId="77777777" w:rsidR="00DC020D" w:rsidRPr="00DC020D" w:rsidRDefault="00DC020D"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Verdana" w:eastAsiaTheme="minorEastAsia" w:hAnsi="Verdana" w:cs="Arial"/>
                <w:color w:val="002060"/>
                <w:sz w:val="20"/>
                <w:szCs w:val="20"/>
                <w:lang w:eastAsia="ja-JP"/>
              </w:rPr>
            </w:pPr>
            <w:r w:rsidRPr="00DC020D">
              <w:rPr>
                <w:rFonts w:ascii="Verdana" w:eastAsiaTheme="minorEastAsia" w:hAnsi="Verdana" w:cs="Arial"/>
                <w:color w:val="002060"/>
                <w:sz w:val="20"/>
                <w:szCs w:val="20"/>
                <w:lang w:eastAsia="ja-JP"/>
              </w:rPr>
              <w:t xml:space="preserve">This has been your breaking news report from Education Service. Stay tuned for additional information on the Tuition Fairness and REMOTE Acts. I’m Kristen Murray. Now back to your regularly scheduled programming. </w:t>
            </w:r>
          </w:p>
          <w:p w14:paraId="3B5CC8F9" w14:textId="77777777" w:rsidR="00DC020D" w:rsidRDefault="00DC020D" w:rsidP="00DC020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eastAsiaTheme="minorEastAsia" w:hAnsi="Arial" w:cs="Arial"/>
                <w:color w:val="002060"/>
                <w:sz w:val="32"/>
                <w:szCs w:val="32"/>
                <w:lang w:eastAsia="ja-JP"/>
              </w:rPr>
            </w:pPr>
            <w:r>
              <w:rPr>
                <w:rFonts w:ascii="Arial" w:eastAsiaTheme="minorEastAsia" w:hAnsi="Arial" w:cs="Arial"/>
                <w:color w:val="002060"/>
                <w:sz w:val="32"/>
                <w:szCs w:val="32"/>
                <w:lang w:eastAsia="ja-JP"/>
              </w:rPr>
              <w:t xml:space="preserve"> </w:t>
            </w:r>
          </w:p>
          <w:p w14:paraId="6D08AD91" w14:textId="4813BA39" w:rsidR="00373F10" w:rsidRPr="009F361E" w:rsidRDefault="00373F10" w:rsidP="00A43DC1">
            <w:pPr>
              <w:pStyle w:val="VBAILTBody"/>
              <w:rPr>
                <w:rStyle w:val="Strong"/>
              </w:rPr>
            </w:pPr>
          </w:p>
        </w:tc>
      </w:tr>
    </w:tbl>
    <w:p w14:paraId="36BD968B" w14:textId="77777777" w:rsidR="00D600C0" w:rsidRPr="00C214A9" w:rsidRDefault="00D600C0" w:rsidP="00D600C0">
      <w:pPr>
        <w:pStyle w:val="VBAILTBody"/>
      </w:pPr>
    </w:p>
    <w:sectPr w:rsidR="00D600C0" w:rsidRPr="00C214A9" w:rsidSect="00C30F06">
      <w:headerReference w:type="default" r:id="rId26"/>
      <w:footerReference w:type="default" r:id="rId27"/>
      <w:headerReference w:type="firs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6FB13" w14:textId="77777777" w:rsidR="00643962" w:rsidRDefault="00643962" w:rsidP="00C214A9">
      <w:pPr>
        <w:spacing w:after="0" w:line="240" w:lineRule="auto"/>
      </w:pPr>
      <w:r>
        <w:separator/>
      </w:r>
    </w:p>
  </w:endnote>
  <w:endnote w:type="continuationSeparator" w:id="0">
    <w:p w14:paraId="37F2344C" w14:textId="77777777" w:rsidR="00643962" w:rsidRDefault="00643962" w:rsidP="00C214A9">
      <w:pPr>
        <w:spacing w:after="0" w:line="240" w:lineRule="auto"/>
      </w:pPr>
      <w:r>
        <w:continuationSeparator/>
      </w:r>
    </w:p>
  </w:endnote>
  <w:endnote w:type="continuationNotice" w:id="1">
    <w:p w14:paraId="14D112BB" w14:textId="77777777" w:rsidR="00643962" w:rsidRDefault="006439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679B8" w14:textId="4A5D57CB" w:rsidR="00C214A9" w:rsidRPr="00C214A9" w:rsidRDefault="00622460" w:rsidP="0024084E">
    <w:pPr>
      <w:pStyle w:val="VBAILTFooter"/>
    </w:pPr>
    <w:r>
      <w:t>[</w:t>
    </w:r>
    <w:proofErr w:type="gramStart"/>
    <w:r w:rsidR="003C6217">
      <w:t>February</w:t>
    </w:r>
    <w:r w:rsidR="00626C3C">
      <w:t>,</w:t>
    </w:r>
    <w:proofErr w:type="gramEnd"/>
    <w:r w:rsidR="00626C3C">
      <w:t xml:space="preserve"> </w:t>
    </w:r>
    <w:r w:rsidR="003C6217">
      <w:t>2022</w:t>
    </w:r>
    <w:r>
      <w:t>]</w:t>
    </w:r>
    <w:r w:rsidR="00C214A9" w:rsidRPr="00C214A9">
      <w:t xml:space="preserve"> </w:t>
    </w:r>
    <w:r w:rsidR="0024084E">
      <w:t>V</w:t>
    </w:r>
    <w:r w:rsidR="00C214A9" w:rsidRPr="00C214A9">
      <w:t>ersion</w:t>
    </w:r>
    <w:r>
      <w:t xml:space="preserve"> [</w:t>
    </w:r>
    <w:r w:rsidR="003C6217">
      <w:t>1</w:t>
    </w:r>
    <w:r>
      <w:t>.</w:t>
    </w:r>
    <w:r w:rsidR="003C6217">
      <w:t>0</w:t>
    </w:r>
    <w:r>
      <w:t>]</w:t>
    </w:r>
    <w:r w:rsidR="00C214A9">
      <w:tab/>
    </w:r>
    <w:r w:rsidR="00C214A9" w:rsidRPr="00C214A9">
      <w:fldChar w:fldCharType="begin"/>
    </w:r>
    <w:r w:rsidR="00C214A9" w:rsidRPr="00C214A9">
      <w:instrText xml:space="preserve"> PAGE   \* MERGEFORMAT </w:instrText>
    </w:r>
    <w:r w:rsidR="00C214A9" w:rsidRPr="00C214A9">
      <w:fldChar w:fldCharType="separate"/>
    </w:r>
    <w:r w:rsidR="007860F6" w:rsidRPr="007860F6">
      <w:rPr>
        <w:b/>
        <w:bCs/>
        <w:noProof/>
      </w:rPr>
      <w:t>2</w:t>
    </w:r>
    <w:r w:rsidR="00C214A9" w:rsidRPr="00C214A9">
      <w:rPr>
        <w:b/>
        <w:bCs/>
        <w:noProof/>
      </w:rPr>
      <w:fldChar w:fldCharType="end"/>
    </w:r>
    <w:r w:rsidR="00C214A9" w:rsidRPr="00C214A9">
      <w:rPr>
        <w:b/>
        <w:bCs/>
      </w:rPr>
      <w:t xml:space="preserve"> </w:t>
    </w:r>
    <w:r w:rsidR="00C214A9" w:rsidRPr="00C214A9">
      <w:t>|</w:t>
    </w:r>
    <w:r w:rsidR="00C214A9" w:rsidRPr="00C214A9">
      <w:rPr>
        <w:b/>
        <w:bCs/>
      </w:rPr>
      <w:t xml:space="preserve"> </w:t>
    </w:r>
    <w:r w:rsidR="00C214A9"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9B723" w14:textId="77777777" w:rsidR="00643962" w:rsidRDefault="00643962" w:rsidP="00C214A9">
      <w:pPr>
        <w:spacing w:after="0" w:line="240" w:lineRule="auto"/>
      </w:pPr>
      <w:r>
        <w:separator/>
      </w:r>
    </w:p>
  </w:footnote>
  <w:footnote w:type="continuationSeparator" w:id="0">
    <w:p w14:paraId="51EFEF13" w14:textId="77777777" w:rsidR="00643962" w:rsidRDefault="00643962" w:rsidP="00C214A9">
      <w:pPr>
        <w:spacing w:after="0" w:line="240" w:lineRule="auto"/>
      </w:pPr>
      <w:r>
        <w:continuationSeparator/>
      </w:r>
    </w:p>
  </w:footnote>
  <w:footnote w:type="continuationNotice" w:id="1">
    <w:p w14:paraId="0D66A3FA" w14:textId="77777777" w:rsidR="00643962" w:rsidRDefault="0064396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4D1D2" w14:textId="1BE39FEC" w:rsidR="00C214A9" w:rsidRPr="002D1DCE" w:rsidRDefault="003260DE" w:rsidP="002D1DCE">
    <w:pPr>
      <w:pStyle w:val="VBAILTHeader"/>
    </w:pPr>
    <w:r>
      <w:t>The Tuition Fairness and REMOTE Act</w:t>
    </w:r>
  </w:p>
  <w:p w14:paraId="04A22056" w14:textId="76F42D56" w:rsidR="002D1DCE" w:rsidRPr="002D1DCE" w:rsidRDefault="003260DE" w:rsidP="001262F7">
    <w:pPr>
      <w:pStyle w:val="VBAILTHeader"/>
      <w:pBdr>
        <w:bottom w:val="single" w:sz="4" w:space="1" w:color="auto"/>
      </w:pBdr>
    </w:pPr>
    <w:r>
      <w:t>Overview Training FY22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65B0F" w14:textId="77777777" w:rsidR="002D1DCE" w:rsidRDefault="00C8779F">
    <w:pPr>
      <w:pStyle w:val="Header"/>
    </w:pPr>
    <w:r>
      <w:rPr>
        <w:noProof/>
      </w:rPr>
      <w:drawing>
        <wp:anchor distT="0" distB="0" distL="114300" distR="114300" simplePos="0" relativeHeight="251658240" behindDoc="1" locked="0" layoutInCell="1" allowOverlap="1" wp14:anchorId="15A2A4D0" wp14:editId="1B9988D8">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F2511"/>
    <w:multiLevelType w:val="hybridMultilevel"/>
    <w:tmpl w:val="587C0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19F78BC"/>
    <w:multiLevelType w:val="hybridMultilevel"/>
    <w:tmpl w:val="085E501A"/>
    <w:lvl w:ilvl="0" w:tplc="501001B0">
      <w:start w:val="1"/>
      <w:numFmt w:val="bullet"/>
      <w:lvlText w:val="•"/>
      <w:lvlJc w:val="left"/>
      <w:pPr>
        <w:tabs>
          <w:tab w:val="num" w:pos="720"/>
        </w:tabs>
        <w:ind w:left="720" w:hanging="360"/>
      </w:pPr>
      <w:rPr>
        <w:rFonts w:ascii="Arial" w:hAnsi="Arial" w:hint="default"/>
      </w:rPr>
    </w:lvl>
    <w:lvl w:ilvl="1" w:tplc="19E0F276" w:tentative="1">
      <w:start w:val="1"/>
      <w:numFmt w:val="bullet"/>
      <w:lvlText w:val="•"/>
      <w:lvlJc w:val="left"/>
      <w:pPr>
        <w:tabs>
          <w:tab w:val="num" w:pos="1440"/>
        </w:tabs>
        <w:ind w:left="1440" w:hanging="360"/>
      </w:pPr>
      <w:rPr>
        <w:rFonts w:ascii="Arial" w:hAnsi="Arial" w:hint="default"/>
      </w:rPr>
    </w:lvl>
    <w:lvl w:ilvl="2" w:tplc="21180DC2" w:tentative="1">
      <w:start w:val="1"/>
      <w:numFmt w:val="bullet"/>
      <w:lvlText w:val="•"/>
      <w:lvlJc w:val="left"/>
      <w:pPr>
        <w:tabs>
          <w:tab w:val="num" w:pos="2160"/>
        </w:tabs>
        <w:ind w:left="2160" w:hanging="360"/>
      </w:pPr>
      <w:rPr>
        <w:rFonts w:ascii="Arial" w:hAnsi="Arial" w:hint="default"/>
      </w:rPr>
    </w:lvl>
    <w:lvl w:ilvl="3" w:tplc="209A24B2" w:tentative="1">
      <w:start w:val="1"/>
      <w:numFmt w:val="bullet"/>
      <w:lvlText w:val="•"/>
      <w:lvlJc w:val="left"/>
      <w:pPr>
        <w:tabs>
          <w:tab w:val="num" w:pos="2880"/>
        </w:tabs>
        <w:ind w:left="2880" w:hanging="360"/>
      </w:pPr>
      <w:rPr>
        <w:rFonts w:ascii="Arial" w:hAnsi="Arial" w:hint="default"/>
      </w:rPr>
    </w:lvl>
    <w:lvl w:ilvl="4" w:tplc="0944B74C" w:tentative="1">
      <w:start w:val="1"/>
      <w:numFmt w:val="bullet"/>
      <w:lvlText w:val="•"/>
      <w:lvlJc w:val="left"/>
      <w:pPr>
        <w:tabs>
          <w:tab w:val="num" w:pos="3600"/>
        </w:tabs>
        <w:ind w:left="3600" w:hanging="360"/>
      </w:pPr>
      <w:rPr>
        <w:rFonts w:ascii="Arial" w:hAnsi="Arial" w:hint="default"/>
      </w:rPr>
    </w:lvl>
    <w:lvl w:ilvl="5" w:tplc="53CC3C46" w:tentative="1">
      <w:start w:val="1"/>
      <w:numFmt w:val="bullet"/>
      <w:lvlText w:val="•"/>
      <w:lvlJc w:val="left"/>
      <w:pPr>
        <w:tabs>
          <w:tab w:val="num" w:pos="4320"/>
        </w:tabs>
        <w:ind w:left="4320" w:hanging="360"/>
      </w:pPr>
      <w:rPr>
        <w:rFonts w:ascii="Arial" w:hAnsi="Arial" w:hint="default"/>
      </w:rPr>
    </w:lvl>
    <w:lvl w:ilvl="6" w:tplc="C0203058" w:tentative="1">
      <w:start w:val="1"/>
      <w:numFmt w:val="bullet"/>
      <w:lvlText w:val="•"/>
      <w:lvlJc w:val="left"/>
      <w:pPr>
        <w:tabs>
          <w:tab w:val="num" w:pos="5040"/>
        </w:tabs>
        <w:ind w:left="5040" w:hanging="360"/>
      </w:pPr>
      <w:rPr>
        <w:rFonts w:ascii="Arial" w:hAnsi="Arial" w:hint="default"/>
      </w:rPr>
    </w:lvl>
    <w:lvl w:ilvl="7" w:tplc="0D524C3E" w:tentative="1">
      <w:start w:val="1"/>
      <w:numFmt w:val="bullet"/>
      <w:lvlText w:val="•"/>
      <w:lvlJc w:val="left"/>
      <w:pPr>
        <w:tabs>
          <w:tab w:val="num" w:pos="5760"/>
        </w:tabs>
        <w:ind w:left="5760" w:hanging="360"/>
      </w:pPr>
      <w:rPr>
        <w:rFonts w:ascii="Arial" w:hAnsi="Arial" w:hint="default"/>
      </w:rPr>
    </w:lvl>
    <w:lvl w:ilvl="8" w:tplc="5B0A0B3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7C659D3"/>
    <w:multiLevelType w:val="hybridMultilevel"/>
    <w:tmpl w:val="0D5853CA"/>
    <w:lvl w:ilvl="0" w:tplc="E3B4F388">
      <w:start w:val="1"/>
      <w:numFmt w:val="bullet"/>
      <w:lvlText w:val=""/>
      <w:lvlJc w:val="left"/>
      <w:pPr>
        <w:ind w:left="720" w:hanging="360"/>
      </w:pPr>
      <w:rPr>
        <w:rFonts w:ascii="Wingdings" w:hAnsi="Wingdings" w:hint="default"/>
        <w:color w:val="5B9BD5"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590644"/>
    <w:multiLevelType w:val="hybridMultilevel"/>
    <w:tmpl w:val="0D9A2874"/>
    <w:lvl w:ilvl="0" w:tplc="E848BFE2">
      <w:start w:val="1"/>
      <w:numFmt w:val="bullet"/>
      <w:lvlText w:val="•"/>
      <w:lvlJc w:val="left"/>
      <w:pPr>
        <w:tabs>
          <w:tab w:val="num" w:pos="720"/>
        </w:tabs>
        <w:ind w:left="720" w:hanging="360"/>
      </w:pPr>
      <w:rPr>
        <w:rFonts w:ascii="Arial" w:hAnsi="Arial" w:hint="default"/>
      </w:rPr>
    </w:lvl>
    <w:lvl w:ilvl="1" w:tplc="F892999C" w:tentative="1">
      <w:start w:val="1"/>
      <w:numFmt w:val="bullet"/>
      <w:lvlText w:val="•"/>
      <w:lvlJc w:val="left"/>
      <w:pPr>
        <w:tabs>
          <w:tab w:val="num" w:pos="1440"/>
        </w:tabs>
        <w:ind w:left="1440" w:hanging="360"/>
      </w:pPr>
      <w:rPr>
        <w:rFonts w:ascii="Arial" w:hAnsi="Arial" w:hint="default"/>
      </w:rPr>
    </w:lvl>
    <w:lvl w:ilvl="2" w:tplc="9BE057DE" w:tentative="1">
      <w:start w:val="1"/>
      <w:numFmt w:val="bullet"/>
      <w:lvlText w:val="•"/>
      <w:lvlJc w:val="left"/>
      <w:pPr>
        <w:tabs>
          <w:tab w:val="num" w:pos="2160"/>
        </w:tabs>
        <w:ind w:left="2160" w:hanging="360"/>
      </w:pPr>
      <w:rPr>
        <w:rFonts w:ascii="Arial" w:hAnsi="Arial" w:hint="default"/>
      </w:rPr>
    </w:lvl>
    <w:lvl w:ilvl="3" w:tplc="7C2ACECE" w:tentative="1">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8A57D11"/>
    <w:multiLevelType w:val="hybridMultilevel"/>
    <w:tmpl w:val="875EB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1A4240"/>
    <w:multiLevelType w:val="multilevel"/>
    <w:tmpl w:val="09B8402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7C25296"/>
    <w:multiLevelType w:val="hybridMultilevel"/>
    <w:tmpl w:val="F0A8E218"/>
    <w:lvl w:ilvl="0" w:tplc="372AC678">
      <w:start w:val="1"/>
      <w:numFmt w:val="bullet"/>
      <w:lvlText w:val="•"/>
      <w:lvlJc w:val="left"/>
      <w:pPr>
        <w:tabs>
          <w:tab w:val="num" w:pos="720"/>
        </w:tabs>
        <w:ind w:left="720" w:hanging="360"/>
      </w:pPr>
      <w:rPr>
        <w:rFonts w:ascii="Arial" w:hAnsi="Arial" w:hint="default"/>
      </w:rPr>
    </w:lvl>
    <w:lvl w:ilvl="1" w:tplc="65E21154" w:tentative="1">
      <w:start w:val="1"/>
      <w:numFmt w:val="bullet"/>
      <w:lvlText w:val="•"/>
      <w:lvlJc w:val="left"/>
      <w:pPr>
        <w:tabs>
          <w:tab w:val="num" w:pos="1440"/>
        </w:tabs>
        <w:ind w:left="1440" w:hanging="360"/>
      </w:pPr>
      <w:rPr>
        <w:rFonts w:ascii="Arial" w:hAnsi="Arial" w:hint="default"/>
      </w:rPr>
    </w:lvl>
    <w:lvl w:ilvl="2" w:tplc="413AA320" w:tentative="1">
      <w:start w:val="1"/>
      <w:numFmt w:val="bullet"/>
      <w:lvlText w:val="•"/>
      <w:lvlJc w:val="left"/>
      <w:pPr>
        <w:tabs>
          <w:tab w:val="num" w:pos="2160"/>
        </w:tabs>
        <w:ind w:left="2160" w:hanging="360"/>
      </w:pPr>
      <w:rPr>
        <w:rFonts w:ascii="Arial" w:hAnsi="Arial" w:hint="default"/>
      </w:rPr>
    </w:lvl>
    <w:lvl w:ilvl="3" w:tplc="B10C89F8" w:tentative="1">
      <w:start w:val="1"/>
      <w:numFmt w:val="bullet"/>
      <w:lvlText w:val="•"/>
      <w:lvlJc w:val="left"/>
      <w:pPr>
        <w:tabs>
          <w:tab w:val="num" w:pos="2880"/>
        </w:tabs>
        <w:ind w:left="2880" w:hanging="360"/>
      </w:pPr>
      <w:rPr>
        <w:rFonts w:ascii="Arial" w:hAnsi="Arial" w:hint="default"/>
      </w:rPr>
    </w:lvl>
    <w:lvl w:ilvl="4" w:tplc="7AF20218" w:tentative="1">
      <w:start w:val="1"/>
      <w:numFmt w:val="bullet"/>
      <w:lvlText w:val="•"/>
      <w:lvlJc w:val="left"/>
      <w:pPr>
        <w:tabs>
          <w:tab w:val="num" w:pos="3600"/>
        </w:tabs>
        <w:ind w:left="3600" w:hanging="360"/>
      </w:pPr>
      <w:rPr>
        <w:rFonts w:ascii="Arial" w:hAnsi="Arial" w:hint="default"/>
      </w:rPr>
    </w:lvl>
    <w:lvl w:ilvl="5" w:tplc="AEEC234C" w:tentative="1">
      <w:start w:val="1"/>
      <w:numFmt w:val="bullet"/>
      <w:lvlText w:val="•"/>
      <w:lvlJc w:val="left"/>
      <w:pPr>
        <w:tabs>
          <w:tab w:val="num" w:pos="4320"/>
        </w:tabs>
        <w:ind w:left="4320" w:hanging="360"/>
      </w:pPr>
      <w:rPr>
        <w:rFonts w:ascii="Arial" w:hAnsi="Arial" w:hint="default"/>
      </w:rPr>
    </w:lvl>
    <w:lvl w:ilvl="6" w:tplc="676E7ECE" w:tentative="1">
      <w:start w:val="1"/>
      <w:numFmt w:val="bullet"/>
      <w:lvlText w:val="•"/>
      <w:lvlJc w:val="left"/>
      <w:pPr>
        <w:tabs>
          <w:tab w:val="num" w:pos="5040"/>
        </w:tabs>
        <w:ind w:left="5040" w:hanging="360"/>
      </w:pPr>
      <w:rPr>
        <w:rFonts w:ascii="Arial" w:hAnsi="Arial" w:hint="default"/>
      </w:rPr>
    </w:lvl>
    <w:lvl w:ilvl="7" w:tplc="38801918" w:tentative="1">
      <w:start w:val="1"/>
      <w:numFmt w:val="bullet"/>
      <w:lvlText w:val="•"/>
      <w:lvlJc w:val="left"/>
      <w:pPr>
        <w:tabs>
          <w:tab w:val="num" w:pos="5760"/>
        </w:tabs>
        <w:ind w:left="5760" w:hanging="360"/>
      </w:pPr>
      <w:rPr>
        <w:rFonts w:ascii="Arial" w:hAnsi="Arial" w:hint="default"/>
      </w:rPr>
    </w:lvl>
    <w:lvl w:ilvl="8" w:tplc="1E4CAEC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FDA28C7"/>
    <w:multiLevelType w:val="hybridMultilevel"/>
    <w:tmpl w:val="85C8B8F4"/>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6"/>
  </w:num>
  <w:num w:numId="4">
    <w:abstractNumId w:val="7"/>
  </w:num>
  <w:num w:numId="5">
    <w:abstractNumId w:val="0"/>
  </w:num>
  <w:num w:numId="6">
    <w:abstractNumId w:val="5"/>
  </w:num>
  <w:num w:numId="7">
    <w:abstractNumId w:val="8"/>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683"/>
    <w:rsid w:val="0000091D"/>
    <w:rsid w:val="00012291"/>
    <w:rsid w:val="00014323"/>
    <w:rsid w:val="000239EF"/>
    <w:rsid w:val="00032E9F"/>
    <w:rsid w:val="00033A25"/>
    <w:rsid w:val="00041407"/>
    <w:rsid w:val="00042E91"/>
    <w:rsid w:val="000664F8"/>
    <w:rsid w:val="00072435"/>
    <w:rsid w:val="0007297B"/>
    <w:rsid w:val="00077BE7"/>
    <w:rsid w:val="000854F7"/>
    <w:rsid w:val="00085EB7"/>
    <w:rsid w:val="00090559"/>
    <w:rsid w:val="00095CF9"/>
    <w:rsid w:val="000C15E1"/>
    <w:rsid w:val="000C1C31"/>
    <w:rsid w:val="000C7677"/>
    <w:rsid w:val="000E40EA"/>
    <w:rsid w:val="000E4C7B"/>
    <w:rsid w:val="000E4DFA"/>
    <w:rsid w:val="0010772B"/>
    <w:rsid w:val="001218FF"/>
    <w:rsid w:val="001262F7"/>
    <w:rsid w:val="00130432"/>
    <w:rsid w:val="00141EDD"/>
    <w:rsid w:val="00143CCF"/>
    <w:rsid w:val="00152388"/>
    <w:rsid w:val="00155C1F"/>
    <w:rsid w:val="00170301"/>
    <w:rsid w:val="00177541"/>
    <w:rsid w:val="00182135"/>
    <w:rsid w:val="001977F7"/>
    <w:rsid w:val="001A10DB"/>
    <w:rsid w:val="001B70F2"/>
    <w:rsid w:val="001B7AD2"/>
    <w:rsid w:val="001C006F"/>
    <w:rsid w:val="001C0121"/>
    <w:rsid w:val="001C6EF8"/>
    <w:rsid w:val="001D2E6A"/>
    <w:rsid w:val="001D5A75"/>
    <w:rsid w:val="001E22D9"/>
    <w:rsid w:val="001F5A13"/>
    <w:rsid w:val="00201E66"/>
    <w:rsid w:val="002040F1"/>
    <w:rsid w:val="0020462B"/>
    <w:rsid w:val="0024084E"/>
    <w:rsid w:val="00244B8B"/>
    <w:rsid w:val="002456D3"/>
    <w:rsid w:val="00250FEF"/>
    <w:rsid w:val="00267BA2"/>
    <w:rsid w:val="00277185"/>
    <w:rsid w:val="00277655"/>
    <w:rsid w:val="00284D09"/>
    <w:rsid w:val="002904E5"/>
    <w:rsid w:val="00290903"/>
    <w:rsid w:val="00294B53"/>
    <w:rsid w:val="002B70B0"/>
    <w:rsid w:val="002C3FE7"/>
    <w:rsid w:val="002D0A38"/>
    <w:rsid w:val="002D1DCE"/>
    <w:rsid w:val="002D3152"/>
    <w:rsid w:val="002E3812"/>
    <w:rsid w:val="002E507B"/>
    <w:rsid w:val="002E7FD3"/>
    <w:rsid w:val="002F1434"/>
    <w:rsid w:val="00301B0C"/>
    <w:rsid w:val="00306C74"/>
    <w:rsid w:val="003260DE"/>
    <w:rsid w:val="003270C1"/>
    <w:rsid w:val="003272C8"/>
    <w:rsid w:val="0034087B"/>
    <w:rsid w:val="00347769"/>
    <w:rsid w:val="00360F79"/>
    <w:rsid w:val="00370F43"/>
    <w:rsid w:val="00372705"/>
    <w:rsid w:val="00373F10"/>
    <w:rsid w:val="00386FA4"/>
    <w:rsid w:val="003A10BF"/>
    <w:rsid w:val="003A651D"/>
    <w:rsid w:val="003B118F"/>
    <w:rsid w:val="003B3180"/>
    <w:rsid w:val="003B6567"/>
    <w:rsid w:val="003C0FF4"/>
    <w:rsid w:val="003C6217"/>
    <w:rsid w:val="003D0173"/>
    <w:rsid w:val="003E3D02"/>
    <w:rsid w:val="0041145A"/>
    <w:rsid w:val="00416682"/>
    <w:rsid w:val="00417AFA"/>
    <w:rsid w:val="00430CD6"/>
    <w:rsid w:val="004465CE"/>
    <w:rsid w:val="00453724"/>
    <w:rsid w:val="00460A29"/>
    <w:rsid w:val="004C1AE1"/>
    <w:rsid w:val="004C7C76"/>
    <w:rsid w:val="004D04CD"/>
    <w:rsid w:val="004D6E54"/>
    <w:rsid w:val="004D70F5"/>
    <w:rsid w:val="004E24C4"/>
    <w:rsid w:val="004E7DE3"/>
    <w:rsid w:val="004F5717"/>
    <w:rsid w:val="005150CC"/>
    <w:rsid w:val="005178EA"/>
    <w:rsid w:val="00526105"/>
    <w:rsid w:val="0052754E"/>
    <w:rsid w:val="0054339D"/>
    <w:rsid w:val="0057358F"/>
    <w:rsid w:val="005756D6"/>
    <w:rsid w:val="005858E4"/>
    <w:rsid w:val="005870E8"/>
    <w:rsid w:val="005A11EC"/>
    <w:rsid w:val="005A7562"/>
    <w:rsid w:val="005D0DCC"/>
    <w:rsid w:val="006055C5"/>
    <w:rsid w:val="00622460"/>
    <w:rsid w:val="00626C3C"/>
    <w:rsid w:val="0063043A"/>
    <w:rsid w:val="00636E5F"/>
    <w:rsid w:val="006422AC"/>
    <w:rsid w:val="00643962"/>
    <w:rsid w:val="00653F35"/>
    <w:rsid w:val="0065649F"/>
    <w:rsid w:val="00677A3A"/>
    <w:rsid w:val="00693028"/>
    <w:rsid w:val="00695292"/>
    <w:rsid w:val="006D61D1"/>
    <w:rsid w:val="006E54AE"/>
    <w:rsid w:val="006F3D30"/>
    <w:rsid w:val="00701694"/>
    <w:rsid w:val="0070365B"/>
    <w:rsid w:val="00711112"/>
    <w:rsid w:val="00714FE6"/>
    <w:rsid w:val="00720DD0"/>
    <w:rsid w:val="00726B0D"/>
    <w:rsid w:val="0074131B"/>
    <w:rsid w:val="0075475D"/>
    <w:rsid w:val="00762770"/>
    <w:rsid w:val="007642B9"/>
    <w:rsid w:val="00780A72"/>
    <w:rsid w:val="007860F6"/>
    <w:rsid w:val="00793FCB"/>
    <w:rsid w:val="007D55BE"/>
    <w:rsid w:val="007D5FCD"/>
    <w:rsid w:val="007F605A"/>
    <w:rsid w:val="00811527"/>
    <w:rsid w:val="00816250"/>
    <w:rsid w:val="00816DDF"/>
    <w:rsid w:val="00826390"/>
    <w:rsid w:val="008336FF"/>
    <w:rsid w:val="008417F1"/>
    <w:rsid w:val="00842B99"/>
    <w:rsid w:val="008715F0"/>
    <w:rsid w:val="00871C03"/>
    <w:rsid w:val="008725B3"/>
    <w:rsid w:val="008A57DD"/>
    <w:rsid w:val="008B1B6D"/>
    <w:rsid w:val="008B3176"/>
    <w:rsid w:val="008F089B"/>
    <w:rsid w:val="0091339C"/>
    <w:rsid w:val="009165A4"/>
    <w:rsid w:val="009302FE"/>
    <w:rsid w:val="00946AF4"/>
    <w:rsid w:val="00954748"/>
    <w:rsid w:val="009638D0"/>
    <w:rsid w:val="009643B9"/>
    <w:rsid w:val="00986823"/>
    <w:rsid w:val="009A608E"/>
    <w:rsid w:val="009B1123"/>
    <w:rsid w:val="009E239F"/>
    <w:rsid w:val="009E4526"/>
    <w:rsid w:val="009F361E"/>
    <w:rsid w:val="00A0283E"/>
    <w:rsid w:val="00A0358F"/>
    <w:rsid w:val="00A03870"/>
    <w:rsid w:val="00A176DE"/>
    <w:rsid w:val="00A409C6"/>
    <w:rsid w:val="00A43DC1"/>
    <w:rsid w:val="00A62B23"/>
    <w:rsid w:val="00A66DFB"/>
    <w:rsid w:val="00A6791B"/>
    <w:rsid w:val="00A76C42"/>
    <w:rsid w:val="00A83E9C"/>
    <w:rsid w:val="00A95744"/>
    <w:rsid w:val="00AC433D"/>
    <w:rsid w:val="00AC5DC9"/>
    <w:rsid w:val="00AC617A"/>
    <w:rsid w:val="00AD4855"/>
    <w:rsid w:val="00B25982"/>
    <w:rsid w:val="00B27D39"/>
    <w:rsid w:val="00B46591"/>
    <w:rsid w:val="00B94ED3"/>
    <w:rsid w:val="00BA780A"/>
    <w:rsid w:val="00BD0101"/>
    <w:rsid w:val="00BE27DA"/>
    <w:rsid w:val="00BF37BB"/>
    <w:rsid w:val="00BF3D82"/>
    <w:rsid w:val="00C00015"/>
    <w:rsid w:val="00C03C6C"/>
    <w:rsid w:val="00C05493"/>
    <w:rsid w:val="00C056CA"/>
    <w:rsid w:val="00C16E15"/>
    <w:rsid w:val="00C214A9"/>
    <w:rsid w:val="00C225B1"/>
    <w:rsid w:val="00C30D97"/>
    <w:rsid w:val="00C30F06"/>
    <w:rsid w:val="00C66521"/>
    <w:rsid w:val="00C72087"/>
    <w:rsid w:val="00C764DB"/>
    <w:rsid w:val="00C854A4"/>
    <w:rsid w:val="00C8779F"/>
    <w:rsid w:val="00C90127"/>
    <w:rsid w:val="00C929D1"/>
    <w:rsid w:val="00C94F91"/>
    <w:rsid w:val="00C9528D"/>
    <w:rsid w:val="00CB6185"/>
    <w:rsid w:val="00CC764B"/>
    <w:rsid w:val="00CD509B"/>
    <w:rsid w:val="00CF50B0"/>
    <w:rsid w:val="00D0645E"/>
    <w:rsid w:val="00D13501"/>
    <w:rsid w:val="00D22797"/>
    <w:rsid w:val="00D27C61"/>
    <w:rsid w:val="00D32BC3"/>
    <w:rsid w:val="00D40023"/>
    <w:rsid w:val="00D52DC1"/>
    <w:rsid w:val="00D577A1"/>
    <w:rsid w:val="00D600C0"/>
    <w:rsid w:val="00D77B6C"/>
    <w:rsid w:val="00D87084"/>
    <w:rsid w:val="00DC020D"/>
    <w:rsid w:val="00DC4D10"/>
    <w:rsid w:val="00DC724B"/>
    <w:rsid w:val="00DD17BE"/>
    <w:rsid w:val="00DD4A80"/>
    <w:rsid w:val="00E04B4E"/>
    <w:rsid w:val="00E2417F"/>
    <w:rsid w:val="00E26F87"/>
    <w:rsid w:val="00E43C51"/>
    <w:rsid w:val="00E44CBA"/>
    <w:rsid w:val="00E5663F"/>
    <w:rsid w:val="00E73091"/>
    <w:rsid w:val="00E854E3"/>
    <w:rsid w:val="00EA346A"/>
    <w:rsid w:val="00EA58EF"/>
    <w:rsid w:val="00EC11FB"/>
    <w:rsid w:val="00EC1CAB"/>
    <w:rsid w:val="00EC2D5A"/>
    <w:rsid w:val="00ED2DD5"/>
    <w:rsid w:val="00EE5DBA"/>
    <w:rsid w:val="00EF4D37"/>
    <w:rsid w:val="00EF50FF"/>
    <w:rsid w:val="00F05E8D"/>
    <w:rsid w:val="00F2730B"/>
    <w:rsid w:val="00F44668"/>
    <w:rsid w:val="00F44BC9"/>
    <w:rsid w:val="00F44FD3"/>
    <w:rsid w:val="00F7022F"/>
    <w:rsid w:val="00F71282"/>
    <w:rsid w:val="00F8012F"/>
    <w:rsid w:val="00F842D5"/>
    <w:rsid w:val="00F95683"/>
    <w:rsid w:val="00FB2E5D"/>
    <w:rsid w:val="00FB62D7"/>
    <w:rsid w:val="00FC1A63"/>
    <w:rsid w:val="00FC359C"/>
    <w:rsid w:val="00FD2AEA"/>
    <w:rsid w:val="00FD4364"/>
    <w:rsid w:val="00FE5508"/>
    <w:rsid w:val="03B277B0"/>
    <w:rsid w:val="0A492501"/>
    <w:rsid w:val="0BF34D8B"/>
    <w:rsid w:val="16154609"/>
    <w:rsid w:val="162F86DD"/>
    <w:rsid w:val="18AA500D"/>
    <w:rsid w:val="1F199191"/>
    <w:rsid w:val="215B120A"/>
    <w:rsid w:val="24F9EE04"/>
    <w:rsid w:val="2EE49849"/>
    <w:rsid w:val="3302467E"/>
    <w:rsid w:val="3BEDBAF3"/>
    <w:rsid w:val="3EF8AC5F"/>
    <w:rsid w:val="435B1C7A"/>
    <w:rsid w:val="4B6B13E8"/>
    <w:rsid w:val="575996BD"/>
    <w:rsid w:val="58D0DAB8"/>
    <w:rsid w:val="5D5ECCD3"/>
    <w:rsid w:val="5E63D59E"/>
    <w:rsid w:val="5FA639C6"/>
    <w:rsid w:val="5FDD9D05"/>
    <w:rsid w:val="63E37B96"/>
    <w:rsid w:val="643275D4"/>
    <w:rsid w:val="684E7FE3"/>
    <w:rsid w:val="69EA5044"/>
    <w:rsid w:val="72E32BD0"/>
    <w:rsid w:val="7F5B75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BE9FE9"/>
  <w15:docId w15:val="{818F90D1-E23B-40AD-9258-51BA36495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basedOn w:val="DefaultParagraphFont"/>
    <w:uiPriority w:val="99"/>
    <w:unhideWhenUsed/>
    <w:rsid w:val="0007297B"/>
    <w:rPr>
      <w:color w:val="0563C1" w:themeColor="hyperlink"/>
      <w:u w:val="single"/>
    </w:rPr>
  </w:style>
  <w:style w:type="character" w:styleId="UnresolvedMention">
    <w:name w:val="Unresolved Mention"/>
    <w:basedOn w:val="DefaultParagraphFont"/>
    <w:uiPriority w:val="99"/>
    <w:semiHidden/>
    <w:unhideWhenUsed/>
    <w:rsid w:val="0007297B"/>
    <w:rPr>
      <w:color w:val="605E5C"/>
      <w:shd w:val="clear" w:color="auto" w:fill="E1DFDD"/>
    </w:rPr>
  </w:style>
  <w:style w:type="paragraph" w:styleId="Revision">
    <w:name w:val="Revision"/>
    <w:hidden/>
    <w:uiPriority w:val="99"/>
    <w:semiHidden/>
    <w:rsid w:val="00DD4A80"/>
    <w:pPr>
      <w:spacing w:after="0" w:line="240" w:lineRule="auto"/>
    </w:pPr>
  </w:style>
  <w:style w:type="character" w:styleId="CommentReference">
    <w:name w:val="annotation reference"/>
    <w:basedOn w:val="DefaultParagraphFont"/>
    <w:uiPriority w:val="99"/>
    <w:semiHidden/>
    <w:unhideWhenUsed/>
    <w:rsid w:val="00C66521"/>
    <w:rPr>
      <w:sz w:val="16"/>
      <w:szCs w:val="16"/>
    </w:rPr>
  </w:style>
  <w:style w:type="paragraph" w:styleId="CommentText">
    <w:name w:val="annotation text"/>
    <w:basedOn w:val="Normal"/>
    <w:link w:val="CommentTextChar"/>
    <w:uiPriority w:val="99"/>
    <w:semiHidden/>
    <w:unhideWhenUsed/>
    <w:rsid w:val="00C66521"/>
    <w:pPr>
      <w:spacing w:line="240" w:lineRule="auto"/>
    </w:pPr>
    <w:rPr>
      <w:sz w:val="20"/>
      <w:szCs w:val="20"/>
    </w:rPr>
  </w:style>
  <w:style w:type="character" w:customStyle="1" w:styleId="CommentTextChar">
    <w:name w:val="Comment Text Char"/>
    <w:basedOn w:val="DefaultParagraphFont"/>
    <w:link w:val="CommentText"/>
    <w:uiPriority w:val="99"/>
    <w:semiHidden/>
    <w:rsid w:val="00C66521"/>
    <w:rPr>
      <w:sz w:val="20"/>
      <w:szCs w:val="20"/>
    </w:rPr>
  </w:style>
  <w:style w:type="paragraph" w:styleId="CommentSubject">
    <w:name w:val="annotation subject"/>
    <w:basedOn w:val="CommentText"/>
    <w:next w:val="CommentText"/>
    <w:link w:val="CommentSubjectChar"/>
    <w:uiPriority w:val="99"/>
    <w:semiHidden/>
    <w:unhideWhenUsed/>
    <w:rsid w:val="00C66521"/>
    <w:rPr>
      <w:b/>
      <w:bCs/>
    </w:rPr>
  </w:style>
  <w:style w:type="character" w:customStyle="1" w:styleId="CommentSubjectChar">
    <w:name w:val="Comment Subject Char"/>
    <w:basedOn w:val="CommentTextChar"/>
    <w:link w:val="CommentSubject"/>
    <w:uiPriority w:val="99"/>
    <w:semiHidden/>
    <w:rsid w:val="00C66521"/>
    <w:rPr>
      <w:b/>
      <w:bCs/>
      <w:sz w:val="20"/>
      <w:szCs w:val="20"/>
    </w:rPr>
  </w:style>
  <w:style w:type="character" w:customStyle="1" w:styleId="normaltextrun">
    <w:name w:val="normaltextrun"/>
    <w:basedOn w:val="DefaultParagraphFont"/>
    <w:rsid w:val="003260DE"/>
  </w:style>
  <w:style w:type="paragraph" w:customStyle="1" w:styleId="TableParagraph">
    <w:name w:val="Table Paragraph"/>
    <w:basedOn w:val="Normal"/>
    <w:uiPriority w:val="1"/>
    <w:qFormat/>
    <w:rsid w:val="003260DE"/>
    <w:pPr>
      <w:widowControl w:val="0"/>
      <w:autoSpaceDE w:val="0"/>
      <w:autoSpaceDN w:val="0"/>
      <w:adjustRightInd w:val="0"/>
      <w:spacing w:after="0"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381">
      <w:bodyDiv w:val="1"/>
      <w:marLeft w:val="0"/>
      <w:marRight w:val="0"/>
      <w:marTop w:val="0"/>
      <w:marBottom w:val="0"/>
      <w:divBdr>
        <w:top w:val="none" w:sz="0" w:space="0" w:color="auto"/>
        <w:left w:val="none" w:sz="0" w:space="0" w:color="auto"/>
        <w:bottom w:val="none" w:sz="0" w:space="0" w:color="auto"/>
        <w:right w:val="none" w:sz="0" w:space="0" w:color="auto"/>
      </w:divBdr>
    </w:div>
    <w:div w:id="69427681">
      <w:bodyDiv w:val="1"/>
      <w:marLeft w:val="0"/>
      <w:marRight w:val="0"/>
      <w:marTop w:val="0"/>
      <w:marBottom w:val="0"/>
      <w:divBdr>
        <w:top w:val="none" w:sz="0" w:space="0" w:color="auto"/>
        <w:left w:val="none" w:sz="0" w:space="0" w:color="auto"/>
        <w:bottom w:val="none" w:sz="0" w:space="0" w:color="auto"/>
        <w:right w:val="none" w:sz="0" w:space="0" w:color="auto"/>
      </w:divBdr>
    </w:div>
    <w:div w:id="195429574">
      <w:bodyDiv w:val="1"/>
      <w:marLeft w:val="0"/>
      <w:marRight w:val="0"/>
      <w:marTop w:val="0"/>
      <w:marBottom w:val="0"/>
      <w:divBdr>
        <w:top w:val="none" w:sz="0" w:space="0" w:color="auto"/>
        <w:left w:val="none" w:sz="0" w:space="0" w:color="auto"/>
        <w:bottom w:val="none" w:sz="0" w:space="0" w:color="auto"/>
        <w:right w:val="none" w:sz="0" w:space="0" w:color="auto"/>
      </w:divBdr>
      <w:divsChild>
        <w:div w:id="521288878">
          <w:marLeft w:val="547"/>
          <w:marRight w:val="0"/>
          <w:marTop w:val="0"/>
          <w:marBottom w:val="0"/>
          <w:divBdr>
            <w:top w:val="none" w:sz="0" w:space="0" w:color="auto"/>
            <w:left w:val="none" w:sz="0" w:space="0" w:color="auto"/>
            <w:bottom w:val="none" w:sz="0" w:space="0" w:color="auto"/>
            <w:right w:val="none" w:sz="0" w:space="0" w:color="auto"/>
          </w:divBdr>
        </w:div>
        <w:div w:id="1164904675">
          <w:marLeft w:val="547"/>
          <w:marRight w:val="0"/>
          <w:marTop w:val="0"/>
          <w:marBottom w:val="0"/>
          <w:divBdr>
            <w:top w:val="none" w:sz="0" w:space="0" w:color="auto"/>
            <w:left w:val="none" w:sz="0" w:space="0" w:color="auto"/>
            <w:bottom w:val="none" w:sz="0" w:space="0" w:color="auto"/>
            <w:right w:val="none" w:sz="0" w:space="0" w:color="auto"/>
          </w:divBdr>
        </w:div>
      </w:divsChild>
    </w:div>
    <w:div w:id="242378262">
      <w:bodyDiv w:val="1"/>
      <w:marLeft w:val="0"/>
      <w:marRight w:val="0"/>
      <w:marTop w:val="0"/>
      <w:marBottom w:val="0"/>
      <w:divBdr>
        <w:top w:val="none" w:sz="0" w:space="0" w:color="auto"/>
        <w:left w:val="none" w:sz="0" w:space="0" w:color="auto"/>
        <w:bottom w:val="none" w:sz="0" w:space="0" w:color="auto"/>
        <w:right w:val="none" w:sz="0" w:space="0" w:color="auto"/>
      </w:divBdr>
    </w:div>
    <w:div w:id="281036106">
      <w:bodyDiv w:val="1"/>
      <w:marLeft w:val="0"/>
      <w:marRight w:val="0"/>
      <w:marTop w:val="0"/>
      <w:marBottom w:val="0"/>
      <w:divBdr>
        <w:top w:val="none" w:sz="0" w:space="0" w:color="auto"/>
        <w:left w:val="none" w:sz="0" w:space="0" w:color="auto"/>
        <w:bottom w:val="none" w:sz="0" w:space="0" w:color="auto"/>
        <w:right w:val="none" w:sz="0" w:space="0" w:color="auto"/>
      </w:divBdr>
    </w:div>
    <w:div w:id="405031951">
      <w:bodyDiv w:val="1"/>
      <w:marLeft w:val="0"/>
      <w:marRight w:val="0"/>
      <w:marTop w:val="0"/>
      <w:marBottom w:val="0"/>
      <w:divBdr>
        <w:top w:val="none" w:sz="0" w:space="0" w:color="auto"/>
        <w:left w:val="none" w:sz="0" w:space="0" w:color="auto"/>
        <w:bottom w:val="none" w:sz="0" w:space="0" w:color="auto"/>
        <w:right w:val="none" w:sz="0" w:space="0" w:color="auto"/>
      </w:divBdr>
    </w:div>
    <w:div w:id="553078176">
      <w:bodyDiv w:val="1"/>
      <w:marLeft w:val="0"/>
      <w:marRight w:val="0"/>
      <w:marTop w:val="0"/>
      <w:marBottom w:val="0"/>
      <w:divBdr>
        <w:top w:val="none" w:sz="0" w:space="0" w:color="auto"/>
        <w:left w:val="none" w:sz="0" w:space="0" w:color="auto"/>
        <w:bottom w:val="none" w:sz="0" w:space="0" w:color="auto"/>
        <w:right w:val="none" w:sz="0" w:space="0" w:color="auto"/>
      </w:divBdr>
    </w:div>
    <w:div w:id="606079808">
      <w:bodyDiv w:val="1"/>
      <w:marLeft w:val="0"/>
      <w:marRight w:val="0"/>
      <w:marTop w:val="0"/>
      <w:marBottom w:val="0"/>
      <w:divBdr>
        <w:top w:val="none" w:sz="0" w:space="0" w:color="auto"/>
        <w:left w:val="none" w:sz="0" w:space="0" w:color="auto"/>
        <w:bottom w:val="none" w:sz="0" w:space="0" w:color="auto"/>
        <w:right w:val="none" w:sz="0" w:space="0" w:color="auto"/>
      </w:divBdr>
    </w:div>
    <w:div w:id="1169709950">
      <w:bodyDiv w:val="1"/>
      <w:marLeft w:val="0"/>
      <w:marRight w:val="0"/>
      <w:marTop w:val="0"/>
      <w:marBottom w:val="0"/>
      <w:divBdr>
        <w:top w:val="none" w:sz="0" w:space="0" w:color="auto"/>
        <w:left w:val="none" w:sz="0" w:space="0" w:color="auto"/>
        <w:bottom w:val="none" w:sz="0" w:space="0" w:color="auto"/>
        <w:right w:val="none" w:sz="0" w:space="0" w:color="auto"/>
      </w:divBdr>
    </w:div>
    <w:div w:id="1316568510">
      <w:bodyDiv w:val="1"/>
      <w:marLeft w:val="0"/>
      <w:marRight w:val="0"/>
      <w:marTop w:val="0"/>
      <w:marBottom w:val="0"/>
      <w:divBdr>
        <w:top w:val="none" w:sz="0" w:space="0" w:color="auto"/>
        <w:left w:val="none" w:sz="0" w:space="0" w:color="auto"/>
        <w:bottom w:val="none" w:sz="0" w:space="0" w:color="auto"/>
        <w:right w:val="none" w:sz="0" w:space="0" w:color="auto"/>
      </w:divBdr>
    </w:div>
    <w:div w:id="1461456518">
      <w:bodyDiv w:val="1"/>
      <w:marLeft w:val="0"/>
      <w:marRight w:val="0"/>
      <w:marTop w:val="0"/>
      <w:marBottom w:val="0"/>
      <w:divBdr>
        <w:top w:val="none" w:sz="0" w:space="0" w:color="auto"/>
        <w:left w:val="none" w:sz="0" w:space="0" w:color="auto"/>
        <w:bottom w:val="none" w:sz="0" w:space="0" w:color="auto"/>
        <w:right w:val="none" w:sz="0" w:space="0" w:color="auto"/>
      </w:divBdr>
    </w:div>
    <w:div w:id="1490898722">
      <w:bodyDiv w:val="1"/>
      <w:marLeft w:val="0"/>
      <w:marRight w:val="0"/>
      <w:marTop w:val="0"/>
      <w:marBottom w:val="0"/>
      <w:divBdr>
        <w:top w:val="none" w:sz="0" w:space="0" w:color="auto"/>
        <w:left w:val="none" w:sz="0" w:space="0" w:color="auto"/>
        <w:bottom w:val="none" w:sz="0" w:space="0" w:color="auto"/>
        <w:right w:val="none" w:sz="0" w:space="0" w:color="auto"/>
      </w:divBdr>
    </w:div>
    <w:div w:id="1741169548">
      <w:bodyDiv w:val="1"/>
      <w:marLeft w:val="0"/>
      <w:marRight w:val="0"/>
      <w:marTop w:val="0"/>
      <w:marBottom w:val="0"/>
      <w:divBdr>
        <w:top w:val="none" w:sz="0" w:space="0" w:color="auto"/>
        <w:left w:val="none" w:sz="0" w:space="0" w:color="auto"/>
        <w:bottom w:val="none" w:sz="0" w:space="0" w:color="auto"/>
        <w:right w:val="none" w:sz="0" w:space="0" w:color="auto"/>
      </w:divBdr>
    </w:div>
    <w:div w:id="1978878027">
      <w:bodyDiv w:val="1"/>
      <w:marLeft w:val="0"/>
      <w:marRight w:val="0"/>
      <w:marTop w:val="0"/>
      <w:marBottom w:val="0"/>
      <w:divBdr>
        <w:top w:val="none" w:sz="0" w:space="0" w:color="auto"/>
        <w:left w:val="none" w:sz="0" w:space="0" w:color="auto"/>
        <w:bottom w:val="none" w:sz="0" w:space="0" w:color="auto"/>
        <w:right w:val="none" w:sz="0" w:space="0" w:color="auto"/>
      </w:divBdr>
    </w:div>
    <w:div w:id="2045521980">
      <w:bodyDiv w:val="1"/>
      <w:marLeft w:val="0"/>
      <w:marRight w:val="0"/>
      <w:marTop w:val="0"/>
      <w:marBottom w:val="0"/>
      <w:divBdr>
        <w:top w:val="none" w:sz="0" w:space="0" w:color="auto"/>
        <w:left w:val="none" w:sz="0" w:space="0" w:color="auto"/>
        <w:bottom w:val="none" w:sz="0" w:space="0" w:color="auto"/>
        <w:right w:val="none" w:sz="0" w:space="0" w:color="auto"/>
      </w:divBdr>
      <w:divsChild>
        <w:div w:id="540360880">
          <w:marLeft w:val="547"/>
          <w:marRight w:val="0"/>
          <w:marTop w:val="58"/>
          <w:marBottom w:val="0"/>
          <w:divBdr>
            <w:top w:val="none" w:sz="0" w:space="0" w:color="auto"/>
            <w:left w:val="none" w:sz="0" w:space="0" w:color="auto"/>
            <w:bottom w:val="none" w:sz="0" w:space="0" w:color="auto"/>
            <w:right w:val="none" w:sz="0" w:space="0" w:color="auto"/>
          </w:divBdr>
        </w:div>
        <w:div w:id="647326628">
          <w:marLeft w:val="547"/>
          <w:marRight w:val="0"/>
          <w:marTop w:val="58"/>
          <w:marBottom w:val="0"/>
          <w:divBdr>
            <w:top w:val="none" w:sz="0" w:space="0" w:color="auto"/>
            <w:left w:val="none" w:sz="0" w:space="0" w:color="auto"/>
            <w:bottom w:val="none" w:sz="0" w:space="0" w:color="auto"/>
            <w:right w:val="none" w:sz="0" w:space="0" w:color="auto"/>
          </w:divBdr>
        </w:div>
        <w:div w:id="1071469800">
          <w:marLeft w:val="547"/>
          <w:marRight w:val="0"/>
          <w:marTop w:val="58"/>
          <w:marBottom w:val="0"/>
          <w:divBdr>
            <w:top w:val="none" w:sz="0" w:space="0" w:color="auto"/>
            <w:left w:val="none" w:sz="0" w:space="0" w:color="auto"/>
            <w:bottom w:val="none" w:sz="0" w:space="0" w:color="auto"/>
            <w:right w:val="none" w:sz="0" w:space="0" w:color="auto"/>
          </w:divBdr>
        </w:div>
        <w:div w:id="1763650128">
          <w:marLeft w:val="547"/>
          <w:marRight w:val="0"/>
          <w:marTop w:val="58"/>
          <w:marBottom w:val="0"/>
          <w:divBdr>
            <w:top w:val="none" w:sz="0" w:space="0" w:color="auto"/>
            <w:left w:val="none" w:sz="0" w:space="0" w:color="auto"/>
            <w:bottom w:val="none" w:sz="0" w:space="0" w:color="auto"/>
            <w:right w:val="none" w:sz="0" w:space="0" w:color="auto"/>
          </w:divBdr>
        </w:div>
        <w:div w:id="2054033866">
          <w:marLeft w:val="547"/>
          <w:marRight w:val="0"/>
          <w:marTop w:val="58"/>
          <w:marBottom w:val="0"/>
          <w:divBdr>
            <w:top w:val="none" w:sz="0" w:space="0" w:color="auto"/>
            <w:left w:val="none" w:sz="0" w:space="0" w:color="auto"/>
            <w:bottom w:val="none" w:sz="0" w:space="0" w:color="auto"/>
            <w:right w:val="none" w:sz="0" w:space="0" w:color="auto"/>
          </w:divBdr>
        </w:div>
      </w:divsChild>
    </w:div>
    <w:div w:id="213794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AMUS~1\AppData\Local\Temp\1\MicrosoftEdgeDownloads\923bc9df-5dde-4717-92cd-bf8e72f1484e\EDU_Standard_Training_Template_Lesson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8283D4180B91A47B8302F4745FF9F83" ma:contentTypeVersion="12" ma:contentTypeDescription="Create a new document." ma:contentTypeScope="" ma:versionID="ceba590fdff8ffe16a0ca095c0b3114b">
  <xsd:schema xmlns:xsd="http://www.w3.org/2001/XMLSchema" xmlns:xs="http://www.w3.org/2001/XMLSchema" xmlns:p="http://schemas.microsoft.com/office/2006/metadata/properties" xmlns:ns1="http://schemas.microsoft.com/sharepoint/v3" xmlns:ns2="9f445374-280b-4368-9b85-8e370d0fc8ee" xmlns:ns3="da60a484-81eb-45c4-945f-dc2bcc545a39" targetNamespace="http://schemas.microsoft.com/office/2006/metadata/properties" ma:root="true" ma:fieldsID="acef30175e595c22519ef8e81d202e05" ns1:_="" ns2:_="" ns3:_="">
    <xsd:import namespace="http://schemas.microsoft.com/sharepoint/v3"/>
    <xsd:import namespace="9f445374-280b-4368-9b85-8e370d0fc8ee"/>
    <xsd:import namespace="da60a484-81eb-45c4-945f-dc2bcc545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445374-280b-4368-9b85-8e370d0fc8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60a484-81eb-45c4-945f-dc2bcc545a3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F697A7C-0A00-4F53-BF23-3246E4FEE80C}">
  <ds:schemaRefs>
    <ds:schemaRef ds:uri="http://schemas.openxmlformats.org/officeDocument/2006/bibliography"/>
  </ds:schemaRefs>
</ds:datastoreItem>
</file>

<file path=customXml/itemProps2.xml><?xml version="1.0" encoding="utf-8"?>
<ds:datastoreItem xmlns:ds="http://schemas.openxmlformats.org/officeDocument/2006/customXml" ds:itemID="{E5F43F72-4ECC-42A4-AC37-2ACD61804F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445374-280b-4368-9b85-8e370d0fc8ee"/>
    <ds:schemaRef ds:uri="da60a484-81eb-45c4-945f-dc2bcc545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4.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EDU_Standard_Training_Template_LessonPlan.dotx</Template>
  <TotalTime>3</TotalTime>
  <Pages>7</Pages>
  <Words>991</Words>
  <Characters>5653</Characters>
  <Application>Microsoft Office Word</Application>
  <DocSecurity>0</DocSecurity>
  <Lines>47</Lines>
  <Paragraphs>13</Paragraphs>
  <ScaleCrop>false</ScaleCrop>
  <Company>VBA</Company>
  <LinksUpToDate>false</LinksUpToDate>
  <CharactersWithSpaces>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 Service Standard Lesson Plan Template</dc:title>
  <dc:subject/>
  <dc:creator>Phalen, Angela K., VBAMUSK</dc:creator>
  <cp:keywords/>
  <cp:lastModifiedBy>Murray, Kristen, VBASTL</cp:lastModifiedBy>
  <cp:revision>2</cp:revision>
  <dcterms:created xsi:type="dcterms:W3CDTF">2022-04-04T17:28:00Z</dcterms:created>
  <dcterms:modified xsi:type="dcterms:W3CDTF">2022-04-04T17:28:00Z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0x01010078283D4180B91A47B8302F4745FF9F83</vt:lpwstr>
  </property>
  <property fmtid="{D5CDD505-2E9C-101B-9397-08002B2CF9AE}" pid="3" name="Language">
    <vt:lpwstr>English (U.S.)</vt:lpwstr>
  </property>
  <property fmtid="{D5CDD505-2E9C-101B-9397-08002B2CF9AE}" pid="4" name="_dlc_DocIdItemGuid">
    <vt:lpwstr>a30c641a-945e-4121-b5d1-4b0c00a1d76a</vt:lpwstr>
  </property>
</Properties>
</file>