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495F3" w14:textId="77777777" w:rsidR="00C8779F" w:rsidRDefault="00954748" w:rsidP="003E3D02">
      <w:pPr>
        <w:pStyle w:val="VBAILTCoverService"/>
      </w:pPr>
      <w:r>
        <w:t xml:space="preserve">Education </w:t>
      </w:r>
      <w:r w:rsidR="00C8779F">
        <w:t>Service</w:t>
      </w:r>
    </w:p>
    <w:p w14:paraId="40F3CA59" w14:textId="0A871989" w:rsidR="009E35B1" w:rsidRDefault="009E35B1" w:rsidP="009E35B1">
      <w:pPr>
        <w:pStyle w:val="VBAILTCoverLessonTitle"/>
      </w:pPr>
      <w:r>
        <w:t xml:space="preserve">Public Law (PL) 116-315, Section 1008 </w:t>
      </w:r>
    </w:p>
    <w:p w14:paraId="372BFC66" w14:textId="18882296" w:rsidR="00C30F06" w:rsidRPr="00C214A9" w:rsidRDefault="00954748" w:rsidP="00C8779F">
      <w:pPr>
        <w:pStyle w:val="VBAILTCoverdoctypecourse"/>
      </w:pPr>
      <w:r>
        <w:t>Lesson Plan</w:t>
      </w:r>
    </w:p>
    <w:p w14:paraId="2D7EA30E" w14:textId="04E20C8C" w:rsidR="001D2E6A" w:rsidRDefault="009E35B1" w:rsidP="00C8779F">
      <w:pPr>
        <w:pStyle w:val="VBAILTCoverMisc"/>
      </w:pPr>
      <w:r>
        <w:lastRenderedPageBreak/>
        <w:t>June 2021</w:t>
      </w:r>
      <w:r w:rsidR="00C30F06">
        <w:t xml:space="preserve"> </w:t>
      </w:r>
    </w:p>
    <w:p w14:paraId="6E422D4B" w14:textId="2165251D" w:rsidR="00C30F06" w:rsidRDefault="00C30F06" w:rsidP="00C8779F">
      <w:pPr>
        <w:pStyle w:val="VBAILTCoverMisc"/>
        <w:rPr>
          <w:sz w:val="72"/>
          <w:szCs w:val="72"/>
        </w:rPr>
      </w:pPr>
      <w:r>
        <w:t xml:space="preserve">Version </w:t>
      </w:r>
      <w:r w:rsidR="009E35B1">
        <w:t>1.0</w:t>
      </w:r>
    </w:p>
    <w:p w14:paraId="7BD094F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7E6098D" w14:textId="77777777" w:rsidTr="00826390">
        <w:trPr>
          <w:cantSplit/>
          <w:tblHeader/>
        </w:trPr>
        <w:tc>
          <w:tcPr>
            <w:tcW w:w="1908" w:type="dxa"/>
            <w:shd w:val="clear" w:color="auto" w:fill="BDD6EE" w:themeFill="accent1" w:themeFillTint="66"/>
          </w:tcPr>
          <w:p w14:paraId="0BEF0E1D" w14:textId="77777777" w:rsidR="003B118F" w:rsidRDefault="003B118F" w:rsidP="003B118F">
            <w:pPr>
              <w:pStyle w:val="VBAILTTableHeading1"/>
            </w:pPr>
            <w:r>
              <w:t>Topic</w:t>
            </w:r>
          </w:p>
        </w:tc>
        <w:tc>
          <w:tcPr>
            <w:tcW w:w="7452" w:type="dxa"/>
            <w:shd w:val="clear" w:color="auto" w:fill="BDD6EE" w:themeFill="accent1" w:themeFillTint="66"/>
          </w:tcPr>
          <w:p w14:paraId="6CFD2E4C" w14:textId="77777777" w:rsidR="003B118F" w:rsidRDefault="003B118F" w:rsidP="003B118F">
            <w:pPr>
              <w:pStyle w:val="VBAILTTableHeading1"/>
            </w:pPr>
            <w:r>
              <w:t>Description</w:t>
            </w:r>
          </w:p>
        </w:tc>
      </w:tr>
      <w:tr w:rsidR="00267BA2" w14:paraId="19231472" w14:textId="77777777" w:rsidTr="00826390">
        <w:trPr>
          <w:cantSplit/>
        </w:trPr>
        <w:tc>
          <w:tcPr>
            <w:tcW w:w="1908" w:type="dxa"/>
          </w:tcPr>
          <w:p w14:paraId="5F094E72" w14:textId="77777777" w:rsidR="00267BA2" w:rsidRDefault="00267BA2" w:rsidP="00987F02">
            <w:pPr>
              <w:pStyle w:val="VBAILTBody"/>
            </w:pPr>
            <w:r>
              <w:t>Time Estimate</w:t>
            </w:r>
            <w:r w:rsidR="00077BE7">
              <w:t>:</w:t>
            </w:r>
          </w:p>
        </w:tc>
        <w:tc>
          <w:tcPr>
            <w:tcW w:w="7452" w:type="dxa"/>
          </w:tcPr>
          <w:p w14:paraId="03135EA8" w14:textId="590E2DA0" w:rsidR="00267BA2" w:rsidRDefault="009E35B1" w:rsidP="00987F02">
            <w:pPr>
              <w:pStyle w:val="VBAILTBody"/>
            </w:pPr>
            <w:r>
              <w:t>30 minutes</w:t>
            </w:r>
          </w:p>
        </w:tc>
      </w:tr>
      <w:tr w:rsidR="002D1DCE" w14:paraId="0EFCAA4E" w14:textId="77777777" w:rsidTr="00826390">
        <w:trPr>
          <w:cantSplit/>
        </w:trPr>
        <w:tc>
          <w:tcPr>
            <w:tcW w:w="1908" w:type="dxa"/>
          </w:tcPr>
          <w:p w14:paraId="71D422D8" w14:textId="77777777" w:rsidR="002D1DCE" w:rsidRDefault="00267BA2" w:rsidP="001262F7">
            <w:pPr>
              <w:pStyle w:val="VBAILTBody"/>
            </w:pPr>
            <w:r>
              <w:t>Purpose of the Lesson:</w:t>
            </w:r>
          </w:p>
        </w:tc>
        <w:tc>
          <w:tcPr>
            <w:tcW w:w="7452" w:type="dxa"/>
          </w:tcPr>
          <w:p w14:paraId="7249A99C" w14:textId="3617BC95" w:rsidR="002D1DCE" w:rsidRDefault="009E35B1" w:rsidP="001262F7">
            <w:pPr>
              <w:pStyle w:val="VBAILTBody"/>
            </w:pPr>
            <w:r w:rsidRPr="009E35B1">
              <w:t xml:space="preserve">The intent of this training is to inform </w:t>
            </w:r>
            <w:r>
              <w:t>the audience</w:t>
            </w:r>
            <w:r w:rsidRPr="009E35B1">
              <w:t xml:space="preserve"> of the changes resulting from the law, how to implement the legislation and how these implementations will impact education processing</w:t>
            </w:r>
            <w:r>
              <w:t>.</w:t>
            </w:r>
          </w:p>
        </w:tc>
      </w:tr>
      <w:tr w:rsidR="002D1DCE" w14:paraId="63E7383F" w14:textId="77777777" w:rsidTr="00826390">
        <w:trPr>
          <w:cantSplit/>
        </w:trPr>
        <w:tc>
          <w:tcPr>
            <w:tcW w:w="1908" w:type="dxa"/>
          </w:tcPr>
          <w:p w14:paraId="0E1E23B8" w14:textId="77777777" w:rsidR="002D1DCE" w:rsidRDefault="001262F7" w:rsidP="001262F7">
            <w:pPr>
              <w:pStyle w:val="VBAILTBody"/>
            </w:pPr>
            <w:r>
              <w:t>Prerequisite Training Requirements:</w:t>
            </w:r>
          </w:p>
        </w:tc>
        <w:tc>
          <w:tcPr>
            <w:tcW w:w="7452" w:type="dxa"/>
          </w:tcPr>
          <w:p w14:paraId="354CF1DB" w14:textId="766F2853" w:rsidR="002D1DCE" w:rsidRDefault="009E35B1" w:rsidP="00954748">
            <w:pPr>
              <w:pStyle w:val="VBAILTBody"/>
            </w:pPr>
            <w:r>
              <w:t>None</w:t>
            </w:r>
          </w:p>
        </w:tc>
      </w:tr>
      <w:tr w:rsidR="001262F7" w14:paraId="2B3A6530" w14:textId="77777777" w:rsidTr="00826390">
        <w:trPr>
          <w:cantSplit/>
        </w:trPr>
        <w:tc>
          <w:tcPr>
            <w:tcW w:w="1908" w:type="dxa"/>
          </w:tcPr>
          <w:p w14:paraId="3865B2FC" w14:textId="77777777" w:rsidR="001262F7" w:rsidRDefault="001262F7" w:rsidP="001262F7">
            <w:pPr>
              <w:pStyle w:val="VBAILTBody"/>
            </w:pPr>
            <w:r>
              <w:t>Target Audience:</w:t>
            </w:r>
          </w:p>
        </w:tc>
        <w:tc>
          <w:tcPr>
            <w:tcW w:w="7452" w:type="dxa"/>
          </w:tcPr>
          <w:p w14:paraId="30904F2E" w14:textId="35F14F3E" w:rsidR="001262F7" w:rsidRDefault="009E35B1" w:rsidP="001262F7">
            <w:pPr>
              <w:pStyle w:val="VBAILTBody"/>
            </w:pPr>
            <w:r>
              <w:t>Education claims processors, to include VCEs, Sr. VCEs, Lead, EQTS and ECMs</w:t>
            </w:r>
          </w:p>
        </w:tc>
      </w:tr>
      <w:tr w:rsidR="002D1DCE" w14:paraId="592FEDED" w14:textId="77777777" w:rsidTr="00826390">
        <w:trPr>
          <w:cantSplit/>
        </w:trPr>
        <w:tc>
          <w:tcPr>
            <w:tcW w:w="1908" w:type="dxa"/>
          </w:tcPr>
          <w:p w14:paraId="7A48B53B" w14:textId="77777777" w:rsidR="002D1DCE" w:rsidRDefault="00077BE7" w:rsidP="001262F7">
            <w:pPr>
              <w:pStyle w:val="VBAILTBody"/>
            </w:pPr>
            <w:r>
              <w:t>Lesson References:</w:t>
            </w:r>
          </w:p>
        </w:tc>
        <w:tc>
          <w:tcPr>
            <w:tcW w:w="7452" w:type="dxa"/>
          </w:tcPr>
          <w:p w14:paraId="609D3F68" w14:textId="77777777" w:rsidR="009E35B1" w:rsidRPr="009E35B1" w:rsidRDefault="009E35B1" w:rsidP="009E35B1">
            <w:pPr>
              <w:pStyle w:val="VBAILTBody"/>
              <w:numPr>
                <w:ilvl w:val="0"/>
                <w:numId w:val="4"/>
              </w:numPr>
            </w:pPr>
            <w:r w:rsidRPr="009E35B1">
              <w:t>PL 116-315, Section 1008</w:t>
            </w:r>
          </w:p>
          <w:p w14:paraId="0B967205" w14:textId="77777777" w:rsidR="009E35B1" w:rsidRPr="009E35B1" w:rsidRDefault="009E35B1" w:rsidP="009E35B1">
            <w:pPr>
              <w:pStyle w:val="VBAILTBody"/>
              <w:numPr>
                <w:ilvl w:val="0"/>
                <w:numId w:val="4"/>
              </w:numPr>
            </w:pPr>
            <w:r w:rsidRPr="009E35B1">
              <w:t>M22-4 Part 4, Ch 1.14</w:t>
            </w:r>
          </w:p>
          <w:p w14:paraId="6A0EE9E5" w14:textId="77777777" w:rsidR="001262F7" w:rsidRDefault="001262F7" w:rsidP="009E35B1">
            <w:pPr>
              <w:pStyle w:val="VBAILTBody"/>
            </w:pPr>
          </w:p>
        </w:tc>
      </w:tr>
      <w:tr w:rsidR="002D1DCE" w14:paraId="46C00975" w14:textId="77777777" w:rsidTr="00826390">
        <w:trPr>
          <w:cantSplit/>
        </w:trPr>
        <w:tc>
          <w:tcPr>
            <w:tcW w:w="1908" w:type="dxa"/>
          </w:tcPr>
          <w:p w14:paraId="1EC780FB" w14:textId="77777777" w:rsidR="002D1DCE" w:rsidRDefault="001262F7" w:rsidP="001262F7">
            <w:pPr>
              <w:pStyle w:val="VBAILTBody"/>
            </w:pPr>
            <w:r>
              <w:t>Lesson Objectives:</w:t>
            </w:r>
          </w:p>
        </w:tc>
        <w:tc>
          <w:tcPr>
            <w:tcW w:w="7452" w:type="dxa"/>
          </w:tcPr>
          <w:p w14:paraId="692B8CA8" w14:textId="02DDAECC" w:rsidR="001262F7" w:rsidRDefault="009E35B1" w:rsidP="009E35B1">
            <w:pPr>
              <w:pStyle w:val="VBAILTBody"/>
            </w:pPr>
            <w:r w:rsidRPr="009E35B1">
              <w:t>The information being shared with you will cover section 1008 of Public Law (PL) 116-315</w:t>
            </w:r>
            <w:r>
              <w:t>, including how to implement the legislation.  At the end of the lesson, the learner should understand how to process impacted claims.</w:t>
            </w:r>
          </w:p>
        </w:tc>
      </w:tr>
      <w:tr w:rsidR="00267BA2" w14:paraId="203582CB" w14:textId="77777777" w:rsidTr="00826390">
        <w:trPr>
          <w:cantSplit/>
        </w:trPr>
        <w:tc>
          <w:tcPr>
            <w:tcW w:w="1908" w:type="dxa"/>
          </w:tcPr>
          <w:p w14:paraId="5037B414" w14:textId="77777777" w:rsidR="00267BA2" w:rsidRDefault="00267BA2" w:rsidP="001262F7">
            <w:pPr>
              <w:pStyle w:val="VBAILTBody"/>
            </w:pPr>
            <w:r>
              <w:t>What You Need:</w:t>
            </w:r>
          </w:p>
        </w:tc>
        <w:tc>
          <w:tcPr>
            <w:tcW w:w="7452" w:type="dxa"/>
          </w:tcPr>
          <w:p w14:paraId="357D3A62" w14:textId="3B7F5925" w:rsidR="00077BE7" w:rsidRDefault="009E35B1" w:rsidP="009E35B1">
            <w:pPr>
              <w:pStyle w:val="VBAILTBody"/>
            </w:pPr>
            <w:r>
              <w:t>N/A</w:t>
            </w:r>
          </w:p>
        </w:tc>
      </w:tr>
      <w:tr w:rsidR="00EC11FB" w14:paraId="7F651376" w14:textId="77777777" w:rsidTr="00826390">
        <w:trPr>
          <w:cantSplit/>
        </w:trPr>
        <w:tc>
          <w:tcPr>
            <w:tcW w:w="1908" w:type="dxa"/>
          </w:tcPr>
          <w:p w14:paraId="3FE75A45" w14:textId="77777777" w:rsidR="00EC11FB" w:rsidRDefault="00EC11FB" w:rsidP="001262F7">
            <w:pPr>
              <w:pStyle w:val="VBAILTBody"/>
            </w:pPr>
            <w:r>
              <w:t>Post Training Requirements:</w:t>
            </w:r>
          </w:p>
        </w:tc>
        <w:tc>
          <w:tcPr>
            <w:tcW w:w="7452" w:type="dxa"/>
          </w:tcPr>
          <w:p w14:paraId="05B97A1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378DE48E" w14:textId="0148224D" w:rsidR="00EC11FB" w:rsidRDefault="00EC11FB" w:rsidP="00EC11FB">
            <w:pPr>
              <w:pStyle w:val="QSTBody"/>
              <w:jc w:val="left"/>
              <w:rPr>
                <w:bCs/>
              </w:rPr>
            </w:pPr>
            <w:r>
              <w:rPr>
                <w:bCs/>
              </w:rPr>
              <w:t xml:space="preserve">To demonstrate successful completion of the lesson participants must pass the assessment with a score of at least </w:t>
            </w:r>
            <w:r w:rsidR="009F6538">
              <w:rPr>
                <w:bCs/>
              </w:rPr>
              <w:t>10</w:t>
            </w:r>
            <w:r>
              <w:rPr>
                <w:bCs/>
              </w:rPr>
              <w:t>0%.</w:t>
            </w:r>
          </w:p>
          <w:p w14:paraId="5985DC66" w14:textId="77777777" w:rsidR="00EC11FB" w:rsidRDefault="00EC11FB" w:rsidP="00EC11FB">
            <w:pPr>
              <w:pStyle w:val="VBAILTBody"/>
            </w:pPr>
            <w:r>
              <w:rPr>
                <w:bCs/>
              </w:rPr>
              <w:t>Participants must also complete the online survey to earn credit for completion of the lesson.</w:t>
            </w:r>
          </w:p>
        </w:tc>
      </w:tr>
    </w:tbl>
    <w:p w14:paraId="63A890F9" w14:textId="77777777" w:rsidR="00C214A9" w:rsidRDefault="001262F7" w:rsidP="001262F7">
      <w:pPr>
        <w:pStyle w:val="VBAILTHeading2"/>
      </w:pPr>
      <w:r>
        <w:lastRenderedPageBreak/>
        <w:t>Instructor Notes</w:t>
      </w:r>
    </w:p>
    <w:p w14:paraId="12BA6A51" w14:textId="1F8BA96D"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4C572D66" w14:textId="77777777" w:rsidTr="00701694">
        <w:trPr>
          <w:cantSplit/>
          <w:tblHeader/>
          <w:jc w:val="center"/>
        </w:trPr>
        <w:tc>
          <w:tcPr>
            <w:tcW w:w="4104" w:type="dxa"/>
            <w:tcBorders>
              <w:right w:val="dashSmallGap" w:sz="4" w:space="0" w:color="auto"/>
            </w:tcBorders>
            <w:shd w:val="clear" w:color="auto" w:fill="BDD6EE" w:themeFill="accent1" w:themeFillTint="66"/>
          </w:tcPr>
          <w:p w14:paraId="148D560F"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0D2B2C82" w14:textId="77777777" w:rsidR="009F361E" w:rsidRDefault="009F361E" w:rsidP="006E54AE">
            <w:pPr>
              <w:pStyle w:val="VBAILTTableHeading1"/>
            </w:pPr>
            <w:r>
              <w:t>Instructor Activities</w:t>
            </w:r>
          </w:p>
        </w:tc>
      </w:tr>
      <w:tr w:rsidR="009F361E" w14:paraId="76242D45" w14:textId="77777777" w:rsidTr="00701694">
        <w:trPr>
          <w:cantSplit/>
          <w:jc w:val="center"/>
        </w:trPr>
        <w:tc>
          <w:tcPr>
            <w:tcW w:w="4104" w:type="dxa"/>
            <w:tcBorders>
              <w:right w:val="dashSmallGap" w:sz="4" w:space="0" w:color="auto"/>
            </w:tcBorders>
          </w:tcPr>
          <w:p w14:paraId="02FEDC45" w14:textId="210710F0" w:rsidR="00626C3C" w:rsidRPr="00626C3C" w:rsidRDefault="005A4E09" w:rsidP="00626C3C">
            <w:pPr>
              <w:pStyle w:val="VBAILTBody"/>
            </w:pPr>
            <w:r w:rsidRPr="005A4E09">
              <w:rPr>
                <w:b/>
                <w:noProof/>
              </w:rPr>
              <w:drawing>
                <wp:inline distT="0" distB="0" distL="0" distR="0" wp14:anchorId="27218AED" wp14:editId="4CDB615E">
                  <wp:extent cx="2459990" cy="1845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654F86B"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39CC9E9E" w14:textId="77777777" w:rsidR="005A4E09" w:rsidRPr="005A4E09" w:rsidRDefault="005A4E09" w:rsidP="005A4E09">
            <w:pPr>
              <w:pStyle w:val="VBAILTBody"/>
            </w:pPr>
            <w:r w:rsidRPr="005A4E09">
              <w:t xml:space="preserve">Welcome to today’s training covering section 1008 of Public Law 116-315, the Johnny Isakson and David P. Roe, M.D. Veterans Health Care and Benefits Improvement Act of 2020.  </w:t>
            </w:r>
          </w:p>
          <w:p w14:paraId="79EDE478" w14:textId="77777777" w:rsidR="005A4E09" w:rsidRPr="005A4E09" w:rsidRDefault="005A4E09" w:rsidP="005A4E09">
            <w:pPr>
              <w:pStyle w:val="VBAILTBody"/>
            </w:pPr>
            <w:r w:rsidRPr="005A4E09">
              <w:t xml:space="preserve">Section 1008 allows VA to pay Yellow Ribbon Program benefits at foreign schools. </w:t>
            </w:r>
          </w:p>
          <w:p w14:paraId="04CAE0F1" w14:textId="35E12A12" w:rsidR="009F361E" w:rsidRDefault="009F361E" w:rsidP="009F361E">
            <w:pPr>
              <w:pStyle w:val="VBAILTBody"/>
            </w:pPr>
          </w:p>
        </w:tc>
      </w:tr>
      <w:tr w:rsidR="00077BE7" w14:paraId="71563CC4" w14:textId="77777777" w:rsidTr="00701694">
        <w:trPr>
          <w:cantSplit/>
          <w:jc w:val="center"/>
        </w:trPr>
        <w:tc>
          <w:tcPr>
            <w:tcW w:w="4104" w:type="dxa"/>
            <w:tcBorders>
              <w:right w:val="dashSmallGap" w:sz="4" w:space="0" w:color="auto"/>
            </w:tcBorders>
          </w:tcPr>
          <w:p w14:paraId="7020BAAF" w14:textId="46683311" w:rsidR="00077BE7" w:rsidRDefault="005A4E09" w:rsidP="006E54AE">
            <w:pPr>
              <w:pStyle w:val="VBAILTBody"/>
            </w:pPr>
            <w:r w:rsidRPr="005A4E09">
              <w:rPr>
                <w:b/>
                <w:noProof/>
              </w:rPr>
              <w:drawing>
                <wp:inline distT="0" distB="0" distL="0" distR="0" wp14:anchorId="267BE60C" wp14:editId="7A353026">
                  <wp:extent cx="2459990" cy="1845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2A6B06E"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14AF2629" w14:textId="4E39D16A" w:rsidR="005A4E09" w:rsidRPr="005A4E09" w:rsidRDefault="005A4E09" w:rsidP="005A4E09">
            <w:pPr>
              <w:pStyle w:val="VBAILTBody"/>
            </w:pPr>
            <w:r w:rsidRPr="005A4E09">
              <w:t xml:space="preserve">In today’s lesson, we will provide an overview of this section of the legislation.  We will then discuss the </w:t>
            </w:r>
            <w:r w:rsidR="00B374ED" w:rsidRPr="005A4E09">
              <w:t xml:space="preserve">associated </w:t>
            </w:r>
            <w:r w:rsidRPr="005A4E09">
              <w:t xml:space="preserve">processing guidance to include verification procedures.  Finally, we will conclude with a summary of today’s lesson. </w:t>
            </w:r>
            <w:r w:rsidR="00907EF2">
              <w:t xml:space="preserve"> </w:t>
            </w:r>
            <w:r w:rsidRPr="005A4E09">
              <w:t>Let’s get started.</w:t>
            </w:r>
          </w:p>
          <w:p w14:paraId="3FCB3252" w14:textId="69925AF2" w:rsidR="00077BE7" w:rsidRPr="00077BE7" w:rsidRDefault="00077BE7" w:rsidP="00141EDD">
            <w:pPr>
              <w:pStyle w:val="VBAILTBody"/>
              <w:rPr>
                <w:rStyle w:val="Strong"/>
                <w:b w:val="0"/>
                <w:bCs w:val="0"/>
              </w:rPr>
            </w:pPr>
          </w:p>
        </w:tc>
      </w:tr>
      <w:tr w:rsidR="00CF50B0" w14:paraId="311D914F" w14:textId="77777777" w:rsidTr="00701694">
        <w:trPr>
          <w:cantSplit/>
          <w:jc w:val="center"/>
        </w:trPr>
        <w:tc>
          <w:tcPr>
            <w:tcW w:w="4104" w:type="dxa"/>
            <w:tcBorders>
              <w:right w:val="dashSmallGap" w:sz="4" w:space="0" w:color="auto"/>
            </w:tcBorders>
          </w:tcPr>
          <w:p w14:paraId="2E234BF6" w14:textId="17137C40" w:rsidR="00CF50B0" w:rsidRDefault="005A4E09" w:rsidP="006E54AE">
            <w:pPr>
              <w:pStyle w:val="VBAILTBody"/>
            </w:pPr>
            <w:r w:rsidRPr="005A4E09">
              <w:rPr>
                <w:b/>
                <w:noProof/>
              </w:rPr>
              <w:drawing>
                <wp:inline distT="0" distB="0" distL="0" distR="0" wp14:anchorId="61925F31" wp14:editId="475AC0A1">
                  <wp:extent cx="2459990" cy="1845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B25E9FF"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69A2B949" w14:textId="77777777" w:rsidR="00B374ED" w:rsidRPr="00B374ED" w:rsidRDefault="00B374ED" w:rsidP="00B374ED">
            <w:pPr>
              <w:pStyle w:val="VBAILTBody"/>
            </w:pPr>
            <w:r w:rsidRPr="00B374ED">
              <w:t xml:space="preserve">Prior to PL 116-315, section 1008, foreign schools were not eligible to participate in the Yellow Ribbon program. </w:t>
            </w:r>
          </w:p>
          <w:p w14:paraId="22AB26B3" w14:textId="77777777" w:rsidR="00B374ED" w:rsidRPr="00B374ED" w:rsidRDefault="00B374ED" w:rsidP="00B374ED">
            <w:pPr>
              <w:pStyle w:val="VBAILTBody"/>
            </w:pPr>
            <w:r w:rsidRPr="00B374ED">
              <w:t>Section 1008 was enacted on January 5, 2021, clarifying eligibility which allows foreign schools and training establishments to participate in the Yellow Ribbon program.  By replacing the simple phrase “established charges” with the phrase “tuition and fees”, this section allows foreign schools to participate in the Yellow Ribbon program.</w:t>
            </w:r>
          </w:p>
          <w:p w14:paraId="188E9602" w14:textId="2907037C" w:rsidR="00CF50B0" w:rsidRPr="00077BE7" w:rsidRDefault="00CF50B0" w:rsidP="00141EDD">
            <w:pPr>
              <w:pStyle w:val="VBAILTBody"/>
              <w:rPr>
                <w:rStyle w:val="Strong"/>
                <w:b w:val="0"/>
                <w:bCs w:val="0"/>
              </w:rPr>
            </w:pPr>
          </w:p>
        </w:tc>
      </w:tr>
      <w:tr w:rsidR="00B374ED" w14:paraId="78CA70EE" w14:textId="77777777" w:rsidTr="00701694">
        <w:trPr>
          <w:cantSplit/>
          <w:jc w:val="center"/>
        </w:trPr>
        <w:tc>
          <w:tcPr>
            <w:tcW w:w="4104" w:type="dxa"/>
            <w:tcBorders>
              <w:right w:val="dashSmallGap" w:sz="4" w:space="0" w:color="auto"/>
            </w:tcBorders>
          </w:tcPr>
          <w:p w14:paraId="3E7C6180" w14:textId="1F813EF6" w:rsidR="00B374ED" w:rsidRDefault="00B374ED" w:rsidP="009E35B1">
            <w:pPr>
              <w:pStyle w:val="VBAILTBodyStrong"/>
            </w:pPr>
            <w:r w:rsidRPr="005A4E09">
              <w:rPr>
                <w:noProof/>
              </w:rPr>
              <w:lastRenderedPageBreak/>
              <w:drawing>
                <wp:inline distT="0" distB="0" distL="0" distR="0" wp14:anchorId="3C591D83" wp14:editId="41CE02A1">
                  <wp:extent cx="2459990" cy="1845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747C4BD"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7534FDE" w14:textId="77777777" w:rsidR="00B374ED" w:rsidRPr="00B374ED" w:rsidRDefault="00B374ED" w:rsidP="00B374ED">
            <w:pPr>
              <w:pStyle w:val="VBAILTBody"/>
            </w:pPr>
            <w:r w:rsidRPr="00B374ED">
              <w:t xml:space="preserve">Keep in mind, a school must first apply and be approved to participate in the Yellow Ribbon program.  </w:t>
            </w:r>
          </w:p>
          <w:p w14:paraId="122BBCE3" w14:textId="77777777" w:rsidR="00B374ED" w:rsidRPr="00B374ED" w:rsidRDefault="00B374ED" w:rsidP="00B374ED">
            <w:pPr>
              <w:pStyle w:val="VBAILTBody"/>
            </w:pPr>
            <w:r w:rsidRPr="00B374ED">
              <w:t xml:space="preserve">During the summer of 2021, foreign schools will be allowed a special open window to apply for Yellow Ribbon participation.  </w:t>
            </w:r>
          </w:p>
          <w:p w14:paraId="32F9FDA6" w14:textId="77777777" w:rsidR="00B374ED" w:rsidRPr="00B374ED" w:rsidRDefault="00B374ED" w:rsidP="00B374ED">
            <w:pPr>
              <w:pStyle w:val="VBAILTBody"/>
            </w:pPr>
            <w:r w:rsidRPr="00B374ED">
              <w:t>If approved, beneficiaries at foreign schools will be eligible to receive Yellow Ribbon Program payments for certified enrollments beginning on or after August 1, 2021.</w:t>
            </w:r>
          </w:p>
          <w:p w14:paraId="44B542A4" w14:textId="432228BA" w:rsidR="00B374ED" w:rsidRPr="009F361E" w:rsidRDefault="00B374ED" w:rsidP="009E35B1">
            <w:pPr>
              <w:pStyle w:val="VBAILTBody"/>
              <w:rPr>
                <w:rStyle w:val="Strong"/>
              </w:rPr>
            </w:pPr>
          </w:p>
        </w:tc>
      </w:tr>
      <w:tr w:rsidR="00B374ED" w14:paraId="3871C862" w14:textId="77777777" w:rsidTr="00701694">
        <w:trPr>
          <w:cantSplit/>
          <w:jc w:val="center"/>
        </w:trPr>
        <w:tc>
          <w:tcPr>
            <w:tcW w:w="4104" w:type="dxa"/>
            <w:tcBorders>
              <w:right w:val="dashSmallGap" w:sz="4" w:space="0" w:color="auto"/>
            </w:tcBorders>
          </w:tcPr>
          <w:p w14:paraId="36FC8250" w14:textId="67BED347" w:rsidR="00B374ED" w:rsidRDefault="00B374ED" w:rsidP="009E35B1">
            <w:pPr>
              <w:pStyle w:val="VBAILTBodyStrong"/>
            </w:pPr>
            <w:r w:rsidRPr="005A4E09">
              <w:rPr>
                <w:noProof/>
              </w:rPr>
              <w:drawing>
                <wp:inline distT="0" distB="0" distL="0" distR="0" wp14:anchorId="1EBC4647" wp14:editId="37E0D275">
                  <wp:extent cx="2459990" cy="1845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6F6A2FA"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ED72DCE" w14:textId="77777777" w:rsidR="00B374ED" w:rsidRPr="005A4E09" w:rsidRDefault="00B374ED" w:rsidP="005A4E09">
            <w:pPr>
              <w:pStyle w:val="VBAILTBody"/>
            </w:pPr>
            <w:r w:rsidRPr="005A4E09">
              <w:t>VCE’s should follow current guidelines for verifying participation.  A review and capture of WEAMS showing the approval information should be performed.  There is no additional development needed and there is no change to the current procedures.</w:t>
            </w:r>
          </w:p>
          <w:p w14:paraId="10200BCF" w14:textId="4C9F49A9" w:rsidR="00B374ED" w:rsidRPr="009F361E" w:rsidRDefault="00B374ED" w:rsidP="009E35B1">
            <w:pPr>
              <w:pStyle w:val="VBAILTBody"/>
              <w:rPr>
                <w:rStyle w:val="Strong"/>
              </w:rPr>
            </w:pPr>
          </w:p>
        </w:tc>
      </w:tr>
      <w:tr w:rsidR="00B374ED" w14:paraId="6AFED3F7" w14:textId="77777777" w:rsidTr="00701694">
        <w:trPr>
          <w:cantSplit/>
          <w:jc w:val="center"/>
        </w:trPr>
        <w:tc>
          <w:tcPr>
            <w:tcW w:w="4104" w:type="dxa"/>
            <w:tcBorders>
              <w:right w:val="dashSmallGap" w:sz="4" w:space="0" w:color="auto"/>
            </w:tcBorders>
          </w:tcPr>
          <w:p w14:paraId="3111E19B" w14:textId="7FE82FF8" w:rsidR="00B374ED" w:rsidRDefault="00B374ED" w:rsidP="009E35B1">
            <w:pPr>
              <w:pStyle w:val="VBAILTBodyStrong"/>
            </w:pPr>
            <w:r w:rsidRPr="00B374ED">
              <w:rPr>
                <w:noProof/>
              </w:rPr>
              <w:lastRenderedPageBreak/>
              <w:drawing>
                <wp:inline distT="0" distB="0" distL="0" distR="0" wp14:anchorId="0985416C" wp14:editId="582B7751">
                  <wp:extent cx="2459990" cy="1845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68D4947"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540DD05" w14:textId="77777777" w:rsidR="00B374ED" w:rsidRPr="00B374ED" w:rsidRDefault="00B374ED" w:rsidP="00B374ED">
            <w:pPr>
              <w:pStyle w:val="VBAILTBody"/>
            </w:pPr>
            <w:r w:rsidRPr="00B374ED">
              <w:t>When a qualifying enrollment is received from a foreign school and WEAMS confirms them as a participating facility, VA will process the Yellow Ribbon Program payments using current procedures.</w:t>
            </w:r>
          </w:p>
          <w:p w14:paraId="646BD371" w14:textId="77777777" w:rsidR="00B374ED" w:rsidRPr="00B374ED" w:rsidRDefault="00B374ED" w:rsidP="00B374ED">
            <w:pPr>
              <w:pStyle w:val="VBAILTBody"/>
            </w:pPr>
            <w:r w:rsidRPr="00B374ED">
              <w:t>Remember, foreign schools request payment in a currency other than US Dollars.  Therefore, additional calculations will be necessary.</w:t>
            </w:r>
          </w:p>
          <w:p w14:paraId="179B92F6" w14:textId="77777777" w:rsidR="00B374ED" w:rsidRPr="00B374ED" w:rsidRDefault="00B374ED" w:rsidP="00B374ED">
            <w:pPr>
              <w:pStyle w:val="VBAILTBody"/>
            </w:pPr>
            <w:r w:rsidRPr="00B374ED">
              <w:t>Refer to your local procedures for handling foreign claims and currency exchange rate information.  The Yellow Ribbon Program payments will be handled in the same manner tuition and fee payments are currently handled.</w:t>
            </w:r>
          </w:p>
          <w:p w14:paraId="1608CF21" w14:textId="67770469" w:rsidR="00B374ED" w:rsidRPr="009F361E" w:rsidRDefault="00B374ED" w:rsidP="009E35B1">
            <w:pPr>
              <w:pStyle w:val="VBAILTBody"/>
              <w:rPr>
                <w:rStyle w:val="Strong"/>
              </w:rPr>
            </w:pPr>
          </w:p>
        </w:tc>
      </w:tr>
      <w:tr w:rsidR="00B374ED" w14:paraId="0D356130" w14:textId="77777777" w:rsidTr="00701694">
        <w:trPr>
          <w:cantSplit/>
          <w:jc w:val="center"/>
        </w:trPr>
        <w:tc>
          <w:tcPr>
            <w:tcW w:w="4104" w:type="dxa"/>
            <w:tcBorders>
              <w:right w:val="dashSmallGap" w:sz="4" w:space="0" w:color="auto"/>
            </w:tcBorders>
          </w:tcPr>
          <w:p w14:paraId="5F908F0B" w14:textId="28504FB9" w:rsidR="00B374ED" w:rsidRDefault="00B374ED" w:rsidP="009E35B1">
            <w:pPr>
              <w:pStyle w:val="VBAILTBodyStrong"/>
            </w:pPr>
            <w:r w:rsidRPr="005A4E09">
              <w:rPr>
                <w:noProof/>
              </w:rPr>
              <w:drawing>
                <wp:inline distT="0" distB="0" distL="0" distR="0" wp14:anchorId="2C0F29F3" wp14:editId="5CC91C87">
                  <wp:extent cx="2459990" cy="1845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A584B4C"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A601546" w14:textId="77777777" w:rsidR="00B374ED" w:rsidRPr="00B374ED" w:rsidRDefault="00B374ED" w:rsidP="00B374ED">
            <w:pPr>
              <w:pStyle w:val="VBAILTBody"/>
            </w:pPr>
            <w:r w:rsidRPr="00B374ED">
              <w:t xml:space="preserve">If a foreign school has requested a Yellow Ribbon Program amount on an enrollment certification but is not listed as approved in WEAMS, VCEs should follow development procedures in Part 4, Ch 1.14 of the M22-4.  No payment should be authorized while development is pending.  </w:t>
            </w:r>
          </w:p>
          <w:p w14:paraId="331CFD84" w14:textId="77777777" w:rsidR="00B374ED" w:rsidRPr="00B374ED" w:rsidRDefault="00B374ED" w:rsidP="00B374ED">
            <w:pPr>
              <w:pStyle w:val="VBAILTBody"/>
            </w:pPr>
            <w:r w:rsidRPr="00B374ED">
              <w:t xml:space="preserve">If information is received confirming the school is not an approved Yellow Ribbon Program participating school, the VCE should process the award issuing tuition and fees only. The VCE should also send a letter notifying the beneficiary and the school Yellow Ribbon Program payments cannot be paid since the school is not approved to participate in the program.  A template for the denial letter for Yellow Ribbon can also be found in Part 4, Ch 1.14 of the manual.  </w:t>
            </w:r>
          </w:p>
          <w:p w14:paraId="7A3677AF" w14:textId="77777777" w:rsidR="00B374ED" w:rsidRPr="00B374ED" w:rsidRDefault="00B374ED" w:rsidP="00B374ED">
            <w:pPr>
              <w:pStyle w:val="VBAILTBody"/>
            </w:pPr>
            <w:r w:rsidRPr="00B374ED">
              <w:t xml:space="preserve">Remember to capture all edited letters into the electronic file.  </w:t>
            </w:r>
          </w:p>
          <w:p w14:paraId="47CC8C76" w14:textId="1ED6DD0D" w:rsidR="00B374ED" w:rsidRPr="009F361E" w:rsidRDefault="00B374ED" w:rsidP="009E35B1">
            <w:pPr>
              <w:pStyle w:val="VBAILTBody"/>
              <w:rPr>
                <w:rStyle w:val="Strong"/>
              </w:rPr>
            </w:pPr>
          </w:p>
        </w:tc>
      </w:tr>
      <w:tr w:rsidR="00B374ED" w14:paraId="131D6A36" w14:textId="77777777" w:rsidTr="00701694">
        <w:trPr>
          <w:cantSplit/>
          <w:jc w:val="center"/>
        </w:trPr>
        <w:tc>
          <w:tcPr>
            <w:tcW w:w="4104" w:type="dxa"/>
            <w:tcBorders>
              <w:right w:val="dashSmallGap" w:sz="4" w:space="0" w:color="auto"/>
            </w:tcBorders>
          </w:tcPr>
          <w:p w14:paraId="2C38F761" w14:textId="3B2BE8D3" w:rsidR="00B374ED" w:rsidRDefault="00021514" w:rsidP="009E35B1">
            <w:pPr>
              <w:pStyle w:val="VBAILTBodyStrong"/>
            </w:pPr>
            <w:r w:rsidRPr="00021514">
              <w:rPr>
                <w:noProof/>
              </w:rPr>
              <w:lastRenderedPageBreak/>
              <w:drawing>
                <wp:inline distT="0" distB="0" distL="0" distR="0" wp14:anchorId="1E8FC969" wp14:editId="0D2E840F">
                  <wp:extent cx="2459990" cy="184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73A3007"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267D1F3" w14:textId="77777777" w:rsidR="009D7D01" w:rsidRPr="009D7D01" w:rsidRDefault="009D7D01" w:rsidP="009D7D01">
            <w:pPr>
              <w:pStyle w:val="VBAILTBody"/>
            </w:pPr>
            <w:r w:rsidRPr="009D7D01">
              <w:t>Let’s do a Knowledge Check:</w:t>
            </w:r>
          </w:p>
          <w:p w14:paraId="53EE24C1" w14:textId="77777777" w:rsidR="009D7D01" w:rsidRPr="009D7D01" w:rsidRDefault="009D7D01" w:rsidP="009D7D01">
            <w:pPr>
              <w:pStyle w:val="VBAILTBody"/>
            </w:pPr>
            <w:r w:rsidRPr="009D7D01">
              <w:t>Section 1008 allows foreign schools to participate in the Yellow Ribbon Program.  What date will Yellow Ribbon be payable to these foreign schools?  (Select all that apply)</w:t>
            </w:r>
          </w:p>
          <w:p w14:paraId="7204D2E8" w14:textId="77777777" w:rsidR="009D7D01" w:rsidRPr="009D7D01" w:rsidRDefault="009D7D01" w:rsidP="009D7D01">
            <w:pPr>
              <w:pStyle w:val="VBAILTBody"/>
              <w:numPr>
                <w:ilvl w:val="0"/>
                <w:numId w:val="8"/>
              </w:numPr>
            </w:pPr>
            <w:r w:rsidRPr="009D7D01">
              <w:t>Payable for terms beginning on or after 08/01/2021</w:t>
            </w:r>
          </w:p>
          <w:p w14:paraId="3E1C0378" w14:textId="77777777" w:rsidR="009D7D01" w:rsidRPr="009D7D01" w:rsidRDefault="009D7D01" w:rsidP="009D7D01">
            <w:pPr>
              <w:pStyle w:val="VBAILTBody"/>
              <w:numPr>
                <w:ilvl w:val="0"/>
                <w:numId w:val="8"/>
              </w:numPr>
            </w:pPr>
            <w:r w:rsidRPr="009D7D01">
              <w:t>Payable upon date of enactment of 01/05/2021</w:t>
            </w:r>
          </w:p>
          <w:p w14:paraId="53BDEFBB" w14:textId="77777777" w:rsidR="009D7D01" w:rsidRPr="009D7D01" w:rsidRDefault="009D7D01" w:rsidP="009D7D01">
            <w:pPr>
              <w:pStyle w:val="VBAILTBody"/>
              <w:numPr>
                <w:ilvl w:val="0"/>
                <w:numId w:val="8"/>
              </w:numPr>
            </w:pPr>
            <w:r w:rsidRPr="009D7D01">
              <w:t>Payable for terms beginning 05/01/2021</w:t>
            </w:r>
          </w:p>
          <w:p w14:paraId="38A2AA4E" w14:textId="77777777" w:rsidR="009D7D01" w:rsidRPr="009D7D01" w:rsidRDefault="009D7D01" w:rsidP="009D7D01">
            <w:pPr>
              <w:pStyle w:val="VBAILTBody"/>
              <w:numPr>
                <w:ilvl w:val="0"/>
                <w:numId w:val="8"/>
              </w:numPr>
            </w:pPr>
            <w:r w:rsidRPr="009D7D01">
              <w:t>Payable for terms spanning 08/01/2021</w:t>
            </w:r>
          </w:p>
          <w:p w14:paraId="207712EA" w14:textId="3E8C3B6C" w:rsidR="00B374ED" w:rsidRPr="009F361E" w:rsidRDefault="00B374ED" w:rsidP="009E35B1">
            <w:pPr>
              <w:pStyle w:val="VBAILTBody"/>
              <w:rPr>
                <w:rStyle w:val="Strong"/>
              </w:rPr>
            </w:pPr>
          </w:p>
        </w:tc>
      </w:tr>
      <w:tr w:rsidR="00B374ED" w14:paraId="2B942F63" w14:textId="77777777" w:rsidTr="00701694">
        <w:trPr>
          <w:cantSplit/>
          <w:jc w:val="center"/>
        </w:trPr>
        <w:tc>
          <w:tcPr>
            <w:tcW w:w="4104" w:type="dxa"/>
            <w:tcBorders>
              <w:right w:val="dashSmallGap" w:sz="4" w:space="0" w:color="auto"/>
            </w:tcBorders>
          </w:tcPr>
          <w:p w14:paraId="7AC2555B" w14:textId="50208C30" w:rsidR="00B374ED" w:rsidRDefault="00021514" w:rsidP="009E35B1">
            <w:pPr>
              <w:pStyle w:val="VBAILTBodyStrong"/>
            </w:pPr>
            <w:r w:rsidRPr="00021514">
              <w:rPr>
                <w:noProof/>
              </w:rPr>
              <w:drawing>
                <wp:inline distT="0" distB="0" distL="0" distR="0" wp14:anchorId="0BAEE495" wp14:editId="4F83E51F">
                  <wp:extent cx="2459990" cy="18453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26BEA6F"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AA843A0" w14:textId="77777777" w:rsidR="009D7D01" w:rsidRPr="009D7D01" w:rsidRDefault="009D7D01" w:rsidP="009D7D01">
            <w:pPr>
              <w:pStyle w:val="VBAILTBody"/>
            </w:pPr>
            <w:r w:rsidRPr="009D7D01">
              <w:t xml:space="preserve">The correct answer is “A”.  Section 1008 was enacted on January 5, 2021, and foreign schools </w:t>
            </w:r>
            <w:proofErr w:type="gramStart"/>
            <w:r w:rsidRPr="009D7D01">
              <w:t>were allowed to</w:t>
            </w:r>
            <w:proofErr w:type="gramEnd"/>
            <w:r w:rsidRPr="009D7D01">
              <w:t xml:space="preserve"> sign-up during the open window. Yellow Ribbon Program payments can be paid for enrollments beginning on or after August 1, 2021.</w:t>
            </w:r>
          </w:p>
          <w:p w14:paraId="0C517222" w14:textId="5058F64C" w:rsidR="00B374ED" w:rsidRPr="009F361E" w:rsidRDefault="00B374ED" w:rsidP="009E35B1">
            <w:pPr>
              <w:pStyle w:val="VBAILTBody"/>
              <w:rPr>
                <w:rStyle w:val="Strong"/>
              </w:rPr>
            </w:pPr>
          </w:p>
        </w:tc>
      </w:tr>
      <w:tr w:rsidR="00B374ED" w14:paraId="25253899" w14:textId="77777777" w:rsidTr="00701694">
        <w:trPr>
          <w:cantSplit/>
          <w:jc w:val="center"/>
        </w:trPr>
        <w:tc>
          <w:tcPr>
            <w:tcW w:w="4104" w:type="dxa"/>
            <w:tcBorders>
              <w:right w:val="dashSmallGap" w:sz="4" w:space="0" w:color="auto"/>
            </w:tcBorders>
          </w:tcPr>
          <w:p w14:paraId="317368D1" w14:textId="52C31072" w:rsidR="00B374ED" w:rsidRDefault="009D7D01" w:rsidP="009E35B1">
            <w:pPr>
              <w:pStyle w:val="VBAILTBodyStrong"/>
            </w:pPr>
            <w:r w:rsidRPr="009D7D01">
              <w:rPr>
                <w:noProof/>
              </w:rPr>
              <w:drawing>
                <wp:inline distT="0" distB="0" distL="0" distR="0" wp14:anchorId="205ABA16" wp14:editId="53A19B35">
                  <wp:extent cx="2459990" cy="18453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7543A1B"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6CEEC53" w14:textId="77777777" w:rsidR="009D7D01" w:rsidRPr="009D7D01" w:rsidRDefault="009D7D01" w:rsidP="009D7D01">
            <w:pPr>
              <w:pStyle w:val="VBAILTBody"/>
            </w:pPr>
            <w:r w:rsidRPr="009D7D01">
              <w:t>Today’s training provided a review of PL 116-315, Section 1008 including the verification and processing procedures for issuing Yellow Ribbon Program payments for enrollments at foreign schools.</w:t>
            </w:r>
          </w:p>
          <w:p w14:paraId="3388E0CF" w14:textId="248E6E96" w:rsidR="00B374ED" w:rsidRPr="009F361E" w:rsidRDefault="00B374ED" w:rsidP="009E35B1">
            <w:pPr>
              <w:pStyle w:val="VBAILTBody"/>
              <w:rPr>
                <w:rStyle w:val="Strong"/>
              </w:rPr>
            </w:pPr>
          </w:p>
        </w:tc>
      </w:tr>
      <w:tr w:rsidR="00B374ED" w14:paraId="1750F78F" w14:textId="77777777" w:rsidTr="00701694">
        <w:trPr>
          <w:cantSplit/>
          <w:jc w:val="center"/>
        </w:trPr>
        <w:tc>
          <w:tcPr>
            <w:tcW w:w="4104" w:type="dxa"/>
            <w:tcBorders>
              <w:right w:val="dashSmallGap" w:sz="4" w:space="0" w:color="auto"/>
            </w:tcBorders>
          </w:tcPr>
          <w:p w14:paraId="29C2FCF5" w14:textId="27D88795" w:rsidR="00B374ED" w:rsidRDefault="00B374ED" w:rsidP="009E35B1">
            <w:pPr>
              <w:pStyle w:val="VBAILTBodyStrong"/>
            </w:pPr>
            <w:r w:rsidRPr="005A4E09">
              <w:rPr>
                <w:noProof/>
              </w:rPr>
              <w:lastRenderedPageBreak/>
              <w:drawing>
                <wp:inline distT="0" distB="0" distL="0" distR="0" wp14:anchorId="38D62CD5" wp14:editId="0B82A8B8">
                  <wp:extent cx="2459990" cy="1845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E8F5D4E" w14:textId="77777777" w:rsidR="00B374ED" w:rsidRDefault="00B374ED" w:rsidP="009E35B1">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CFB5798" w14:textId="77777777" w:rsidR="00B374ED" w:rsidRPr="00442685" w:rsidRDefault="00B374ED" w:rsidP="00442685">
            <w:pPr>
              <w:pStyle w:val="VBAILTBody"/>
            </w:pPr>
            <w:r w:rsidRPr="00442685">
              <w:t>Here are the references used in today’s presentation.</w:t>
            </w:r>
          </w:p>
          <w:p w14:paraId="386F0CF5" w14:textId="1306E1AB" w:rsidR="00B374ED" w:rsidRPr="009F361E" w:rsidRDefault="00B374ED" w:rsidP="009E35B1">
            <w:pPr>
              <w:pStyle w:val="VBAILTBody"/>
              <w:rPr>
                <w:rStyle w:val="Strong"/>
              </w:rPr>
            </w:pPr>
          </w:p>
        </w:tc>
      </w:tr>
      <w:tr w:rsidR="00B374ED" w14:paraId="71937BB6" w14:textId="77777777" w:rsidTr="00701694">
        <w:trPr>
          <w:cantSplit/>
          <w:jc w:val="center"/>
        </w:trPr>
        <w:tc>
          <w:tcPr>
            <w:tcW w:w="4104" w:type="dxa"/>
            <w:tcBorders>
              <w:right w:val="dashSmallGap" w:sz="4" w:space="0" w:color="auto"/>
            </w:tcBorders>
          </w:tcPr>
          <w:p w14:paraId="20B5A163" w14:textId="2D5E7BC2" w:rsidR="00B374ED" w:rsidRDefault="00B374ED" w:rsidP="009E35B1">
            <w:pPr>
              <w:pStyle w:val="VBAILTBodyStrong"/>
            </w:pPr>
            <w:r w:rsidRPr="00442685">
              <w:rPr>
                <w:b w:val="0"/>
                <w:noProof/>
              </w:rPr>
              <w:drawing>
                <wp:inline distT="0" distB="0" distL="0" distR="0" wp14:anchorId="1CBE7F72" wp14:editId="532BF435">
                  <wp:extent cx="2459990" cy="1845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8446D25" w14:textId="77777777" w:rsidR="00B374ED" w:rsidRDefault="00B374ED" w:rsidP="00BF37BB">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41C00C1" w14:textId="77777777" w:rsidR="00B374ED" w:rsidRPr="00442685" w:rsidRDefault="00B374ED" w:rsidP="00442685">
            <w:pPr>
              <w:pStyle w:val="VBAILTBody"/>
            </w:pPr>
            <w:r w:rsidRPr="00442685">
              <w:t xml:space="preserve">This concludes our review of PL 116-315, Section 1008.  This training will be followed by an assessment and survey in TMS.  </w:t>
            </w:r>
          </w:p>
          <w:p w14:paraId="5155BD8F" w14:textId="77777777" w:rsidR="00B374ED" w:rsidRPr="00442685" w:rsidRDefault="00B374ED" w:rsidP="00442685">
            <w:pPr>
              <w:pStyle w:val="VBAILTBody"/>
            </w:pPr>
            <w:r w:rsidRPr="00442685">
              <w:t>The assessment will be a mix of scenario-based questions based on the information you were provided today.</w:t>
            </w:r>
          </w:p>
          <w:p w14:paraId="615601CC" w14:textId="77777777" w:rsidR="00B374ED" w:rsidRPr="00442685" w:rsidRDefault="00B374ED" w:rsidP="00442685">
            <w:pPr>
              <w:pStyle w:val="VBAILTBody"/>
            </w:pPr>
            <w:r w:rsidRPr="00442685">
              <w:t xml:space="preserve">You should be able to complete this training, the </w:t>
            </w:r>
            <w:proofErr w:type="gramStart"/>
            <w:r w:rsidRPr="00442685">
              <w:t>assessment</w:t>
            </w:r>
            <w:proofErr w:type="gramEnd"/>
            <w:r w:rsidRPr="00442685">
              <w:t xml:space="preserve"> and the survey within 30 minutes.</w:t>
            </w:r>
          </w:p>
          <w:p w14:paraId="3B8FC9B3" w14:textId="44F02D3F" w:rsidR="00B374ED" w:rsidRPr="00442685" w:rsidRDefault="00B374ED" w:rsidP="00442685">
            <w:pPr>
              <w:pStyle w:val="VBAILTBody"/>
            </w:pPr>
            <w:r w:rsidRPr="00442685">
              <w:t xml:space="preserve">Be sure to complete the assessment and survey </w:t>
            </w:r>
            <w:r w:rsidR="009D7D01">
              <w:t>in</w:t>
            </w:r>
            <w:r w:rsidRPr="00442685">
              <w:t xml:space="preserve"> TMS to receive credit for this training.</w:t>
            </w:r>
          </w:p>
          <w:p w14:paraId="72FD1174" w14:textId="6A6BE038" w:rsidR="00B374ED" w:rsidRPr="009F361E" w:rsidRDefault="00B374ED" w:rsidP="009E35B1">
            <w:pPr>
              <w:pStyle w:val="VBAILTBody"/>
              <w:rPr>
                <w:rStyle w:val="Strong"/>
              </w:rPr>
            </w:pPr>
          </w:p>
        </w:tc>
      </w:tr>
      <w:tr w:rsidR="00B374ED" w14:paraId="178CA04A" w14:textId="77777777" w:rsidTr="00701694">
        <w:trPr>
          <w:cantSplit/>
          <w:jc w:val="center"/>
        </w:trPr>
        <w:tc>
          <w:tcPr>
            <w:tcW w:w="4104" w:type="dxa"/>
            <w:tcBorders>
              <w:right w:val="dashSmallGap" w:sz="4" w:space="0" w:color="auto"/>
            </w:tcBorders>
          </w:tcPr>
          <w:p w14:paraId="311881D3" w14:textId="3C21DD93" w:rsidR="00B374ED" w:rsidRDefault="00B374ED" w:rsidP="006E54AE">
            <w:pPr>
              <w:pStyle w:val="VBAILTBody"/>
            </w:pPr>
            <w:r w:rsidRPr="00442685">
              <w:rPr>
                <w:b/>
                <w:noProof/>
              </w:rPr>
              <w:drawing>
                <wp:inline distT="0" distB="0" distL="0" distR="0" wp14:anchorId="7A3E225F" wp14:editId="3CB98BC6">
                  <wp:extent cx="2459990" cy="184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5340F1C" w14:textId="77777777" w:rsidR="00B374ED" w:rsidRDefault="00B374ED" w:rsidP="00D85D7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9347965" w14:textId="77777777" w:rsidR="00B374ED" w:rsidRPr="00442685" w:rsidRDefault="00B374ED" w:rsidP="00442685">
            <w:pPr>
              <w:pStyle w:val="VBAILTBody"/>
            </w:pPr>
            <w:r w:rsidRPr="00442685">
              <w:t xml:space="preserve">As always, thank you for your time and attention.  </w:t>
            </w:r>
          </w:p>
          <w:p w14:paraId="71E5CA3E" w14:textId="3D8F97E5" w:rsidR="00B374ED" w:rsidRPr="009F361E" w:rsidRDefault="00B374ED" w:rsidP="00BF37BB">
            <w:pPr>
              <w:pStyle w:val="VBAILTBody"/>
              <w:rPr>
                <w:rStyle w:val="Strong"/>
              </w:rPr>
            </w:pPr>
          </w:p>
        </w:tc>
      </w:tr>
    </w:tbl>
    <w:p w14:paraId="27B25D96" w14:textId="77777777" w:rsidR="00CF50B0" w:rsidRPr="00C214A9" w:rsidRDefault="00CF50B0" w:rsidP="00CF50B0">
      <w:pPr>
        <w:pStyle w:val="VBAILTBody"/>
      </w:pPr>
    </w:p>
    <w:sectPr w:rsidR="00CF50B0" w:rsidRPr="00C214A9" w:rsidSect="00C30F06">
      <w:headerReference w:type="default" r:id="rId25"/>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83A6C" w14:textId="77777777" w:rsidR="00D84E2B" w:rsidRDefault="00D84E2B" w:rsidP="00C214A9">
      <w:pPr>
        <w:spacing w:after="0" w:line="240" w:lineRule="auto"/>
      </w:pPr>
      <w:r>
        <w:separator/>
      </w:r>
    </w:p>
  </w:endnote>
  <w:endnote w:type="continuationSeparator" w:id="0">
    <w:p w14:paraId="0DE846A8" w14:textId="77777777" w:rsidR="00D84E2B" w:rsidRDefault="00D84E2B"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79B8" w14:textId="64BCB69E" w:rsidR="00C214A9" w:rsidRPr="00C214A9" w:rsidRDefault="009E35B1" w:rsidP="0024084E">
    <w:pPr>
      <w:pStyle w:val="VBAILTFooter"/>
    </w:pPr>
    <w:r>
      <w:t>June 2021</w:t>
    </w:r>
    <w:r w:rsidR="00626C3C">
      <w:t>;</w:t>
    </w:r>
    <w:r w:rsidR="00C214A9" w:rsidRPr="00C214A9">
      <w:t xml:space="preserve"> </w:t>
    </w:r>
    <w:r w:rsidR="0024084E">
      <w:t>V</w:t>
    </w:r>
    <w:r w:rsidR="00C214A9" w:rsidRPr="00C214A9">
      <w:t>ersion</w:t>
    </w:r>
    <w:r w:rsidR="00622460">
      <w:t xml:space="preserve"> </w:t>
    </w:r>
    <w:r>
      <w:t>1.0</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CF046" w14:textId="77777777" w:rsidR="00D84E2B" w:rsidRDefault="00D84E2B" w:rsidP="00C214A9">
      <w:pPr>
        <w:spacing w:after="0" w:line="240" w:lineRule="auto"/>
      </w:pPr>
      <w:r>
        <w:separator/>
      </w:r>
    </w:p>
  </w:footnote>
  <w:footnote w:type="continuationSeparator" w:id="0">
    <w:p w14:paraId="1A83667E" w14:textId="77777777" w:rsidR="00D84E2B" w:rsidRDefault="00D84E2B"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4D1D2" w14:textId="7ACB9023" w:rsidR="00C214A9" w:rsidRPr="002D1DCE" w:rsidRDefault="009E35B1" w:rsidP="002D1DCE">
    <w:pPr>
      <w:pStyle w:val="VBAILTHeader"/>
    </w:pPr>
    <w:r>
      <w:t>Public Law (PL) 116-315, Section 1008</w:t>
    </w:r>
  </w:p>
  <w:p w14:paraId="04A22056"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65B0F" w14:textId="77777777" w:rsidR="002D1DCE" w:rsidRDefault="00C8779F">
    <w:pPr>
      <w:pStyle w:val="Header"/>
    </w:pPr>
    <w:r>
      <w:rPr>
        <w:noProof/>
      </w:rPr>
      <w:drawing>
        <wp:anchor distT="0" distB="0" distL="114300" distR="114300" simplePos="0" relativeHeight="251658240" behindDoc="1" locked="0" layoutInCell="1" allowOverlap="1" wp14:anchorId="15A2A4D0" wp14:editId="1B9988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D3166"/>
    <w:multiLevelType w:val="hybridMultilevel"/>
    <w:tmpl w:val="87CAF28E"/>
    <w:lvl w:ilvl="0" w:tplc="F900F9C8">
      <w:start w:val="1"/>
      <w:numFmt w:val="upperLetter"/>
      <w:lvlText w:val="%1."/>
      <w:lvlJc w:val="left"/>
      <w:pPr>
        <w:tabs>
          <w:tab w:val="num" w:pos="720"/>
        </w:tabs>
        <w:ind w:left="720" w:hanging="360"/>
      </w:pPr>
    </w:lvl>
    <w:lvl w:ilvl="1" w:tplc="302A3AAE" w:tentative="1">
      <w:start w:val="1"/>
      <w:numFmt w:val="upperLetter"/>
      <w:lvlText w:val="%2."/>
      <w:lvlJc w:val="left"/>
      <w:pPr>
        <w:tabs>
          <w:tab w:val="num" w:pos="1440"/>
        </w:tabs>
        <w:ind w:left="1440" w:hanging="360"/>
      </w:pPr>
    </w:lvl>
    <w:lvl w:ilvl="2" w:tplc="9E82480E" w:tentative="1">
      <w:start w:val="1"/>
      <w:numFmt w:val="upperLetter"/>
      <w:lvlText w:val="%3."/>
      <w:lvlJc w:val="left"/>
      <w:pPr>
        <w:tabs>
          <w:tab w:val="num" w:pos="2160"/>
        </w:tabs>
        <w:ind w:left="2160" w:hanging="360"/>
      </w:pPr>
    </w:lvl>
    <w:lvl w:ilvl="3" w:tplc="B8DAFAB8" w:tentative="1">
      <w:start w:val="1"/>
      <w:numFmt w:val="upperLetter"/>
      <w:lvlText w:val="%4."/>
      <w:lvlJc w:val="left"/>
      <w:pPr>
        <w:tabs>
          <w:tab w:val="num" w:pos="2880"/>
        </w:tabs>
        <w:ind w:left="2880" w:hanging="360"/>
      </w:pPr>
    </w:lvl>
    <w:lvl w:ilvl="4" w:tplc="0FF81F92" w:tentative="1">
      <w:start w:val="1"/>
      <w:numFmt w:val="upperLetter"/>
      <w:lvlText w:val="%5."/>
      <w:lvlJc w:val="left"/>
      <w:pPr>
        <w:tabs>
          <w:tab w:val="num" w:pos="3600"/>
        </w:tabs>
        <w:ind w:left="3600" w:hanging="360"/>
      </w:pPr>
    </w:lvl>
    <w:lvl w:ilvl="5" w:tplc="73F4C396" w:tentative="1">
      <w:start w:val="1"/>
      <w:numFmt w:val="upperLetter"/>
      <w:lvlText w:val="%6."/>
      <w:lvlJc w:val="left"/>
      <w:pPr>
        <w:tabs>
          <w:tab w:val="num" w:pos="4320"/>
        </w:tabs>
        <w:ind w:left="4320" w:hanging="360"/>
      </w:pPr>
    </w:lvl>
    <w:lvl w:ilvl="6" w:tplc="EE3C1C86" w:tentative="1">
      <w:start w:val="1"/>
      <w:numFmt w:val="upperLetter"/>
      <w:lvlText w:val="%7."/>
      <w:lvlJc w:val="left"/>
      <w:pPr>
        <w:tabs>
          <w:tab w:val="num" w:pos="5040"/>
        </w:tabs>
        <w:ind w:left="5040" w:hanging="360"/>
      </w:pPr>
    </w:lvl>
    <w:lvl w:ilvl="7" w:tplc="8C7A9976" w:tentative="1">
      <w:start w:val="1"/>
      <w:numFmt w:val="upperLetter"/>
      <w:lvlText w:val="%8."/>
      <w:lvlJc w:val="left"/>
      <w:pPr>
        <w:tabs>
          <w:tab w:val="num" w:pos="5760"/>
        </w:tabs>
        <w:ind w:left="5760" w:hanging="360"/>
      </w:pPr>
    </w:lvl>
    <w:lvl w:ilvl="8" w:tplc="CECAB32E" w:tentative="1">
      <w:start w:val="1"/>
      <w:numFmt w:val="upperLetter"/>
      <w:lvlText w:val="%9."/>
      <w:lvlJc w:val="left"/>
      <w:pPr>
        <w:tabs>
          <w:tab w:val="num" w:pos="6480"/>
        </w:tabs>
        <w:ind w:left="6480" w:hanging="360"/>
      </w:p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D9099D"/>
    <w:multiLevelType w:val="hybridMultilevel"/>
    <w:tmpl w:val="1012FDD6"/>
    <w:lvl w:ilvl="0" w:tplc="9D1007B6">
      <w:start w:val="1"/>
      <w:numFmt w:val="upperLetter"/>
      <w:lvlText w:val="%1."/>
      <w:lvlJc w:val="left"/>
      <w:pPr>
        <w:tabs>
          <w:tab w:val="num" w:pos="720"/>
        </w:tabs>
        <w:ind w:left="720" w:hanging="360"/>
      </w:pPr>
    </w:lvl>
    <w:lvl w:ilvl="1" w:tplc="42ECA760" w:tentative="1">
      <w:start w:val="1"/>
      <w:numFmt w:val="upperLetter"/>
      <w:lvlText w:val="%2."/>
      <w:lvlJc w:val="left"/>
      <w:pPr>
        <w:tabs>
          <w:tab w:val="num" w:pos="1440"/>
        </w:tabs>
        <w:ind w:left="1440" w:hanging="360"/>
      </w:pPr>
    </w:lvl>
    <w:lvl w:ilvl="2" w:tplc="BF42E1A2" w:tentative="1">
      <w:start w:val="1"/>
      <w:numFmt w:val="upperLetter"/>
      <w:lvlText w:val="%3."/>
      <w:lvlJc w:val="left"/>
      <w:pPr>
        <w:tabs>
          <w:tab w:val="num" w:pos="2160"/>
        </w:tabs>
        <w:ind w:left="2160" w:hanging="360"/>
      </w:pPr>
    </w:lvl>
    <w:lvl w:ilvl="3" w:tplc="AE8829EC" w:tentative="1">
      <w:start w:val="1"/>
      <w:numFmt w:val="upperLetter"/>
      <w:lvlText w:val="%4."/>
      <w:lvlJc w:val="left"/>
      <w:pPr>
        <w:tabs>
          <w:tab w:val="num" w:pos="2880"/>
        </w:tabs>
        <w:ind w:left="2880" w:hanging="360"/>
      </w:pPr>
    </w:lvl>
    <w:lvl w:ilvl="4" w:tplc="9440ED36" w:tentative="1">
      <w:start w:val="1"/>
      <w:numFmt w:val="upperLetter"/>
      <w:lvlText w:val="%5."/>
      <w:lvlJc w:val="left"/>
      <w:pPr>
        <w:tabs>
          <w:tab w:val="num" w:pos="3600"/>
        </w:tabs>
        <w:ind w:left="3600" w:hanging="360"/>
      </w:pPr>
    </w:lvl>
    <w:lvl w:ilvl="5" w:tplc="E59641F2" w:tentative="1">
      <w:start w:val="1"/>
      <w:numFmt w:val="upperLetter"/>
      <w:lvlText w:val="%6."/>
      <w:lvlJc w:val="left"/>
      <w:pPr>
        <w:tabs>
          <w:tab w:val="num" w:pos="4320"/>
        </w:tabs>
        <w:ind w:left="4320" w:hanging="360"/>
      </w:pPr>
    </w:lvl>
    <w:lvl w:ilvl="6" w:tplc="345AD08E" w:tentative="1">
      <w:start w:val="1"/>
      <w:numFmt w:val="upperLetter"/>
      <w:lvlText w:val="%7."/>
      <w:lvlJc w:val="left"/>
      <w:pPr>
        <w:tabs>
          <w:tab w:val="num" w:pos="5040"/>
        </w:tabs>
        <w:ind w:left="5040" w:hanging="360"/>
      </w:pPr>
    </w:lvl>
    <w:lvl w:ilvl="7" w:tplc="69D463C2" w:tentative="1">
      <w:start w:val="1"/>
      <w:numFmt w:val="upperLetter"/>
      <w:lvlText w:val="%8."/>
      <w:lvlJc w:val="left"/>
      <w:pPr>
        <w:tabs>
          <w:tab w:val="num" w:pos="5760"/>
        </w:tabs>
        <w:ind w:left="5760" w:hanging="360"/>
      </w:pPr>
    </w:lvl>
    <w:lvl w:ilvl="8" w:tplc="624A1060" w:tentative="1">
      <w:start w:val="1"/>
      <w:numFmt w:val="upperLetter"/>
      <w:lvlText w:val="%9."/>
      <w:lvlJc w:val="left"/>
      <w:pPr>
        <w:tabs>
          <w:tab w:val="num" w:pos="6480"/>
        </w:tabs>
        <w:ind w:left="6480" w:hanging="360"/>
      </w:pPr>
    </w:lvl>
  </w:abstractNum>
  <w:abstractNum w:abstractNumId="3" w15:restartNumberingAfterBreak="0">
    <w:nsid w:val="24BE4BDA"/>
    <w:multiLevelType w:val="hybridMultilevel"/>
    <w:tmpl w:val="65828C76"/>
    <w:lvl w:ilvl="0" w:tplc="2634DBDC">
      <w:start w:val="1"/>
      <w:numFmt w:val="bullet"/>
      <w:lvlText w:val="•"/>
      <w:lvlJc w:val="left"/>
      <w:pPr>
        <w:tabs>
          <w:tab w:val="num" w:pos="720"/>
        </w:tabs>
        <w:ind w:left="720" w:hanging="360"/>
      </w:pPr>
      <w:rPr>
        <w:rFonts w:ascii="Arial" w:hAnsi="Arial" w:hint="default"/>
      </w:rPr>
    </w:lvl>
    <w:lvl w:ilvl="1" w:tplc="1368F292" w:tentative="1">
      <w:start w:val="1"/>
      <w:numFmt w:val="bullet"/>
      <w:lvlText w:val="•"/>
      <w:lvlJc w:val="left"/>
      <w:pPr>
        <w:tabs>
          <w:tab w:val="num" w:pos="1440"/>
        </w:tabs>
        <w:ind w:left="1440" w:hanging="360"/>
      </w:pPr>
      <w:rPr>
        <w:rFonts w:ascii="Arial" w:hAnsi="Arial" w:hint="default"/>
      </w:rPr>
    </w:lvl>
    <w:lvl w:ilvl="2" w:tplc="8F1456DC" w:tentative="1">
      <w:start w:val="1"/>
      <w:numFmt w:val="bullet"/>
      <w:lvlText w:val="•"/>
      <w:lvlJc w:val="left"/>
      <w:pPr>
        <w:tabs>
          <w:tab w:val="num" w:pos="2160"/>
        </w:tabs>
        <w:ind w:left="2160" w:hanging="360"/>
      </w:pPr>
      <w:rPr>
        <w:rFonts w:ascii="Arial" w:hAnsi="Arial" w:hint="default"/>
      </w:rPr>
    </w:lvl>
    <w:lvl w:ilvl="3" w:tplc="AA224F2A" w:tentative="1">
      <w:start w:val="1"/>
      <w:numFmt w:val="bullet"/>
      <w:lvlText w:val="•"/>
      <w:lvlJc w:val="left"/>
      <w:pPr>
        <w:tabs>
          <w:tab w:val="num" w:pos="2880"/>
        </w:tabs>
        <w:ind w:left="2880" w:hanging="360"/>
      </w:pPr>
      <w:rPr>
        <w:rFonts w:ascii="Arial" w:hAnsi="Arial" w:hint="default"/>
      </w:rPr>
    </w:lvl>
    <w:lvl w:ilvl="4" w:tplc="8DAEBED8" w:tentative="1">
      <w:start w:val="1"/>
      <w:numFmt w:val="bullet"/>
      <w:lvlText w:val="•"/>
      <w:lvlJc w:val="left"/>
      <w:pPr>
        <w:tabs>
          <w:tab w:val="num" w:pos="3600"/>
        </w:tabs>
        <w:ind w:left="3600" w:hanging="360"/>
      </w:pPr>
      <w:rPr>
        <w:rFonts w:ascii="Arial" w:hAnsi="Arial" w:hint="default"/>
      </w:rPr>
    </w:lvl>
    <w:lvl w:ilvl="5" w:tplc="FFF4F564" w:tentative="1">
      <w:start w:val="1"/>
      <w:numFmt w:val="bullet"/>
      <w:lvlText w:val="•"/>
      <w:lvlJc w:val="left"/>
      <w:pPr>
        <w:tabs>
          <w:tab w:val="num" w:pos="4320"/>
        </w:tabs>
        <w:ind w:left="4320" w:hanging="360"/>
      </w:pPr>
      <w:rPr>
        <w:rFonts w:ascii="Arial" w:hAnsi="Arial" w:hint="default"/>
      </w:rPr>
    </w:lvl>
    <w:lvl w:ilvl="6" w:tplc="9B629CE8" w:tentative="1">
      <w:start w:val="1"/>
      <w:numFmt w:val="bullet"/>
      <w:lvlText w:val="•"/>
      <w:lvlJc w:val="left"/>
      <w:pPr>
        <w:tabs>
          <w:tab w:val="num" w:pos="5040"/>
        </w:tabs>
        <w:ind w:left="5040" w:hanging="360"/>
      </w:pPr>
      <w:rPr>
        <w:rFonts w:ascii="Arial" w:hAnsi="Arial" w:hint="default"/>
      </w:rPr>
    </w:lvl>
    <w:lvl w:ilvl="7" w:tplc="ED5EAD64" w:tentative="1">
      <w:start w:val="1"/>
      <w:numFmt w:val="bullet"/>
      <w:lvlText w:val="•"/>
      <w:lvlJc w:val="left"/>
      <w:pPr>
        <w:tabs>
          <w:tab w:val="num" w:pos="5760"/>
        </w:tabs>
        <w:ind w:left="5760" w:hanging="360"/>
      </w:pPr>
      <w:rPr>
        <w:rFonts w:ascii="Arial" w:hAnsi="Arial" w:hint="default"/>
      </w:rPr>
    </w:lvl>
    <w:lvl w:ilvl="8" w:tplc="7C509D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086944"/>
    <w:multiLevelType w:val="hybridMultilevel"/>
    <w:tmpl w:val="262E16B4"/>
    <w:lvl w:ilvl="0" w:tplc="46F0BB6C">
      <w:start w:val="1"/>
      <w:numFmt w:val="upperLetter"/>
      <w:lvlText w:val="%1."/>
      <w:lvlJc w:val="left"/>
      <w:pPr>
        <w:tabs>
          <w:tab w:val="num" w:pos="720"/>
        </w:tabs>
        <w:ind w:left="720" w:hanging="360"/>
      </w:pPr>
    </w:lvl>
    <w:lvl w:ilvl="1" w:tplc="B9D81158" w:tentative="1">
      <w:start w:val="1"/>
      <w:numFmt w:val="upperLetter"/>
      <w:lvlText w:val="%2."/>
      <w:lvlJc w:val="left"/>
      <w:pPr>
        <w:tabs>
          <w:tab w:val="num" w:pos="1440"/>
        </w:tabs>
        <w:ind w:left="1440" w:hanging="360"/>
      </w:pPr>
    </w:lvl>
    <w:lvl w:ilvl="2" w:tplc="D76C0526" w:tentative="1">
      <w:start w:val="1"/>
      <w:numFmt w:val="upperLetter"/>
      <w:lvlText w:val="%3."/>
      <w:lvlJc w:val="left"/>
      <w:pPr>
        <w:tabs>
          <w:tab w:val="num" w:pos="2160"/>
        </w:tabs>
        <w:ind w:left="2160" w:hanging="360"/>
      </w:pPr>
    </w:lvl>
    <w:lvl w:ilvl="3" w:tplc="D6FC0F36" w:tentative="1">
      <w:start w:val="1"/>
      <w:numFmt w:val="upperLetter"/>
      <w:lvlText w:val="%4."/>
      <w:lvlJc w:val="left"/>
      <w:pPr>
        <w:tabs>
          <w:tab w:val="num" w:pos="2880"/>
        </w:tabs>
        <w:ind w:left="2880" w:hanging="360"/>
      </w:pPr>
    </w:lvl>
    <w:lvl w:ilvl="4" w:tplc="EBC2134E" w:tentative="1">
      <w:start w:val="1"/>
      <w:numFmt w:val="upperLetter"/>
      <w:lvlText w:val="%5."/>
      <w:lvlJc w:val="left"/>
      <w:pPr>
        <w:tabs>
          <w:tab w:val="num" w:pos="3600"/>
        </w:tabs>
        <w:ind w:left="3600" w:hanging="360"/>
      </w:pPr>
    </w:lvl>
    <w:lvl w:ilvl="5" w:tplc="14E26244" w:tentative="1">
      <w:start w:val="1"/>
      <w:numFmt w:val="upperLetter"/>
      <w:lvlText w:val="%6."/>
      <w:lvlJc w:val="left"/>
      <w:pPr>
        <w:tabs>
          <w:tab w:val="num" w:pos="4320"/>
        </w:tabs>
        <w:ind w:left="4320" w:hanging="360"/>
      </w:pPr>
    </w:lvl>
    <w:lvl w:ilvl="6" w:tplc="59BC1008" w:tentative="1">
      <w:start w:val="1"/>
      <w:numFmt w:val="upperLetter"/>
      <w:lvlText w:val="%7."/>
      <w:lvlJc w:val="left"/>
      <w:pPr>
        <w:tabs>
          <w:tab w:val="num" w:pos="5040"/>
        </w:tabs>
        <w:ind w:left="5040" w:hanging="360"/>
      </w:pPr>
    </w:lvl>
    <w:lvl w:ilvl="7" w:tplc="54F49308" w:tentative="1">
      <w:start w:val="1"/>
      <w:numFmt w:val="upperLetter"/>
      <w:lvlText w:val="%8."/>
      <w:lvlJc w:val="left"/>
      <w:pPr>
        <w:tabs>
          <w:tab w:val="num" w:pos="5760"/>
        </w:tabs>
        <w:ind w:left="5760" w:hanging="360"/>
      </w:pPr>
    </w:lvl>
    <w:lvl w:ilvl="8" w:tplc="FE2432E8" w:tentative="1">
      <w:start w:val="1"/>
      <w:numFmt w:val="upperLetter"/>
      <w:lvlText w:val="%9."/>
      <w:lvlJc w:val="left"/>
      <w:pPr>
        <w:tabs>
          <w:tab w:val="num" w:pos="6480"/>
        </w:tabs>
        <w:ind w:left="6480" w:hanging="360"/>
      </w:pPr>
    </w:lvl>
  </w:abstractNum>
  <w:abstractNum w:abstractNumId="5"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A46343A"/>
    <w:multiLevelType w:val="hybridMultilevel"/>
    <w:tmpl w:val="B540DBD2"/>
    <w:lvl w:ilvl="0" w:tplc="C8A055BE">
      <w:start w:val="1"/>
      <w:numFmt w:val="bullet"/>
      <w:lvlText w:val="•"/>
      <w:lvlJc w:val="left"/>
      <w:pPr>
        <w:tabs>
          <w:tab w:val="num" w:pos="720"/>
        </w:tabs>
        <w:ind w:left="720" w:hanging="360"/>
      </w:pPr>
      <w:rPr>
        <w:rFonts w:ascii="Arial" w:hAnsi="Arial" w:hint="default"/>
      </w:rPr>
    </w:lvl>
    <w:lvl w:ilvl="1" w:tplc="AB0EB47A" w:tentative="1">
      <w:start w:val="1"/>
      <w:numFmt w:val="bullet"/>
      <w:lvlText w:val="•"/>
      <w:lvlJc w:val="left"/>
      <w:pPr>
        <w:tabs>
          <w:tab w:val="num" w:pos="1440"/>
        </w:tabs>
        <w:ind w:left="1440" w:hanging="360"/>
      </w:pPr>
      <w:rPr>
        <w:rFonts w:ascii="Arial" w:hAnsi="Arial" w:hint="default"/>
      </w:rPr>
    </w:lvl>
    <w:lvl w:ilvl="2" w:tplc="2786B180" w:tentative="1">
      <w:start w:val="1"/>
      <w:numFmt w:val="bullet"/>
      <w:lvlText w:val="•"/>
      <w:lvlJc w:val="left"/>
      <w:pPr>
        <w:tabs>
          <w:tab w:val="num" w:pos="2160"/>
        </w:tabs>
        <w:ind w:left="2160" w:hanging="360"/>
      </w:pPr>
      <w:rPr>
        <w:rFonts w:ascii="Arial" w:hAnsi="Arial" w:hint="default"/>
      </w:rPr>
    </w:lvl>
    <w:lvl w:ilvl="3" w:tplc="FBB04688" w:tentative="1">
      <w:start w:val="1"/>
      <w:numFmt w:val="bullet"/>
      <w:lvlText w:val="•"/>
      <w:lvlJc w:val="left"/>
      <w:pPr>
        <w:tabs>
          <w:tab w:val="num" w:pos="2880"/>
        </w:tabs>
        <w:ind w:left="2880" w:hanging="360"/>
      </w:pPr>
      <w:rPr>
        <w:rFonts w:ascii="Arial" w:hAnsi="Arial" w:hint="default"/>
      </w:rPr>
    </w:lvl>
    <w:lvl w:ilvl="4" w:tplc="4F40ACFC" w:tentative="1">
      <w:start w:val="1"/>
      <w:numFmt w:val="bullet"/>
      <w:lvlText w:val="•"/>
      <w:lvlJc w:val="left"/>
      <w:pPr>
        <w:tabs>
          <w:tab w:val="num" w:pos="3600"/>
        </w:tabs>
        <w:ind w:left="3600" w:hanging="360"/>
      </w:pPr>
      <w:rPr>
        <w:rFonts w:ascii="Arial" w:hAnsi="Arial" w:hint="default"/>
      </w:rPr>
    </w:lvl>
    <w:lvl w:ilvl="5" w:tplc="E408BB14" w:tentative="1">
      <w:start w:val="1"/>
      <w:numFmt w:val="bullet"/>
      <w:lvlText w:val="•"/>
      <w:lvlJc w:val="left"/>
      <w:pPr>
        <w:tabs>
          <w:tab w:val="num" w:pos="4320"/>
        </w:tabs>
        <w:ind w:left="4320" w:hanging="360"/>
      </w:pPr>
      <w:rPr>
        <w:rFonts w:ascii="Arial" w:hAnsi="Arial" w:hint="default"/>
      </w:rPr>
    </w:lvl>
    <w:lvl w:ilvl="6" w:tplc="92C281FE" w:tentative="1">
      <w:start w:val="1"/>
      <w:numFmt w:val="bullet"/>
      <w:lvlText w:val="•"/>
      <w:lvlJc w:val="left"/>
      <w:pPr>
        <w:tabs>
          <w:tab w:val="num" w:pos="5040"/>
        </w:tabs>
        <w:ind w:left="5040" w:hanging="360"/>
      </w:pPr>
      <w:rPr>
        <w:rFonts w:ascii="Arial" w:hAnsi="Arial" w:hint="default"/>
      </w:rPr>
    </w:lvl>
    <w:lvl w:ilvl="7" w:tplc="81EA7450" w:tentative="1">
      <w:start w:val="1"/>
      <w:numFmt w:val="bullet"/>
      <w:lvlText w:val="•"/>
      <w:lvlJc w:val="left"/>
      <w:pPr>
        <w:tabs>
          <w:tab w:val="num" w:pos="5760"/>
        </w:tabs>
        <w:ind w:left="5760" w:hanging="360"/>
      </w:pPr>
      <w:rPr>
        <w:rFonts w:ascii="Arial" w:hAnsi="Arial" w:hint="default"/>
      </w:rPr>
    </w:lvl>
    <w:lvl w:ilvl="8" w:tplc="BA10AFF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6"/>
  </w:num>
  <w:num w:numId="4">
    <w:abstractNumId w:val="7"/>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83"/>
    <w:rsid w:val="00021514"/>
    <w:rsid w:val="00032E9F"/>
    <w:rsid w:val="00077BE7"/>
    <w:rsid w:val="001262F7"/>
    <w:rsid w:val="00141EDD"/>
    <w:rsid w:val="00143CCF"/>
    <w:rsid w:val="001D2E6A"/>
    <w:rsid w:val="001D5A75"/>
    <w:rsid w:val="001E22D9"/>
    <w:rsid w:val="0024084E"/>
    <w:rsid w:val="002456D3"/>
    <w:rsid w:val="00250FEF"/>
    <w:rsid w:val="00267BA2"/>
    <w:rsid w:val="002C3FE7"/>
    <w:rsid w:val="002D1DCE"/>
    <w:rsid w:val="002E3812"/>
    <w:rsid w:val="002E7FD3"/>
    <w:rsid w:val="003270C1"/>
    <w:rsid w:val="00360F79"/>
    <w:rsid w:val="003B118F"/>
    <w:rsid w:val="003B3180"/>
    <w:rsid w:val="003E3D02"/>
    <w:rsid w:val="00416682"/>
    <w:rsid w:val="00442685"/>
    <w:rsid w:val="005A4E09"/>
    <w:rsid w:val="00622460"/>
    <w:rsid w:val="00626C3C"/>
    <w:rsid w:val="006E54AE"/>
    <w:rsid w:val="00701694"/>
    <w:rsid w:val="007860F6"/>
    <w:rsid w:val="00826390"/>
    <w:rsid w:val="008715F0"/>
    <w:rsid w:val="008C4102"/>
    <w:rsid w:val="008D5844"/>
    <w:rsid w:val="00907EF2"/>
    <w:rsid w:val="0091339C"/>
    <w:rsid w:val="0093573F"/>
    <w:rsid w:val="00946AF4"/>
    <w:rsid w:val="00954748"/>
    <w:rsid w:val="00986823"/>
    <w:rsid w:val="009D7D01"/>
    <w:rsid w:val="009E35B1"/>
    <w:rsid w:val="009F361E"/>
    <w:rsid w:val="009F6538"/>
    <w:rsid w:val="00A03870"/>
    <w:rsid w:val="00A66DFB"/>
    <w:rsid w:val="00B374ED"/>
    <w:rsid w:val="00B94ED3"/>
    <w:rsid w:val="00BF37BB"/>
    <w:rsid w:val="00C16E15"/>
    <w:rsid w:val="00C214A9"/>
    <w:rsid w:val="00C30F06"/>
    <w:rsid w:val="00C764DB"/>
    <w:rsid w:val="00C8779F"/>
    <w:rsid w:val="00C90127"/>
    <w:rsid w:val="00C94F91"/>
    <w:rsid w:val="00CF50B0"/>
    <w:rsid w:val="00D577A1"/>
    <w:rsid w:val="00D70E3E"/>
    <w:rsid w:val="00D77B6C"/>
    <w:rsid w:val="00D84E2B"/>
    <w:rsid w:val="00DD3DA5"/>
    <w:rsid w:val="00E43C51"/>
    <w:rsid w:val="00E44CBA"/>
    <w:rsid w:val="00E73091"/>
    <w:rsid w:val="00EC11FB"/>
    <w:rsid w:val="00F7436F"/>
    <w:rsid w:val="00F95683"/>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E9FE9"/>
  <w15:docId w15:val="{6F89D95B-0632-415E-A563-78B7F936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60727">
      <w:bodyDiv w:val="1"/>
      <w:marLeft w:val="0"/>
      <w:marRight w:val="0"/>
      <w:marTop w:val="0"/>
      <w:marBottom w:val="0"/>
      <w:divBdr>
        <w:top w:val="none" w:sz="0" w:space="0" w:color="auto"/>
        <w:left w:val="none" w:sz="0" w:space="0" w:color="auto"/>
        <w:bottom w:val="none" w:sz="0" w:space="0" w:color="auto"/>
        <w:right w:val="none" w:sz="0" w:space="0" w:color="auto"/>
      </w:divBdr>
    </w:div>
    <w:div w:id="115679059">
      <w:bodyDiv w:val="1"/>
      <w:marLeft w:val="0"/>
      <w:marRight w:val="0"/>
      <w:marTop w:val="0"/>
      <w:marBottom w:val="0"/>
      <w:divBdr>
        <w:top w:val="none" w:sz="0" w:space="0" w:color="auto"/>
        <w:left w:val="none" w:sz="0" w:space="0" w:color="auto"/>
        <w:bottom w:val="none" w:sz="0" w:space="0" w:color="auto"/>
        <w:right w:val="none" w:sz="0" w:space="0" w:color="auto"/>
      </w:divBdr>
      <w:divsChild>
        <w:div w:id="2078165581">
          <w:marLeft w:val="274"/>
          <w:marRight w:val="0"/>
          <w:marTop w:val="0"/>
          <w:marBottom w:val="0"/>
          <w:divBdr>
            <w:top w:val="none" w:sz="0" w:space="0" w:color="auto"/>
            <w:left w:val="none" w:sz="0" w:space="0" w:color="auto"/>
            <w:bottom w:val="none" w:sz="0" w:space="0" w:color="auto"/>
            <w:right w:val="none" w:sz="0" w:space="0" w:color="auto"/>
          </w:divBdr>
        </w:div>
      </w:divsChild>
    </w:div>
    <w:div w:id="123814251">
      <w:bodyDiv w:val="1"/>
      <w:marLeft w:val="0"/>
      <w:marRight w:val="0"/>
      <w:marTop w:val="0"/>
      <w:marBottom w:val="0"/>
      <w:divBdr>
        <w:top w:val="none" w:sz="0" w:space="0" w:color="auto"/>
        <w:left w:val="none" w:sz="0" w:space="0" w:color="auto"/>
        <w:bottom w:val="none" w:sz="0" w:space="0" w:color="auto"/>
        <w:right w:val="none" w:sz="0" w:space="0" w:color="auto"/>
      </w:divBdr>
    </w:div>
    <w:div w:id="182329449">
      <w:bodyDiv w:val="1"/>
      <w:marLeft w:val="0"/>
      <w:marRight w:val="0"/>
      <w:marTop w:val="0"/>
      <w:marBottom w:val="0"/>
      <w:divBdr>
        <w:top w:val="none" w:sz="0" w:space="0" w:color="auto"/>
        <w:left w:val="none" w:sz="0" w:space="0" w:color="auto"/>
        <w:bottom w:val="none" w:sz="0" w:space="0" w:color="auto"/>
        <w:right w:val="none" w:sz="0" w:space="0" w:color="auto"/>
      </w:divBdr>
    </w:div>
    <w:div w:id="299383504">
      <w:bodyDiv w:val="1"/>
      <w:marLeft w:val="0"/>
      <w:marRight w:val="0"/>
      <w:marTop w:val="0"/>
      <w:marBottom w:val="0"/>
      <w:divBdr>
        <w:top w:val="none" w:sz="0" w:space="0" w:color="auto"/>
        <w:left w:val="none" w:sz="0" w:space="0" w:color="auto"/>
        <w:bottom w:val="none" w:sz="0" w:space="0" w:color="auto"/>
        <w:right w:val="none" w:sz="0" w:space="0" w:color="auto"/>
      </w:divBdr>
    </w:div>
    <w:div w:id="320424941">
      <w:bodyDiv w:val="1"/>
      <w:marLeft w:val="0"/>
      <w:marRight w:val="0"/>
      <w:marTop w:val="0"/>
      <w:marBottom w:val="0"/>
      <w:divBdr>
        <w:top w:val="none" w:sz="0" w:space="0" w:color="auto"/>
        <w:left w:val="none" w:sz="0" w:space="0" w:color="auto"/>
        <w:bottom w:val="none" w:sz="0" w:space="0" w:color="auto"/>
        <w:right w:val="none" w:sz="0" w:space="0" w:color="auto"/>
      </w:divBdr>
    </w:div>
    <w:div w:id="376390482">
      <w:bodyDiv w:val="1"/>
      <w:marLeft w:val="0"/>
      <w:marRight w:val="0"/>
      <w:marTop w:val="0"/>
      <w:marBottom w:val="0"/>
      <w:divBdr>
        <w:top w:val="none" w:sz="0" w:space="0" w:color="auto"/>
        <w:left w:val="none" w:sz="0" w:space="0" w:color="auto"/>
        <w:bottom w:val="none" w:sz="0" w:space="0" w:color="auto"/>
        <w:right w:val="none" w:sz="0" w:space="0" w:color="auto"/>
      </w:divBdr>
    </w:div>
    <w:div w:id="376706988">
      <w:bodyDiv w:val="1"/>
      <w:marLeft w:val="0"/>
      <w:marRight w:val="0"/>
      <w:marTop w:val="0"/>
      <w:marBottom w:val="0"/>
      <w:divBdr>
        <w:top w:val="none" w:sz="0" w:space="0" w:color="auto"/>
        <w:left w:val="none" w:sz="0" w:space="0" w:color="auto"/>
        <w:bottom w:val="none" w:sz="0" w:space="0" w:color="auto"/>
        <w:right w:val="none" w:sz="0" w:space="0" w:color="auto"/>
      </w:divBdr>
    </w:div>
    <w:div w:id="393940088">
      <w:bodyDiv w:val="1"/>
      <w:marLeft w:val="0"/>
      <w:marRight w:val="0"/>
      <w:marTop w:val="0"/>
      <w:marBottom w:val="0"/>
      <w:divBdr>
        <w:top w:val="none" w:sz="0" w:space="0" w:color="auto"/>
        <w:left w:val="none" w:sz="0" w:space="0" w:color="auto"/>
        <w:bottom w:val="none" w:sz="0" w:space="0" w:color="auto"/>
        <w:right w:val="none" w:sz="0" w:space="0" w:color="auto"/>
      </w:divBdr>
    </w:div>
    <w:div w:id="429740588">
      <w:bodyDiv w:val="1"/>
      <w:marLeft w:val="0"/>
      <w:marRight w:val="0"/>
      <w:marTop w:val="0"/>
      <w:marBottom w:val="0"/>
      <w:divBdr>
        <w:top w:val="none" w:sz="0" w:space="0" w:color="auto"/>
        <w:left w:val="none" w:sz="0" w:space="0" w:color="auto"/>
        <w:bottom w:val="none" w:sz="0" w:space="0" w:color="auto"/>
        <w:right w:val="none" w:sz="0" w:space="0" w:color="auto"/>
      </w:divBdr>
    </w:div>
    <w:div w:id="568226639">
      <w:bodyDiv w:val="1"/>
      <w:marLeft w:val="0"/>
      <w:marRight w:val="0"/>
      <w:marTop w:val="0"/>
      <w:marBottom w:val="0"/>
      <w:divBdr>
        <w:top w:val="none" w:sz="0" w:space="0" w:color="auto"/>
        <w:left w:val="none" w:sz="0" w:space="0" w:color="auto"/>
        <w:bottom w:val="none" w:sz="0" w:space="0" w:color="auto"/>
        <w:right w:val="none" w:sz="0" w:space="0" w:color="auto"/>
      </w:divBdr>
    </w:div>
    <w:div w:id="643856421">
      <w:bodyDiv w:val="1"/>
      <w:marLeft w:val="0"/>
      <w:marRight w:val="0"/>
      <w:marTop w:val="0"/>
      <w:marBottom w:val="0"/>
      <w:divBdr>
        <w:top w:val="none" w:sz="0" w:space="0" w:color="auto"/>
        <w:left w:val="none" w:sz="0" w:space="0" w:color="auto"/>
        <w:bottom w:val="none" w:sz="0" w:space="0" w:color="auto"/>
        <w:right w:val="none" w:sz="0" w:space="0" w:color="auto"/>
      </w:divBdr>
    </w:div>
    <w:div w:id="689261420">
      <w:bodyDiv w:val="1"/>
      <w:marLeft w:val="0"/>
      <w:marRight w:val="0"/>
      <w:marTop w:val="0"/>
      <w:marBottom w:val="0"/>
      <w:divBdr>
        <w:top w:val="none" w:sz="0" w:space="0" w:color="auto"/>
        <w:left w:val="none" w:sz="0" w:space="0" w:color="auto"/>
        <w:bottom w:val="none" w:sz="0" w:space="0" w:color="auto"/>
        <w:right w:val="none" w:sz="0" w:space="0" w:color="auto"/>
      </w:divBdr>
    </w:div>
    <w:div w:id="715855364">
      <w:bodyDiv w:val="1"/>
      <w:marLeft w:val="0"/>
      <w:marRight w:val="0"/>
      <w:marTop w:val="0"/>
      <w:marBottom w:val="0"/>
      <w:divBdr>
        <w:top w:val="none" w:sz="0" w:space="0" w:color="auto"/>
        <w:left w:val="none" w:sz="0" w:space="0" w:color="auto"/>
        <w:bottom w:val="none" w:sz="0" w:space="0" w:color="auto"/>
        <w:right w:val="none" w:sz="0" w:space="0" w:color="auto"/>
      </w:divBdr>
    </w:div>
    <w:div w:id="776680845">
      <w:bodyDiv w:val="1"/>
      <w:marLeft w:val="0"/>
      <w:marRight w:val="0"/>
      <w:marTop w:val="0"/>
      <w:marBottom w:val="0"/>
      <w:divBdr>
        <w:top w:val="none" w:sz="0" w:space="0" w:color="auto"/>
        <w:left w:val="none" w:sz="0" w:space="0" w:color="auto"/>
        <w:bottom w:val="none" w:sz="0" w:space="0" w:color="auto"/>
        <w:right w:val="none" w:sz="0" w:space="0" w:color="auto"/>
      </w:divBdr>
      <w:divsChild>
        <w:div w:id="1644845008">
          <w:marLeft w:val="720"/>
          <w:marRight w:val="0"/>
          <w:marTop w:val="0"/>
          <w:marBottom w:val="0"/>
          <w:divBdr>
            <w:top w:val="none" w:sz="0" w:space="0" w:color="auto"/>
            <w:left w:val="none" w:sz="0" w:space="0" w:color="auto"/>
            <w:bottom w:val="none" w:sz="0" w:space="0" w:color="auto"/>
            <w:right w:val="none" w:sz="0" w:space="0" w:color="auto"/>
          </w:divBdr>
        </w:div>
        <w:div w:id="579142260">
          <w:marLeft w:val="720"/>
          <w:marRight w:val="0"/>
          <w:marTop w:val="0"/>
          <w:marBottom w:val="0"/>
          <w:divBdr>
            <w:top w:val="none" w:sz="0" w:space="0" w:color="auto"/>
            <w:left w:val="none" w:sz="0" w:space="0" w:color="auto"/>
            <w:bottom w:val="none" w:sz="0" w:space="0" w:color="auto"/>
            <w:right w:val="none" w:sz="0" w:space="0" w:color="auto"/>
          </w:divBdr>
        </w:div>
        <w:div w:id="40523001">
          <w:marLeft w:val="720"/>
          <w:marRight w:val="0"/>
          <w:marTop w:val="0"/>
          <w:marBottom w:val="0"/>
          <w:divBdr>
            <w:top w:val="none" w:sz="0" w:space="0" w:color="auto"/>
            <w:left w:val="none" w:sz="0" w:space="0" w:color="auto"/>
            <w:bottom w:val="none" w:sz="0" w:space="0" w:color="auto"/>
            <w:right w:val="none" w:sz="0" w:space="0" w:color="auto"/>
          </w:divBdr>
        </w:div>
        <w:div w:id="1037972975">
          <w:marLeft w:val="720"/>
          <w:marRight w:val="0"/>
          <w:marTop w:val="0"/>
          <w:marBottom w:val="0"/>
          <w:divBdr>
            <w:top w:val="none" w:sz="0" w:space="0" w:color="auto"/>
            <w:left w:val="none" w:sz="0" w:space="0" w:color="auto"/>
            <w:bottom w:val="none" w:sz="0" w:space="0" w:color="auto"/>
            <w:right w:val="none" w:sz="0" w:space="0" w:color="auto"/>
          </w:divBdr>
        </w:div>
      </w:divsChild>
    </w:div>
    <w:div w:id="786117037">
      <w:bodyDiv w:val="1"/>
      <w:marLeft w:val="0"/>
      <w:marRight w:val="0"/>
      <w:marTop w:val="0"/>
      <w:marBottom w:val="0"/>
      <w:divBdr>
        <w:top w:val="none" w:sz="0" w:space="0" w:color="auto"/>
        <w:left w:val="none" w:sz="0" w:space="0" w:color="auto"/>
        <w:bottom w:val="none" w:sz="0" w:space="0" w:color="auto"/>
        <w:right w:val="none" w:sz="0" w:space="0" w:color="auto"/>
      </w:divBdr>
    </w:div>
    <w:div w:id="988826393">
      <w:bodyDiv w:val="1"/>
      <w:marLeft w:val="0"/>
      <w:marRight w:val="0"/>
      <w:marTop w:val="0"/>
      <w:marBottom w:val="0"/>
      <w:divBdr>
        <w:top w:val="none" w:sz="0" w:space="0" w:color="auto"/>
        <w:left w:val="none" w:sz="0" w:space="0" w:color="auto"/>
        <w:bottom w:val="none" w:sz="0" w:space="0" w:color="auto"/>
        <w:right w:val="none" w:sz="0" w:space="0" w:color="auto"/>
      </w:divBdr>
    </w:div>
    <w:div w:id="1134106026">
      <w:bodyDiv w:val="1"/>
      <w:marLeft w:val="0"/>
      <w:marRight w:val="0"/>
      <w:marTop w:val="0"/>
      <w:marBottom w:val="0"/>
      <w:divBdr>
        <w:top w:val="none" w:sz="0" w:space="0" w:color="auto"/>
        <w:left w:val="none" w:sz="0" w:space="0" w:color="auto"/>
        <w:bottom w:val="none" w:sz="0" w:space="0" w:color="auto"/>
        <w:right w:val="none" w:sz="0" w:space="0" w:color="auto"/>
      </w:divBdr>
    </w:div>
    <w:div w:id="1201816933">
      <w:bodyDiv w:val="1"/>
      <w:marLeft w:val="0"/>
      <w:marRight w:val="0"/>
      <w:marTop w:val="0"/>
      <w:marBottom w:val="0"/>
      <w:divBdr>
        <w:top w:val="none" w:sz="0" w:space="0" w:color="auto"/>
        <w:left w:val="none" w:sz="0" w:space="0" w:color="auto"/>
        <w:bottom w:val="none" w:sz="0" w:space="0" w:color="auto"/>
        <w:right w:val="none" w:sz="0" w:space="0" w:color="auto"/>
      </w:divBdr>
    </w:div>
    <w:div w:id="1231843762">
      <w:bodyDiv w:val="1"/>
      <w:marLeft w:val="0"/>
      <w:marRight w:val="0"/>
      <w:marTop w:val="0"/>
      <w:marBottom w:val="0"/>
      <w:divBdr>
        <w:top w:val="none" w:sz="0" w:space="0" w:color="auto"/>
        <w:left w:val="none" w:sz="0" w:space="0" w:color="auto"/>
        <w:bottom w:val="none" w:sz="0" w:space="0" w:color="auto"/>
        <w:right w:val="none" w:sz="0" w:space="0" w:color="auto"/>
      </w:divBdr>
    </w:div>
    <w:div w:id="1309628583">
      <w:bodyDiv w:val="1"/>
      <w:marLeft w:val="0"/>
      <w:marRight w:val="0"/>
      <w:marTop w:val="0"/>
      <w:marBottom w:val="0"/>
      <w:divBdr>
        <w:top w:val="none" w:sz="0" w:space="0" w:color="auto"/>
        <w:left w:val="none" w:sz="0" w:space="0" w:color="auto"/>
        <w:bottom w:val="none" w:sz="0" w:space="0" w:color="auto"/>
        <w:right w:val="none" w:sz="0" w:space="0" w:color="auto"/>
      </w:divBdr>
    </w:div>
    <w:div w:id="1347290308">
      <w:bodyDiv w:val="1"/>
      <w:marLeft w:val="0"/>
      <w:marRight w:val="0"/>
      <w:marTop w:val="0"/>
      <w:marBottom w:val="0"/>
      <w:divBdr>
        <w:top w:val="none" w:sz="0" w:space="0" w:color="auto"/>
        <w:left w:val="none" w:sz="0" w:space="0" w:color="auto"/>
        <w:bottom w:val="none" w:sz="0" w:space="0" w:color="auto"/>
        <w:right w:val="none" w:sz="0" w:space="0" w:color="auto"/>
      </w:divBdr>
      <w:divsChild>
        <w:div w:id="184057153">
          <w:marLeft w:val="720"/>
          <w:marRight w:val="0"/>
          <w:marTop w:val="0"/>
          <w:marBottom w:val="0"/>
          <w:divBdr>
            <w:top w:val="none" w:sz="0" w:space="0" w:color="auto"/>
            <w:left w:val="none" w:sz="0" w:space="0" w:color="auto"/>
            <w:bottom w:val="none" w:sz="0" w:space="0" w:color="auto"/>
            <w:right w:val="none" w:sz="0" w:space="0" w:color="auto"/>
          </w:divBdr>
        </w:div>
        <w:div w:id="1601253282">
          <w:marLeft w:val="720"/>
          <w:marRight w:val="0"/>
          <w:marTop w:val="0"/>
          <w:marBottom w:val="0"/>
          <w:divBdr>
            <w:top w:val="none" w:sz="0" w:space="0" w:color="auto"/>
            <w:left w:val="none" w:sz="0" w:space="0" w:color="auto"/>
            <w:bottom w:val="none" w:sz="0" w:space="0" w:color="auto"/>
            <w:right w:val="none" w:sz="0" w:space="0" w:color="auto"/>
          </w:divBdr>
        </w:div>
        <w:div w:id="871766480">
          <w:marLeft w:val="720"/>
          <w:marRight w:val="0"/>
          <w:marTop w:val="0"/>
          <w:marBottom w:val="0"/>
          <w:divBdr>
            <w:top w:val="none" w:sz="0" w:space="0" w:color="auto"/>
            <w:left w:val="none" w:sz="0" w:space="0" w:color="auto"/>
            <w:bottom w:val="none" w:sz="0" w:space="0" w:color="auto"/>
            <w:right w:val="none" w:sz="0" w:space="0" w:color="auto"/>
          </w:divBdr>
        </w:div>
        <w:div w:id="646670859">
          <w:marLeft w:val="720"/>
          <w:marRight w:val="0"/>
          <w:marTop w:val="0"/>
          <w:marBottom w:val="0"/>
          <w:divBdr>
            <w:top w:val="none" w:sz="0" w:space="0" w:color="auto"/>
            <w:left w:val="none" w:sz="0" w:space="0" w:color="auto"/>
            <w:bottom w:val="none" w:sz="0" w:space="0" w:color="auto"/>
            <w:right w:val="none" w:sz="0" w:space="0" w:color="auto"/>
          </w:divBdr>
        </w:div>
      </w:divsChild>
    </w:div>
    <w:div w:id="1359046768">
      <w:bodyDiv w:val="1"/>
      <w:marLeft w:val="0"/>
      <w:marRight w:val="0"/>
      <w:marTop w:val="0"/>
      <w:marBottom w:val="0"/>
      <w:divBdr>
        <w:top w:val="none" w:sz="0" w:space="0" w:color="auto"/>
        <w:left w:val="none" w:sz="0" w:space="0" w:color="auto"/>
        <w:bottom w:val="none" w:sz="0" w:space="0" w:color="auto"/>
        <w:right w:val="none" w:sz="0" w:space="0" w:color="auto"/>
      </w:divBdr>
      <w:divsChild>
        <w:div w:id="1800874800">
          <w:marLeft w:val="547"/>
          <w:marRight w:val="0"/>
          <w:marTop w:val="115"/>
          <w:marBottom w:val="0"/>
          <w:divBdr>
            <w:top w:val="none" w:sz="0" w:space="0" w:color="auto"/>
            <w:left w:val="none" w:sz="0" w:space="0" w:color="auto"/>
            <w:bottom w:val="none" w:sz="0" w:space="0" w:color="auto"/>
            <w:right w:val="none" w:sz="0" w:space="0" w:color="auto"/>
          </w:divBdr>
        </w:div>
        <w:div w:id="1781146205">
          <w:marLeft w:val="547"/>
          <w:marRight w:val="0"/>
          <w:marTop w:val="115"/>
          <w:marBottom w:val="0"/>
          <w:divBdr>
            <w:top w:val="none" w:sz="0" w:space="0" w:color="auto"/>
            <w:left w:val="none" w:sz="0" w:space="0" w:color="auto"/>
            <w:bottom w:val="none" w:sz="0" w:space="0" w:color="auto"/>
            <w:right w:val="none" w:sz="0" w:space="0" w:color="auto"/>
          </w:divBdr>
        </w:div>
      </w:divsChild>
    </w:div>
    <w:div w:id="1439376409">
      <w:bodyDiv w:val="1"/>
      <w:marLeft w:val="0"/>
      <w:marRight w:val="0"/>
      <w:marTop w:val="0"/>
      <w:marBottom w:val="0"/>
      <w:divBdr>
        <w:top w:val="none" w:sz="0" w:space="0" w:color="auto"/>
        <w:left w:val="none" w:sz="0" w:space="0" w:color="auto"/>
        <w:bottom w:val="none" w:sz="0" w:space="0" w:color="auto"/>
        <w:right w:val="none" w:sz="0" w:space="0" w:color="auto"/>
      </w:divBdr>
      <w:divsChild>
        <w:div w:id="1162356348">
          <w:marLeft w:val="720"/>
          <w:marRight w:val="0"/>
          <w:marTop w:val="0"/>
          <w:marBottom w:val="0"/>
          <w:divBdr>
            <w:top w:val="none" w:sz="0" w:space="0" w:color="auto"/>
            <w:left w:val="none" w:sz="0" w:space="0" w:color="auto"/>
            <w:bottom w:val="none" w:sz="0" w:space="0" w:color="auto"/>
            <w:right w:val="none" w:sz="0" w:space="0" w:color="auto"/>
          </w:divBdr>
        </w:div>
        <w:div w:id="433477922">
          <w:marLeft w:val="720"/>
          <w:marRight w:val="0"/>
          <w:marTop w:val="0"/>
          <w:marBottom w:val="0"/>
          <w:divBdr>
            <w:top w:val="none" w:sz="0" w:space="0" w:color="auto"/>
            <w:left w:val="none" w:sz="0" w:space="0" w:color="auto"/>
            <w:bottom w:val="none" w:sz="0" w:space="0" w:color="auto"/>
            <w:right w:val="none" w:sz="0" w:space="0" w:color="auto"/>
          </w:divBdr>
        </w:div>
        <w:div w:id="1777484954">
          <w:marLeft w:val="720"/>
          <w:marRight w:val="0"/>
          <w:marTop w:val="0"/>
          <w:marBottom w:val="0"/>
          <w:divBdr>
            <w:top w:val="none" w:sz="0" w:space="0" w:color="auto"/>
            <w:left w:val="none" w:sz="0" w:space="0" w:color="auto"/>
            <w:bottom w:val="none" w:sz="0" w:space="0" w:color="auto"/>
            <w:right w:val="none" w:sz="0" w:space="0" w:color="auto"/>
          </w:divBdr>
        </w:div>
        <w:div w:id="1549340502">
          <w:marLeft w:val="720"/>
          <w:marRight w:val="0"/>
          <w:marTop w:val="0"/>
          <w:marBottom w:val="0"/>
          <w:divBdr>
            <w:top w:val="none" w:sz="0" w:space="0" w:color="auto"/>
            <w:left w:val="none" w:sz="0" w:space="0" w:color="auto"/>
            <w:bottom w:val="none" w:sz="0" w:space="0" w:color="auto"/>
            <w:right w:val="none" w:sz="0" w:space="0" w:color="auto"/>
          </w:divBdr>
        </w:div>
      </w:divsChild>
    </w:div>
    <w:div w:id="1501122409">
      <w:bodyDiv w:val="1"/>
      <w:marLeft w:val="0"/>
      <w:marRight w:val="0"/>
      <w:marTop w:val="0"/>
      <w:marBottom w:val="0"/>
      <w:divBdr>
        <w:top w:val="none" w:sz="0" w:space="0" w:color="auto"/>
        <w:left w:val="none" w:sz="0" w:space="0" w:color="auto"/>
        <w:bottom w:val="none" w:sz="0" w:space="0" w:color="auto"/>
        <w:right w:val="none" w:sz="0" w:space="0" w:color="auto"/>
      </w:divBdr>
    </w:div>
    <w:div w:id="1538009272">
      <w:bodyDiv w:val="1"/>
      <w:marLeft w:val="0"/>
      <w:marRight w:val="0"/>
      <w:marTop w:val="0"/>
      <w:marBottom w:val="0"/>
      <w:divBdr>
        <w:top w:val="none" w:sz="0" w:space="0" w:color="auto"/>
        <w:left w:val="none" w:sz="0" w:space="0" w:color="auto"/>
        <w:bottom w:val="none" w:sz="0" w:space="0" w:color="auto"/>
        <w:right w:val="none" w:sz="0" w:space="0" w:color="auto"/>
      </w:divBdr>
    </w:div>
    <w:div w:id="1570382128">
      <w:bodyDiv w:val="1"/>
      <w:marLeft w:val="0"/>
      <w:marRight w:val="0"/>
      <w:marTop w:val="0"/>
      <w:marBottom w:val="0"/>
      <w:divBdr>
        <w:top w:val="none" w:sz="0" w:space="0" w:color="auto"/>
        <w:left w:val="none" w:sz="0" w:space="0" w:color="auto"/>
        <w:bottom w:val="none" w:sz="0" w:space="0" w:color="auto"/>
        <w:right w:val="none" w:sz="0" w:space="0" w:color="auto"/>
      </w:divBdr>
    </w:div>
    <w:div w:id="1688367475">
      <w:bodyDiv w:val="1"/>
      <w:marLeft w:val="0"/>
      <w:marRight w:val="0"/>
      <w:marTop w:val="0"/>
      <w:marBottom w:val="0"/>
      <w:divBdr>
        <w:top w:val="none" w:sz="0" w:space="0" w:color="auto"/>
        <w:left w:val="none" w:sz="0" w:space="0" w:color="auto"/>
        <w:bottom w:val="none" w:sz="0" w:space="0" w:color="auto"/>
        <w:right w:val="none" w:sz="0" w:space="0" w:color="auto"/>
      </w:divBdr>
    </w:div>
    <w:div w:id="1730154669">
      <w:bodyDiv w:val="1"/>
      <w:marLeft w:val="0"/>
      <w:marRight w:val="0"/>
      <w:marTop w:val="0"/>
      <w:marBottom w:val="0"/>
      <w:divBdr>
        <w:top w:val="none" w:sz="0" w:space="0" w:color="auto"/>
        <w:left w:val="none" w:sz="0" w:space="0" w:color="auto"/>
        <w:bottom w:val="none" w:sz="0" w:space="0" w:color="auto"/>
        <w:right w:val="none" w:sz="0" w:space="0" w:color="auto"/>
      </w:divBdr>
    </w:div>
    <w:div w:id="1857108788">
      <w:bodyDiv w:val="1"/>
      <w:marLeft w:val="0"/>
      <w:marRight w:val="0"/>
      <w:marTop w:val="0"/>
      <w:marBottom w:val="0"/>
      <w:divBdr>
        <w:top w:val="none" w:sz="0" w:space="0" w:color="auto"/>
        <w:left w:val="none" w:sz="0" w:space="0" w:color="auto"/>
        <w:bottom w:val="none" w:sz="0" w:space="0" w:color="auto"/>
        <w:right w:val="none" w:sz="0" w:space="0" w:color="auto"/>
      </w:divBdr>
    </w:div>
    <w:div w:id="1959484964">
      <w:bodyDiv w:val="1"/>
      <w:marLeft w:val="0"/>
      <w:marRight w:val="0"/>
      <w:marTop w:val="0"/>
      <w:marBottom w:val="0"/>
      <w:divBdr>
        <w:top w:val="none" w:sz="0" w:space="0" w:color="auto"/>
        <w:left w:val="none" w:sz="0" w:space="0" w:color="auto"/>
        <w:bottom w:val="none" w:sz="0" w:space="0" w:color="auto"/>
        <w:right w:val="none" w:sz="0" w:space="0" w:color="auto"/>
      </w:divBdr>
    </w:div>
    <w:div w:id="2071493254">
      <w:bodyDiv w:val="1"/>
      <w:marLeft w:val="0"/>
      <w:marRight w:val="0"/>
      <w:marTop w:val="0"/>
      <w:marBottom w:val="0"/>
      <w:divBdr>
        <w:top w:val="none" w:sz="0" w:space="0" w:color="auto"/>
        <w:left w:val="none" w:sz="0" w:space="0" w:color="auto"/>
        <w:bottom w:val="none" w:sz="0" w:space="0" w:color="auto"/>
        <w:right w:val="none" w:sz="0" w:space="0" w:color="auto"/>
      </w:divBdr>
    </w:div>
    <w:div w:id="2083332218">
      <w:bodyDiv w:val="1"/>
      <w:marLeft w:val="0"/>
      <w:marRight w:val="0"/>
      <w:marTop w:val="0"/>
      <w:marBottom w:val="0"/>
      <w:divBdr>
        <w:top w:val="none" w:sz="0" w:space="0" w:color="auto"/>
        <w:left w:val="none" w:sz="0" w:space="0" w:color="auto"/>
        <w:bottom w:val="none" w:sz="0" w:space="0" w:color="auto"/>
        <w:right w:val="none" w:sz="0" w:space="0" w:color="auto"/>
      </w:divBdr>
    </w:div>
    <w:div w:id="21412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1\AppData\Local\Temp\1\MicrosoftEdgeDownloads\923bc9df-5dde-4717-92cd-bf8e72f1484e\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EDUSHARE-305-1492</_dlc_DocId>
    <_dlc_DocIdUrl xmlns="ced1f988-d16c-4eb7-9443-312b8723c36c">
      <Url>https://vaww.infoshare.va.gov/sites/educationservice/225/225A/_layouts/15/DocIdRedir.aspx?ID=EDUSHARE-305-1492</Url>
      <Description>EDUSHARE-305-1492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2ce1bc1f27daccf3c0c8d538eed8ccb7">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578BC249-BBE6-4E98-A5C7-06352690F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D9E5B7-F7CB-4179-847C-50E7040B31B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3</TotalTime>
  <Pages>8</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PL 116-315, Section 1008 Lesson Plan</vt:lpstr>
    </vt:vector>
  </TitlesOfParts>
  <Company>Veterans Benefits Administration</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116-315, Section 1008 Lesson Plan</dc:title>
  <dc:creator>Department of Veterans Affairs, Veterans Benefits Administration, Education Service, STAFF</dc:creator>
  <cp:lastModifiedBy>Kathy Poole</cp:lastModifiedBy>
  <cp:revision>3</cp:revision>
  <dcterms:created xsi:type="dcterms:W3CDTF">2021-06-29T11:13:00Z</dcterms:created>
  <dcterms:modified xsi:type="dcterms:W3CDTF">2021-06-29T19:06:00Z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Teaching Material</vt:lpwstr>
  </property>
</Properties>
</file>