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A094D" w14:textId="38767B2C" w:rsidR="001476FD" w:rsidRPr="006103FF" w:rsidRDefault="00973432" w:rsidP="002A743E">
      <w:pPr>
        <w:jc w:val="center"/>
        <w:rPr>
          <w:b/>
          <w:bCs/>
          <w:sz w:val="32"/>
        </w:rPr>
      </w:pPr>
      <w:bookmarkStart w:id="0" w:name="_GoBack"/>
      <w:bookmarkEnd w:id="0"/>
      <w:r w:rsidRPr="00973432">
        <w:rPr>
          <w:b/>
          <w:bCs/>
          <w:sz w:val="32"/>
        </w:rPr>
        <w:t>Error Trend Analysis Training (DEA and Fry)</w:t>
      </w:r>
      <w:r>
        <w:rPr>
          <w:b/>
          <w:bCs/>
          <w:sz w:val="32"/>
        </w:rPr>
        <w:t xml:space="preserve"> </w:t>
      </w:r>
      <w:r w:rsidR="00460C0D">
        <w:rPr>
          <w:b/>
          <w:bCs/>
          <w:sz w:val="32"/>
        </w:rPr>
        <w:t>List of Changes</w:t>
      </w:r>
    </w:p>
    <w:p w14:paraId="3573A0DF" w14:textId="77777777" w:rsidR="001476FD" w:rsidRDefault="001476FD">
      <w:pPr>
        <w:jc w:val="center"/>
        <w:rPr>
          <w:b/>
          <w:bCs/>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765"/>
        <w:gridCol w:w="765"/>
        <w:gridCol w:w="765"/>
        <w:gridCol w:w="765"/>
        <w:gridCol w:w="1566"/>
      </w:tblGrid>
      <w:tr w:rsidR="001476FD" w14:paraId="1013A366" w14:textId="77777777" w:rsidTr="00FC18DA">
        <w:trPr>
          <w:cantSplit/>
          <w:trHeight w:val="350"/>
        </w:trPr>
        <w:tc>
          <w:tcPr>
            <w:tcW w:w="4230" w:type="dxa"/>
            <w:vMerge w:val="restart"/>
            <w:tcBorders>
              <w:top w:val="nil"/>
              <w:left w:val="nil"/>
              <w:right w:val="nil"/>
            </w:tcBorders>
            <w:vAlign w:val="center"/>
          </w:tcPr>
          <w:p w14:paraId="2FEF52F2" w14:textId="77777777" w:rsidR="001476FD" w:rsidRDefault="001476FD" w:rsidP="00460C0D">
            <w:pPr>
              <w:jc w:val="center"/>
              <w:rPr>
                <w:b/>
                <w:bCs/>
                <w:sz w:val="28"/>
              </w:rPr>
            </w:pPr>
            <w:r>
              <w:rPr>
                <w:b/>
                <w:bCs/>
                <w:sz w:val="28"/>
              </w:rPr>
              <w:t>C</w:t>
            </w:r>
            <w:r w:rsidR="00460C0D">
              <w:rPr>
                <w:b/>
                <w:bCs/>
                <w:sz w:val="28"/>
              </w:rPr>
              <w:t>hange</w:t>
            </w:r>
          </w:p>
        </w:tc>
        <w:tc>
          <w:tcPr>
            <w:tcW w:w="3060" w:type="dxa"/>
            <w:gridSpan w:val="4"/>
            <w:tcBorders>
              <w:top w:val="nil"/>
              <w:left w:val="nil"/>
              <w:bottom w:val="single" w:sz="4" w:space="0" w:color="auto"/>
              <w:right w:val="nil"/>
            </w:tcBorders>
            <w:vAlign w:val="center"/>
          </w:tcPr>
          <w:p w14:paraId="0B4DCFC8" w14:textId="77777777" w:rsidR="001476FD" w:rsidRDefault="001476FD" w:rsidP="00460C0D">
            <w:pPr>
              <w:pStyle w:val="Heading1"/>
            </w:pPr>
            <w:r>
              <w:t>Pages/PPT # affected</w:t>
            </w:r>
          </w:p>
        </w:tc>
        <w:tc>
          <w:tcPr>
            <w:tcW w:w="1566" w:type="dxa"/>
            <w:vMerge w:val="restart"/>
            <w:tcBorders>
              <w:top w:val="nil"/>
              <w:left w:val="nil"/>
              <w:right w:val="nil"/>
            </w:tcBorders>
            <w:vAlign w:val="bottom"/>
          </w:tcPr>
          <w:p w14:paraId="4328D22B" w14:textId="77777777" w:rsidR="001476FD" w:rsidRDefault="001476FD" w:rsidP="00460C0D">
            <w:pPr>
              <w:jc w:val="center"/>
              <w:rPr>
                <w:b/>
                <w:bCs/>
                <w:sz w:val="32"/>
              </w:rPr>
            </w:pPr>
            <w:r w:rsidRPr="00460C0D">
              <w:rPr>
                <w:b/>
                <w:bCs/>
                <w:sz w:val="28"/>
              </w:rPr>
              <w:t xml:space="preserve">Date of </w:t>
            </w:r>
            <w:r w:rsidR="00460C0D" w:rsidRPr="00460C0D">
              <w:rPr>
                <w:b/>
                <w:bCs/>
                <w:sz w:val="28"/>
              </w:rPr>
              <w:t>C</w:t>
            </w:r>
            <w:r w:rsidRPr="00460C0D">
              <w:rPr>
                <w:b/>
                <w:bCs/>
                <w:sz w:val="28"/>
              </w:rPr>
              <w:t>hange</w:t>
            </w:r>
          </w:p>
        </w:tc>
      </w:tr>
      <w:tr w:rsidR="001476FD" w14:paraId="610E7DC8" w14:textId="77777777" w:rsidTr="007B53AB">
        <w:trPr>
          <w:cantSplit/>
          <w:trHeight w:val="350"/>
        </w:trPr>
        <w:tc>
          <w:tcPr>
            <w:tcW w:w="4230" w:type="dxa"/>
            <w:vMerge/>
            <w:tcBorders>
              <w:left w:val="nil"/>
              <w:bottom w:val="single" w:sz="4" w:space="0" w:color="auto"/>
              <w:right w:val="single" w:sz="4" w:space="0" w:color="auto"/>
            </w:tcBorders>
            <w:vAlign w:val="bottom"/>
          </w:tcPr>
          <w:p w14:paraId="5C70497C" w14:textId="77777777" w:rsidR="001476FD" w:rsidRDefault="001476FD">
            <w:pPr>
              <w:jc w:val="center"/>
              <w:rPr>
                <w:b/>
                <w:bCs/>
                <w:sz w:val="28"/>
              </w:rPr>
            </w:pPr>
          </w:p>
        </w:tc>
        <w:tc>
          <w:tcPr>
            <w:tcW w:w="765" w:type="dxa"/>
            <w:tcBorders>
              <w:top w:val="single" w:sz="4" w:space="0" w:color="auto"/>
              <w:left w:val="single" w:sz="4" w:space="0" w:color="auto"/>
              <w:bottom w:val="single" w:sz="4" w:space="0" w:color="auto"/>
              <w:right w:val="single" w:sz="4" w:space="0" w:color="auto"/>
            </w:tcBorders>
            <w:vAlign w:val="bottom"/>
          </w:tcPr>
          <w:p w14:paraId="5ABFF42F" w14:textId="77777777" w:rsidR="001476FD" w:rsidRDefault="001476FD" w:rsidP="007B53AB">
            <w:pPr>
              <w:pStyle w:val="Heading1"/>
            </w:pPr>
            <w:r>
              <w:t>LP</w:t>
            </w:r>
          </w:p>
        </w:tc>
        <w:tc>
          <w:tcPr>
            <w:tcW w:w="765" w:type="dxa"/>
            <w:tcBorders>
              <w:top w:val="single" w:sz="4" w:space="0" w:color="auto"/>
              <w:left w:val="single" w:sz="4" w:space="0" w:color="auto"/>
              <w:bottom w:val="single" w:sz="4" w:space="0" w:color="auto"/>
              <w:right w:val="single" w:sz="4" w:space="0" w:color="auto"/>
            </w:tcBorders>
            <w:vAlign w:val="bottom"/>
          </w:tcPr>
          <w:p w14:paraId="11079C9F" w14:textId="77777777" w:rsidR="001476FD" w:rsidRDefault="001476FD" w:rsidP="007B53AB">
            <w:pPr>
              <w:pStyle w:val="Heading1"/>
            </w:pPr>
            <w:r>
              <w:t>HO</w:t>
            </w:r>
          </w:p>
        </w:tc>
        <w:tc>
          <w:tcPr>
            <w:tcW w:w="765" w:type="dxa"/>
            <w:tcBorders>
              <w:top w:val="single" w:sz="4" w:space="0" w:color="auto"/>
              <w:left w:val="single" w:sz="4" w:space="0" w:color="auto"/>
              <w:bottom w:val="single" w:sz="4" w:space="0" w:color="auto"/>
              <w:right w:val="single" w:sz="4" w:space="0" w:color="auto"/>
            </w:tcBorders>
            <w:vAlign w:val="bottom"/>
          </w:tcPr>
          <w:p w14:paraId="6C1048AA" w14:textId="77777777" w:rsidR="001476FD" w:rsidRDefault="001476FD" w:rsidP="007B53AB">
            <w:pPr>
              <w:pStyle w:val="Heading1"/>
            </w:pPr>
            <w:r>
              <w:t>AK</w:t>
            </w:r>
          </w:p>
        </w:tc>
        <w:tc>
          <w:tcPr>
            <w:tcW w:w="765" w:type="dxa"/>
            <w:tcBorders>
              <w:top w:val="single" w:sz="4" w:space="0" w:color="auto"/>
              <w:left w:val="single" w:sz="4" w:space="0" w:color="auto"/>
              <w:bottom w:val="single" w:sz="4" w:space="0" w:color="auto"/>
              <w:right w:val="single" w:sz="4" w:space="0" w:color="auto"/>
            </w:tcBorders>
            <w:vAlign w:val="bottom"/>
          </w:tcPr>
          <w:p w14:paraId="47C097D8" w14:textId="77777777" w:rsidR="001476FD" w:rsidRDefault="001476FD" w:rsidP="007B53AB">
            <w:pPr>
              <w:pStyle w:val="Heading1"/>
            </w:pPr>
            <w:r>
              <w:t>PPT</w:t>
            </w:r>
          </w:p>
        </w:tc>
        <w:tc>
          <w:tcPr>
            <w:tcW w:w="1566" w:type="dxa"/>
            <w:vMerge/>
            <w:tcBorders>
              <w:left w:val="single" w:sz="4" w:space="0" w:color="auto"/>
              <w:bottom w:val="single" w:sz="4" w:space="0" w:color="auto"/>
              <w:right w:val="nil"/>
            </w:tcBorders>
            <w:vAlign w:val="bottom"/>
          </w:tcPr>
          <w:p w14:paraId="428E1D80" w14:textId="77777777" w:rsidR="001476FD" w:rsidRDefault="001476FD">
            <w:pPr>
              <w:pStyle w:val="Heading1"/>
              <w:rPr>
                <w:b w:val="0"/>
                <w:bCs w:val="0"/>
                <w:sz w:val="32"/>
              </w:rPr>
            </w:pPr>
          </w:p>
        </w:tc>
      </w:tr>
      <w:tr w:rsidR="00F1754E" w14:paraId="01BD73B7" w14:textId="77777777" w:rsidTr="00FC18DA">
        <w:trPr>
          <w:cantSplit/>
        </w:trPr>
        <w:tc>
          <w:tcPr>
            <w:tcW w:w="4230" w:type="dxa"/>
            <w:tcBorders>
              <w:top w:val="single" w:sz="4" w:space="0" w:color="auto"/>
            </w:tcBorders>
          </w:tcPr>
          <w:p w14:paraId="03FC4A09" w14:textId="7E8A36E9" w:rsidR="00F1754E" w:rsidRDefault="00973432" w:rsidP="00460C0D">
            <w:r>
              <w:t>New item</w:t>
            </w:r>
          </w:p>
        </w:tc>
        <w:tc>
          <w:tcPr>
            <w:tcW w:w="765" w:type="dxa"/>
            <w:tcBorders>
              <w:top w:val="single" w:sz="4" w:space="0" w:color="auto"/>
            </w:tcBorders>
          </w:tcPr>
          <w:p w14:paraId="00B0EFB9" w14:textId="17698ADF" w:rsidR="00F1754E" w:rsidRDefault="00973432" w:rsidP="003D708B">
            <w:pPr>
              <w:jc w:val="center"/>
            </w:pPr>
            <w:r>
              <w:t>X</w:t>
            </w:r>
          </w:p>
        </w:tc>
        <w:tc>
          <w:tcPr>
            <w:tcW w:w="765" w:type="dxa"/>
            <w:tcBorders>
              <w:top w:val="single" w:sz="4" w:space="0" w:color="auto"/>
            </w:tcBorders>
          </w:tcPr>
          <w:p w14:paraId="1EE94561" w14:textId="04EEEB7A" w:rsidR="00F1754E" w:rsidRDefault="00F1754E" w:rsidP="003D708B">
            <w:pPr>
              <w:jc w:val="center"/>
            </w:pPr>
          </w:p>
        </w:tc>
        <w:tc>
          <w:tcPr>
            <w:tcW w:w="765" w:type="dxa"/>
            <w:tcBorders>
              <w:top w:val="single" w:sz="4" w:space="0" w:color="auto"/>
            </w:tcBorders>
          </w:tcPr>
          <w:p w14:paraId="7617646A" w14:textId="77777777" w:rsidR="00F1754E" w:rsidRDefault="00F1754E" w:rsidP="003D708B">
            <w:pPr>
              <w:jc w:val="center"/>
            </w:pPr>
          </w:p>
        </w:tc>
        <w:tc>
          <w:tcPr>
            <w:tcW w:w="765" w:type="dxa"/>
            <w:tcBorders>
              <w:top w:val="single" w:sz="4" w:space="0" w:color="auto"/>
            </w:tcBorders>
          </w:tcPr>
          <w:p w14:paraId="7A743B77" w14:textId="47015B29" w:rsidR="00F1754E" w:rsidRDefault="00973432" w:rsidP="003D708B">
            <w:pPr>
              <w:jc w:val="center"/>
            </w:pPr>
            <w:r>
              <w:t>X</w:t>
            </w:r>
          </w:p>
        </w:tc>
        <w:tc>
          <w:tcPr>
            <w:tcW w:w="1566" w:type="dxa"/>
            <w:tcBorders>
              <w:top w:val="single" w:sz="4" w:space="0" w:color="auto"/>
            </w:tcBorders>
          </w:tcPr>
          <w:p w14:paraId="581A3DB0" w14:textId="65241B70" w:rsidR="00F1754E" w:rsidRDefault="00973432" w:rsidP="003D708B">
            <w:pPr>
              <w:jc w:val="center"/>
            </w:pPr>
            <w:r>
              <w:t>9/2018</w:t>
            </w:r>
          </w:p>
        </w:tc>
      </w:tr>
      <w:tr w:rsidR="00F1754E" w14:paraId="5AC06530" w14:textId="77777777" w:rsidTr="00FC18DA">
        <w:trPr>
          <w:cantSplit/>
        </w:trPr>
        <w:tc>
          <w:tcPr>
            <w:tcW w:w="4230" w:type="dxa"/>
            <w:tcBorders>
              <w:top w:val="single" w:sz="4" w:space="0" w:color="auto"/>
              <w:bottom w:val="single" w:sz="4" w:space="0" w:color="auto"/>
            </w:tcBorders>
          </w:tcPr>
          <w:p w14:paraId="5C0CE0BC" w14:textId="77777777" w:rsidR="00F1754E" w:rsidRPr="00A318B6" w:rsidRDefault="00F1754E" w:rsidP="00460C0D">
            <w:pPr>
              <w:pStyle w:val="ListParagraph"/>
              <w:ind w:left="0"/>
            </w:pPr>
          </w:p>
        </w:tc>
        <w:tc>
          <w:tcPr>
            <w:tcW w:w="765" w:type="dxa"/>
            <w:tcBorders>
              <w:top w:val="single" w:sz="4" w:space="0" w:color="auto"/>
              <w:bottom w:val="single" w:sz="4" w:space="0" w:color="auto"/>
            </w:tcBorders>
          </w:tcPr>
          <w:p w14:paraId="75168169" w14:textId="77777777" w:rsidR="00F1754E" w:rsidRDefault="00F1754E" w:rsidP="003D708B">
            <w:pPr>
              <w:jc w:val="center"/>
            </w:pPr>
          </w:p>
        </w:tc>
        <w:tc>
          <w:tcPr>
            <w:tcW w:w="765" w:type="dxa"/>
            <w:tcBorders>
              <w:top w:val="single" w:sz="4" w:space="0" w:color="auto"/>
              <w:bottom w:val="single" w:sz="4" w:space="0" w:color="auto"/>
            </w:tcBorders>
          </w:tcPr>
          <w:p w14:paraId="7B6F8650" w14:textId="77777777" w:rsidR="00F1754E" w:rsidRDefault="00F1754E" w:rsidP="003D708B">
            <w:pPr>
              <w:jc w:val="center"/>
            </w:pPr>
          </w:p>
        </w:tc>
        <w:tc>
          <w:tcPr>
            <w:tcW w:w="765" w:type="dxa"/>
            <w:tcBorders>
              <w:top w:val="single" w:sz="4" w:space="0" w:color="auto"/>
              <w:bottom w:val="single" w:sz="4" w:space="0" w:color="auto"/>
            </w:tcBorders>
          </w:tcPr>
          <w:p w14:paraId="00809DEF" w14:textId="77777777" w:rsidR="00F1754E" w:rsidRDefault="00F1754E" w:rsidP="003D708B">
            <w:pPr>
              <w:jc w:val="center"/>
            </w:pPr>
          </w:p>
        </w:tc>
        <w:tc>
          <w:tcPr>
            <w:tcW w:w="765" w:type="dxa"/>
            <w:tcBorders>
              <w:top w:val="single" w:sz="4" w:space="0" w:color="auto"/>
              <w:bottom w:val="single" w:sz="4" w:space="0" w:color="auto"/>
            </w:tcBorders>
          </w:tcPr>
          <w:p w14:paraId="61377878" w14:textId="77777777" w:rsidR="00F1754E" w:rsidRDefault="00F1754E" w:rsidP="003D708B">
            <w:pPr>
              <w:jc w:val="center"/>
            </w:pPr>
          </w:p>
        </w:tc>
        <w:tc>
          <w:tcPr>
            <w:tcW w:w="1566" w:type="dxa"/>
            <w:tcBorders>
              <w:top w:val="single" w:sz="4" w:space="0" w:color="auto"/>
              <w:bottom w:val="single" w:sz="4" w:space="0" w:color="auto"/>
            </w:tcBorders>
          </w:tcPr>
          <w:p w14:paraId="2815789A" w14:textId="77777777" w:rsidR="00F1754E" w:rsidRDefault="00F1754E" w:rsidP="003D708B">
            <w:pPr>
              <w:jc w:val="center"/>
            </w:pPr>
          </w:p>
        </w:tc>
      </w:tr>
      <w:tr w:rsidR="003B7B62" w14:paraId="3EE15858" w14:textId="77777777" w:rsidTr="00FC18DA">
        <w:trPr>
          <w:cantSplit/>
        </w:trPr>
        <w:tc>
          <w:tcPr>
            <w:tcW w:w="4230" w:type="dxa"/>
            <w:tcBorders>
              <w:top w:val="single" w:sz="4" w:space="0" w:color="auto"/>
              <w:bottom w:val="single" w:sz="4" w:space="0" w:color="auto"/>
            </w:tcBorders>
          </w:tcPr>
          <w:p w14:paraId="21F6D9F3" w14:textId="77777777" w:rsidR="003B7B62" w:rsidRPr="00A318B6" w:rsidRDefault="003B7B62" w:rsidP="00460C0D">
            <w:pPr>
              <w:pStyle w:val="ListParagraph"/>
              <w:ind w:left="0"/>
            </w:pPr>
          </w:p>
        </w:tc>
        <w:tc>
          <w:tcPr>
            <w:tcW w:w="765" w:type="dxa"/>
            <w:tcBorders>
              <w:top w:val="single" w:sz="4" w:space="0" w:color="auto"/>
              <w:bottom w:val="single" w:sz="4" w:space="0" w:color="auto"/>
            </w:tcBorders>
          </w:tcPr>
          <w:p w14:paraId="16140E41" w14:textId="77777777" w:rsidR="003B7B62" w:rsidRDefault="003B7B62" w:rsidP="003D708B">
            <w:pPr>
              <w:jc w:val="center"/>
            </w:pPr>
          </w:p>
        </w:tc>
        <w:tc>
          <w:tcPr>
            <w:tcW w:w="765" w:type="dxa"/>
            <w:tcBorders>
              <w:top w:val="single" w:sz="4" w:space="0" w:color="auto"/>
              <w:bottom w:val="single" w:sz="4" w:space="0" w:color="auto"/>
            </w:tcBorders>
          </w:tcPr>
          <w:p w14:paraId="1A739853" w14:textId="77777777" w:rsidR="003B7B62" w:rsidRDefault="003B7B62" w:rsidP="003D708B">
            <w:pPr>
              <w:jc w:val="center"/>
            </w:pPr>
          </w:p>
        </w:tc>
        <w:tc>
          <w:tcPr>
            <w:tcW w:w="765" w:type="dxa"/>
            <w:tcBorders>
              <w:top w:val="single" w:sz="4" w:space="0" w:color="auto"/>
              <w:bottom w:val="single" w:sz="4" w:space="0" w:color="auto"/>
            </w:tcBorders>
          </w:tcPr>
          <w:p w14:paraId="5FA77148" w14:textId="77777777" w:rsidR="003B7B62" w:rsidRDefault="003B7B62" w:rsidP="003D708B">
            <w:pPr>
              <w:jc w:val="center"/>
            </w:pPr>
          </w:p>
        </w:tc>
        <w:tc>
          <w:tcPr>
            <w:tcW w:w="765" w:type="dxa"/>
            <w:tcBorders>
              <w:top w:val="single" w:sz="4" w:space="0" w:color="auto"/>
              <w:bottom w:val="single" w:sz="4" w:space="0" w:color="auto"/>
            </w:tcBorders>
          </w:tcPr>
          <w:p w14:paraId="35B1BBC9" w14:textId="77777777" w:rsidR="003B7B62" w:rsidRDefault="003B7B62" w:rsidP="003D708B">
            <w:pPr>
              <w:jc w:val="center"/>
            </w:pPr>
          </w:p>
        </w:tc>
        <w:tc>
          <w:tcPr>
            <w:tcW w:w="1566" w:type="dxa"/>
            <w:tcBorders>
              <w:top w:val="single" w:sz="4" w:space="0" w:color="auto"/>
              <w:bottom w:val="single" w:sz="4" w:space="0" w:color="auto"/>
            </w:tcBorders>
          </w:tcPr>
          <w:p w14:paraId="7E7DE5AF" w14:textId="77777777" w:rsidR="003B7B62" w:rsidRDefault="003B7B62" w:rsidP="003D708B">
            <w:pPr>
              <w:jc w:val="center"/>
            </w:pPr>
          </w:p>
        </w:tc>
      </w:tr>
      <w:tr w:rsidR="003B7B62" w14:paraId="2EE5EDCD" w14:textId="77777777" w:rsidTr="00FC18DA">
        <w:trPr>
          <w:cantSplit/>
        </w:trPr>
        <w:tc>
          <w:tcPr>
            <w:tcW w:w="4230" w:type="dxa"/>
            <w:tcBorders>
              <w:top w:val="single" w:sz="4" w:space="0" w:color="auto"/>
              <w:bottom w:val="single" w:sz="4" w:space="0" w:color="auto"/>
            </w:tcBorders>
          </w:tcPr>
          <w:p w14:paraId="660705DA" w14:textId="77777777" w:rsidR="003B7B62" w:rsidRPr="00A318B6" w:rsidRDefault="003B7B62" w:rsidP="00460C0D">
            <w:pPr>
              <w:pStyle w:val="ListParagraph"/>
              <w:ind w:left="0"/>
            </w:pPr>
          </w:p>
        </w:tc>
        <w:tc>
          <w:tcPr>
            <w:tcW w:w="765" w:type="dxa"/>
            <w:tcBorders>
              <w:top w:val="single" w:sz="4" w:space="0" w:color="auto"/>
              <w:bottom w:val="single" w:sz="4" w:space="0" w:color="auto"/>
            </w:tcBorders>
          </w:tcPr>
          <w:p w14:paraId="36786CE3" w14:textId="77777777" w:rsidR="003B7B62" w:rsidRDefault="003B7B62" w:rsidP="003D708B">
            <w:pPr>
              <w:jc w:val="center"/>
            </w:pPr>
          </w:p>
        </w:tc>
        <w:tc>
          <w:tcPr>
            <w:tcW w:w="765" w:type="dxa"/>
            <w:tcBorders>
              <w:top w:val="single" w:sz="4" w:space="0" w:color="auto"/>
              <w:bottom w:val="single" w:sz="4" w:space="0" w:color="auto"/>
            </w:tcBorders>
          </w:tcPr>
          <w:p w14:paraId="44F6217F" w14:textId="77777777" w:rsidR="003B7B62" w:rsidRDefault="003B7B62" w:rsidP="003D708B">
            <w:pPr>
              <w:jc w:val="center"/>
            </w:pPr>
          </w:p>
        </w:tc>
        <w:tc>
          <w:tcPr>
            <w:tcW w:w="765" w:type="dxa"/>
            <w:tcBorders>
              <w:top w:val="single" w:sz="4" w:space="0" w:color="auto"/>
              <w:bottom w:val="single" w:sz="4" w:space="0" w:color="auto"/>
            </w:tcBorders>
          </w:tcPr>
          <w:p w14:paraId="316FE798" w14:textId="77777777" w:rsidR="003B7B62" w:rsidRDefault="003B7B62" w:rsidP="003D708B">
            <w:pPr>
              <w:jc w:val="center"/>
            </w:pPr>
          </w:p>
        </w:tc>
        <w:tc>
          <w:tcPr>
            <w:tcW w:w="765" w:type="dxa"/>
            <w:tcBorders>
              <w:top w:val="single" w:sz="4" w:space="0" w:color="auto"/>
              <w:bottom w:val="single" w:sz="4" w:space="0" w:color="auto"/>
            </w:tcBorders>
          </w:tcPr>
          <w:p w14:paraId="2D147F9F" w14:textId="77777777" w:rsidR="003B7B62" w:rsidRDefault="003B7B62" w:rsidP="003D708B">
            <w:pPr>
              <w:jc w:val="center"/>
            </w:pPr>
          </w:p>
        </w:tc>
        <w:tc>
          <w:tcPr>
            <w:tcW w:w="1566" w:type="dxa"/>
            <w:tcBorders>
              <w:top w:val="single" w:sz="4" w:space="0" w:color="auto"/>
              <w:bottom w:val="single" w:sz="4" w:space="0" w:color="auto"/>
            </w:tcBorders>
          </w:tcPr>
          <w:p w14:paraId="0670C298" w14:textId="77777777" w:rsidR="003B7B62" w:rsidRDefault="003B7B62" w:rsidP="003D708B">
            <w:pPr>
              <w:jc w:val="center"/>
            </w:pPr>
          </w:p>
        </w:tc>
      </w:tr>
      <w:tr w:rsidR="00F1754E" w14:paraId="0AAE0916" w14:textId="77777777" w:rsidTr="00FC18DA">
        <w:trPr>
          <w:cantSplit/>
        </w:trPr>
        <w:tc>
          <w:tcPr>
            <w:tcW w:w="4230" w:type="dxa"/>
            <w:tcBorders>
              <w:top w:val="single" w:sz="4" w:space="0" w:color="auto"/>
            </w:tcBorders>
          </w:tcPr>
          <w:p w14:paraId="45E0AE3C" w14:textId="77777777" w:rsidR="00F1754E" w:rsidRDefault="00F1754E" w:rsidP="00460C0D"/>
        </w:tc>
        <w:tc>
          <w:tcPr>
            <w:tcW w:w="765" w:type="dxa"/>
            <w:tcBorders>
              <w:top w:val="single" w:sz="4" w:space="0" w:color="auto"/>
            </w:tcBorders>
          </w:tcPr>
          <w:p w14:paraId="578908B1" w14:textId="77777777" w:rsidR="00F1754E" w:rsidRDefault="00F1754E" w:rsidP="003D708B">
            <w:pPr>
              <w:jc w:val="center"/>
            </w:pPr>
          </w:p>
        </w:tc>
        <w:tc>
          <w:tcPr>
            <w:tcW w:w="765" w:type="dxa"/>
            <w:tcBorders>
              <w:top w:val="single" w:sz="4" w:space="0" w:color="auto"/>
            </w:tcBorders>
          </w:tcPr>
          <w:p w14:paraId="3F1F406C" w14:textId="77777777" w:rsidR="00F1754E" w:rsidRDefault="00F1754E" w:rsidP="003D708B">
            <w:pPr>
              <w:jc w:val="center"/>
            </w:pPr>
          </w:p>
        </w:tc>
        <w:tc>
          <w:tcPr>
            <w:tcW w:w="765" w:type="dxa"/>
            <w:tcBorders>
              <w:top w:val="single" w:sz="4" w:space="0" w:color="auto"/>
            </w:tcBorders>
          </w:tcPr>
          <w:p w14:paraId="2CF74C12" w14:textId="77777777" w:rsidR="00F1754E" w:rsidRDefault="00F1754E" w:rsidP="003D708B">
            <w:pPr>
              <w:jc w:val="center"/>
            </w:pPr>
          </w:p>
        </w:tc>
        <w:tc>
          <w:tcPr>
            <w:tcW w:w="765" w:type="dxa"/>
            <w:tcBorders>
              <w:top w:val="single" w:sz="4" w:space="0" w:color="auto"/>
            </w:tcBorders>
          </w:tcPr>
          <w:p w14:paraId="262E2A67" w14:textId="77777777" w:rsidR="00F1754E" w:rsidRDefault="00F1754E" w:rsidP="003D708B">
            <w:pPr>
              <w:jc w:val="center"/>
            </w:pPr>
          </w:p>
        </w:tc>
        <w:tc>
          <w:tcPr>
            <w:tcW w:w="1566" w:type="dxa"/>
            <w:tcBorders>
              <w:top w:val="single" w:sz="4" w:space="0" w:color="auto"/>
            </w:tcBorders>
          </w:tcPr>
          <w:p w14:paraId="541D7F6B" w14:textId="77777777" w:rsidR="00F1754E" w:rsidRDefault="00F1754E" w:rsidP="003D708B">
            <w:pPr>
              <w:jc w:val="center"/>
            </w:pPr>
          </w:p>
        </w:tc>
      </w:tr>
    </w:tbl>
    <w:p w14:paraId="519F42F8" w14:textId="77777777" w:rsidR="001476FD" w:rsidRDefault="001476FD">
      <w:pPr>
        <w:jc w:val="center"/>
        <w:rPr>
          <w:b/>
          <w:bCs/>
          <w:sz w:val="32"/>
        </w:rPr>
      </w:pPr>
    </w:p>
    <w:sectPr w:rsidR="001476FD" w:rsidSect="00C11AC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4701B" w14:textId="77777777" w:rsidR="00C76131" w:rsidRDefault="00C76131">
      <w:r>
        <w:separator/>
      </w:r>
    </w:p>
  </w:endnote>
  <w:endnote w:type="continuationSeparator" w:id="0">
    <w:p w14:paraId="1D6EF433" w14:textId="77777777" w:rsidR="00C76131" w:rsidRDefault="00C76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637DD" w14:textId="77777777" w:rsidR="001476FD" w:rsidRDefault="001476FD">
    <w:pPr>
      <w:pStyle w:val="Footer"/>
      <w:jc w:val="right"/>
    </w:pPr>
    <w:r>
      <w:t xml:space="preserve">Page </w:t>
    </w:r>
    <w:r>
      <w:fldChar w:fldCharType="begin"/>
    </w:r>
    <w:r>
      <w:instrText xml:space="preserve"> PAGE </w:instrText>
    </w:r>
    <w:r>
      <w:fldChar w:fldCharType="separate"/>
    </w:r>
    <w:r w:rsidR="003D708B">
      <w:rPr>
        <w:noProof/>
      </w:rPr>
      <w:t>1</w:t>
    </w:r>
    <w:r>
      <w:fldChar w:fldCharType="end"/>
    </w:r>
    <w:r>
      <w:t xml:space="preserve"> of </w:t>
    </w:r>
    <w:r w:rsidR="00C76131">
      <w:rPr>
        <w:noProof/>
      </w:rPr>
      <w:fldChar w:fldCharType="begin"/>
    </w:r>
    <w:r w:rsidR="00C76131">
      <w:rPr>
        <w:noProof/>
      </w:rPr>
      <w:instrText xml:space="preserve"> NUMPAGES </w:instrText>
    </w:r>
    <w:r w:rsidR="00C76131">
      <w:rPr>
        <w:noProof/>
      </w:rPr>
      <w:fldChar w:fldCharType="separate"/>
    </w:r>
    <w:r w:rsidR="003D708B">
      <w:rPr>
        <w:noProof/>
      </w:rPr>
      <w:t>1</w:t>
    </w:r>
    <w:r w:rsidR="00C7613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2FD05" w14:textId="77777777" w:rsidR="00C76131" w:rsidRDefault="00C76131">
      <w:r>
        <w:separator/>
      </w:r>
    </w:p>
  </w:footnote>
  <w:footnote w:type="continuationSeparator" w:id="0">
    <w:p w14:paraId="453EF566" w14:textId="77777777" w:rsidR="00C76131" w:rsidRDefault="00C76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609C3" w14:textId="70BF02FB" w:rsidR="00460C0D" w:rsidRDefault="00861082" w:rsidP="00460C0D">
    <w:pPr>
      <w:pStyle w:val="Header"/>
      <w:jc w:val="center"/>
    </w:pPr>
    <w:r>
      <w:t>Education</w:t>
    </w:r>
    <w:r w:rsidR="001476FD" w:rsidRPr="006103FF">
      <w:t xml:space="preserve"> Service Training Staff Lesson Material List of Changes (LOC):</w:t>
    </w:r>
  </w:p>
  <w:p w14:paraId="536DC659" w14:textId="7E4EAB39" w:rsidR="001476FD" w:rsidRDefault="00973432" w:rsidP="00973432">
    <w:pPr>
      <w:pStyle w:val="Header"/>
      <w:tabs>
        <w:tab w:val="clear" w:pos="4320"/>
        <w:tab w:val="clear" w:pos="8640"/>
      </w:tabs>
      <w:spacing w:after="240"/>
      <w:jc w:val="center"/>
      <w:rPr>
        <w:b/>
        <w:bCs/>
        <w:color w:val="FF0000"/>
      </w:rPr>
    </w:pPr>
    <w:r w:rsidRPr="00973432">
      <w:t>Error Trend Analysis Training (DEA and Fry)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484932"/>
    <w:multiLevelType w:val="hybridMultilevel"/>
    <w:tmpl w:val="961A06C6"/>
    <w:lvl w:ilvl="0" w:tplc="B10CB97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249"/>
    <w:rsid w:val="00076D61"/>
    <w:rsid w:val="0009619E"/>
    <w:rsid w:val="000A07F2"/>
    <w:rsid w:val="000D11FF"/>
    <w:rsid w:val="000E452A"/>
    <w:rsid w:val="000F5ADB"/>
    <w:rsid w:val="001476FD"/>
    <w:rsid w:val="001643C1"/>
    <w:rsid w:val="002A743E"/>
    <w:rsid w:val="002D3ED2"/>
    <w:rsid w:val="002E6A7C"/>
    <w:rsid w:val="003B7B62"/>
    <w:rsid w:val="003D708B"/>
    <w:rsid w:val="00403682"/>
    <w:rsid w:val="004221FE"/>
    <w:rsid w:val="00455903"/>
    <w:rsid w:val="00460C0D"/>
    <w:rsid w:val="004D3F31"/>
    <w:rsid w:val="00506A6C"/>
    <w:rsid w:val="005A3773"/>
    <w:rsid w:val="005A4A26"/>
    <w:rsid w:val="006103FF"/>
    <w:rsid w:val="006D36A9"/>
    <w:rsid w:val="007B53AB"/>
    <w:rsid w:val="00840F8C"/>
    <w:rsid w:val="00861082"/>
    <w:rsid w:val="008626E0"/>
    <w:rsid w:val="00924C87"/>
    <w:rsid w:val="00954894"/>
    <w:rsid w:val="00973432"/>
    <w:rsid w:val="009754CF"/>
    <w:rsid w:val="009D0367"/>
    <w:rsid w:val="00A274C0"/>
    <w:rsid w:val="00A318B6"/>
    <w:rsid w:val="00A41BE8"/>
    <w:rsid w:val="00A57746"/>
    <w:rsid w:val="00AB55EB"/>
    <w:rsid w:val="00B23C09"/>
    <w:rsid w:val="00B92871"/>
    <w:rsid w:val="00C11AC6"/>
    <w:rsid w:val="00C27FF1"/>
    <w:rsid w:val="00C76131"/>
    <w:rsid w:val="00CD6630"/>
    <w:rsid w:val="00D11727"/>
    <w:rsid w:val="00D1783D"/>
    <w:rsid w:val="00D4762E"/>
    <w:rsid w:val="00D55A9A"/>
    <w:rsid w:val="00D77B14"/>
    <w:rsid w:val="00D8509A"/>
    <w:rsid w:val="00D90E78"/>
    <w:rsid w:val="00E0796F"/>
    <w:rsid w:val="00E34598"/>
    <w:rsid w:val="00E8545A"/>
    <w:rsid w:val="00F0184C"/>
    <w:rsid w:val="00F15BD8"/>
    <w:rsid w:val="00F1754E"/>
    <w:rsid w:val="00F21249"/>
    <w:rsid w:val="00F3749C"/>
    <w:rsid w:val="00FC1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FB4A99"/>
  <w15:chartTrackingRefBased/>
  <w15:docId w15:val="{12014723-6696-4A21-9EAA-9025AD7E2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paragraph" w:styleId="Heading4">
    <w:name w:val="heading 4"/>
    <w:basedOn w:val="Normal"/>
    <w:next w:val="Normal"/>
    <w:link w:val="Heading4Char"/>
    <w:uiPriority w:val="9"/>
    <w:semiHidden/>
    <w:unhideWhenUsed/>
    <w:qFormat/>
    <w:rsid w:val="00A318B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NormalWeb">
    <w:name w:val="Normal (Web)"/>
    <w:basedOn w:val="Normal"/>
    <w:uiPriority w:val="99"/>
    <w:semiHidden/>
    <w:unhideWhenUsed/>
    <w:rsid w:val="00455903"/>
    <w:pPr>
      <w:spacing w:before="100" w:beforeAutospacing="1" w:after="100" w:afterAutospacing="1"/>
    </w:pPr>
  </w:style>
  <w:style w:type="paragraph" w:styleId="ListParagraph">
    <w:name w:val="List Paragraph"/>
    <w:basedOn w:val="Normal"/>
    <w:uiPriority w:val="34"/>
    <w:qFormat/>
    <w:rsid w:val="009D0367"/>
    <w:pPr>
      <w:ind w:left="720"/>
      <w:contextualSpacing/>
    </w:pPr>
    <w:rPr>
      <w:color w:val="000000"/>
    </w:rPr>
  </w:style>
  <w:style w:type="character" w:customStyle="1" w:styleId="Heading4Char">
    <w:name w:val="Heading 4 Char"/>
    <w:link w:val="Heading4"/>
    <w:uiPriority w:val="9"/>
    <w:semiHidden/>
    <w:rsid w:val="00A318B6"/>
    <w:rPr>
      <w:rFonts w:ascii="Calibri" w:eastAsia="Times New Roman" w:hAnsi="Calibri" w:cs="Times New Roman"/>
      <w:b/>
      <w:bCs/>
      <w:sz w:val="28"/>
      <w:szCs w:val="28"/>
    </w:rPr>
  </w:style>
  <w:style w:type="paragraph" w:styleId="BalloonText">
    <w:name w:val="Balloon Text"/>
    <w:basedOn w:val="Normal"/>
    <w:link w:val="BalloonTextChar"/>
    <w:uiPriority w:val="99"/>
    <w:semiHidden/>
    <w:unhideWhenUsed/>
    <w:rsid w:val="004D3F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F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233830">
      <w:bodyDiv w:val="1"/>
      <w:marLeft w:val="0"/>
      <w:marRight w:val="0"/>
      <w:marTop w:val="0"/>
      <w:marBottom w:val="0"/>
      <w:divBdr>
        <w:top w:val="none" w:sz="0" w:space="0" w:color="auto"/>
        <w:left w:val="none" w:sz="0" w:space="0" w:color="auto"/>
        <w:bottom w:val="none" w:sz="0" w:space="0" w:color="auto"/>
        <w:right w:val="none" w:sz="0" w:space="0" w:color="auto"/>
      </w:divBdr>
    </w:div>
    <w:div w:id="146246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870C2F-D676-4FBC-8E18-00135486C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FBC2E22-249E-4047-85C1-DC79B8335E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9CBD5D-B376-4EFF-B50B-554658B66A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Words>
  <Characters>148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Error Trend Analysis Training (DEA and Fry) List of Changes</vt:lpstr>
    </vt:vector>
  </TitlesOfParts>
  <Company>Veterans Benefits Administration</Company>
  <LinksUpToDate>false</LinksUpToDate>
  <CharactersWithSpaces>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Error Trend Analysis Training (DEA and Fry) List of Changes</dc:title>
  <dc:subject>VCE, ECM, Education Manager</dc:subject>
  <dc:creator>Department of Veterans Affairs, Veterans Benefits Administration, Education Service, STAFF</dc:creator>
  <cp:keywords/>
  <dc:description>This lesson provides Regional Processing Offices (RPOs) with refresher training on rules and procedures associated with processing certain original Survivors' and Dependents' Educational Assistance (DEA, CH35) and Marine Gunnery Sergeant John David Fry Scholarship (Fry, CH33) claims and is intended to help minimize processing errors and delays.</dc:description>
  <cp:lastModifiedBy>Kathy Poole</cp:lastModifiedBy>
  <cp:revision>4</cp:revision>
  <cp:lastPrinted>2010-04-29T12:29:00Z</cp:lastPrinted>
  <dcterms:created xsi:type="dcterms:W3CDTF">2018-09-12T18:34:00Z</dcterms:created>
  <dcterms:modified xsi:type="dcterms:W3CDTF">2018-09-12T18:37:00Z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List</vt:lpwstr>
  </property>
</Properties>
</file>