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10080" w:type="dxa"/>
        <w:jc w:val="center"/>
        <w:tblLayout w:type="fixed"/>
        <w:tblCellMar>
          <w:left w:w="115" w:type="dxa"/>
          <w:right w:w="115" w:type="dxa"/>
        </w:tblCellMar>
        <w:tblLook w:val="0620" w:firstRow="1" w:lastRow="0" w:firstColumn="0" w:lastColumn="0" w:noHBand="1" w:noVBand="1"/>
      </w:tblPr>
      <w:tblGrid>
        <w:gridCol w:w="4104"/>
        <w:gridCol w:w="5976"/>
      </w:tblGrid>
      <w:tr w:rsidR="007307FF" w14:paraId="342416C3" w14:textId="77777777" w:rsidTr="00EC3E91">
        <w:trPr>
          <w:cantSplit/>
          <w:tblHeader/>
          <w:jc w:val="center"/>
        </w:trPr>
        <w:tc>
          <w:tcPr>
            <w:tcW w:w="4104" w:type="dxa"/>
            <w:tcBorders>
              <w:right w:val="dashSmallGap" w:sz="4" w:space="0" w:color="auto"/>
            </w:tcBorders>
            <w:shd w:val="clear" w:color="auto" w:fill="B8CCE4" w:themeFill="accent1" w:themeFillTint="66"/>
          </w:tcPr>
          <w:p w14:paraId="61FCA77C" w14:textId="77777777" w:rsidR="007307FF" w:rsidRPr="006E54AE" w:rsidRDefault="007307FF" w:rsidP="00EC3E91">
            <w:pPr>
              <w:pStyle w:val="VBAILTTableHeading1"/>
            </w:pPr>
            <w:r>
              <w:t>PowerPoint Slides</w:t>
            </w:r>
          </w:p>
        </w:tc>
        <w:tc>
          <w:tcPr>
            <w:tcW w:w="5976" w:type="dxa"/>
            <w:tcBorders>
              <w:left w:val="dashSmallGap" w:sz="4" w:space="0" w:color="auto"/>
            </w:tcBorders>
            <w:shd w:val="clear" w:color="auto" w:fill="B8CCE4" w:themeFill="accent1" w:themeFillTint="66"/>
          </w:tcPr>
          <w:p w14:paraId="34B2383C" w14:textId="77777777" w:rsidR="007307FF" w:rsidRDefault="007307FF" w:rsidP="00EC3E91">
            <w:pPr>
              <w:pStyle w:val="VBAILTTableHeading1"/>
            </w:pPr>
            <w:r>
              <w:t>Instructor Activities</w:t>
            </w:r>
          </w:p>
        </w:tc>
      </w:tr>
      <w:tr w:rsidR="007307FF" w14:paraId="1502FDF9" w14:textId="77777777" w:rsidTr="00EC3E91">
        <w:trPr>
          <w:cantSplit/>
          <w:jc w:val="center"/>
        </w:trPr>
        <w:tc>
          <w:tcPr>
            <w:tcW w:w="4104" w:type="dxa"/>
            <w:tcBorders>
              <w:right w:val="dashSmallGap" w:sz="4" w:space="0" w:color="auto"/>
            </w:tcBorders>
          </w:tcPr>
          <w:p w14:paraId="33B4F728" w14:textId="2374F56C" w:rsidR="007307FF" w:rsidRPr="00626C3C" w:rsidRDefault="007307FF" w:rsidP="00EC3E91">
            <w:pPr>
              <w:pStyle w:val="VBAILTBody"/>
            </w:pPr>
            <w:r w:rsidRPr="007307FF">
              <w:rPr>
                <w:b/>
                <w:noProof/>
              </w:rPr>
              <w:drawing>
                <wp:inline distT="0" distB="0" distL="0" distR="0" wp14:anchorId="58F80487" wp14:editId="3DD29625">
                  <wp:extent cx="2459990" cy="18567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59990" cy="1856740"/>
                          </a:xfrm>
                          <a:prstGeom prst="rect">
                            <a:avLst/>
                          </a:prstGeom>
                        </pic:spPr>
                      </pic:pic>
                    </a:graphicData>
                  </a:graphic>
                </wp:inline>
              </w:drawing>
            </w:r>
          </w:p>
        </w:tc>
        <w:tc>
          <w:tcPr>
            <w:tcW w:w="5976" w:type="dxa"/>
            <w:tcBorders>
              <w:left w:val="dashSmallGap" w:sz="4" w:space="0" w:color="auto"/>
            </w:tcBorders>
          </w:tcPr>
          <w:p w14:paraId="5B1A50EA" w14:textId="7B2EE1A2" w:rsidR="007307FF" w:rsidRPr="007307FF" w:rsidRDefault="007307FF" w:rsidP="007307FF">
            <w:pPr>
              <w:pStyle w:val="VBAILTBody"/>
            </w:pPr>
            <w:r w:rsidRPr="007307FF">
              <w:t>Welcome to the training module for section 1010 of Public Law (PL) 116-315, the Johnny Isakson and David P. Roe, M.D. Veterans Health Care and Benefits Improvement Act of 2020. </w:t>
            </w:r>
          </w:p>
          <w:p w14:paraId="25C12B6D" w14:textId="0F1D5EA2" w:rsidR="007C1EFD" w:rsidRDefault="007307FF" w:rsidP="007307FF">
            <w:pPr>
              <w:pStyle w:val="VBAILTBody"/>
            </w:pPr>
            <w:r w:rsidRPr="007307FF">
              <w:t>In today’s training, you will learn how to handle the processing of the New TIMS “ATTENDNR” document.</w:t>
            </w:r>
          </w:p>
          <w:p w14:paraId="1F52396A" w14:textId="3FAD0991" w:rsidR="007C1EFD" w:rsidRPr="007307FF" w:rsidRDefault="007C1EFD" w:rsidP="007307FF">
            <w:pPr>
              <w:pStyle w:val="VBAILTBody"/>
            </w:pPr>
            <w:r>
              <w:t>Click Next to continue.</w:t>
            </w:r>
          </w:p>
          <w:p w14:paraId="36527944" w14:textId="2A19C9F3" w:rsidR="007307FF" w:rsidRDefault="007307FF" w:rsidP="008540D9">
            <w:pPr>
              <w:pStyle w:val="VBAILTBody"/>
            </w:pPr>
          </w:p>
        </w:tc>
      </w:tr>
      <w:tr w:rsidR="007307FF" w:rsidRPr="00077BE7" w14:paraId="0FE31FCE" w14:textId="77777777" w:rsidTr="00EC3E91">
        <w:trPr>
          <w:cantSplit/>
          <w:jc w:val="center"/>
        </w:trPr>
        <w:tc>
          <w:tcPr>
            <w:tcW w:w="4104" w:type="dxa"/>
            <w:tcBorders>
              <w:right w:val="dashSmallGap" w:sz="4" w:space="0" w:color="auto"/>
            </w:tcBorders>
          </w:tcPr>
          <w:p w14:paraId="5FC7204E" w14:textId="6C1F52D5" w:rsidR="007307FF" w:rsidRDefault="00DF4EC6" w:rsidP="00EC3E91">
            <w:pPr>
              <w:pStyle w:val="VBAILTBody"/>
            </w:pPr>
            <w:r>
              <w:rPr>
                <w:noProof/>
              </w:rPr>
              <w:drawing>
                <wp:inline distT="0" distB="0" distL="0" distR="0" wp14:anchorId="08B997EA" wp14:editId="53059A16">
                  <wp:extent cx="2459990" cy="1845310"/>
                  <wp:effectExtent l="0" t="0" r="0"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459990" cy="1845310"/>
                          </a:xfrm>
                          <a:prstGeom prst="rect">
                            <a:avLst/>
                          </a:prstGeom>
                        </pic:spPr>
                      </pic:pic>
                    </a:graphicData>
                  </a:graphic>
                </wp:inline>
              </w:drawing>
            </w:r>
          </w:p>
        </w:tc>
        <w:tc>
          <w:tcPr>
            <w:tcW w:w="5976" w:type="dxa"/>
            <w:tcBorders>
              <w:left w:val="dashSmallGap" w:sz="4" w:space="0" w:color="auto"/>
            </w:tcBorders>
          </w:tcPr>
          <w:p w14:paraId="08EF087E" w14:textId="6C54C80E" w:rsidR="007307FF" w:rsidRDefault="007307FF" w:rsidP="007307FF">
            <w:pPr>
              <w:pStyle w:val="VBAILTBody"/>
            </w:pPr>
            <w:r w:rsidRPr="007307FF">
              <w:t xml:space="preserve">At the end of this lesson, you will be able to accurately process ATTENDNR TIMS documents, recognize the accompanying Payment Status in LTS, and generate the “We Need You to Verify Your Enrollment Letter” to be sent to the beneficiary. </w:t>
            </w:r>
          </w:p>
          <w:p w14:paraId="0B8BACC3" w14:textId="086F6912" w:rsidR="007C1EFD" w:rsidRDefault="007C1EFD" w:rsidP="007307FF">
            <w:pPr>
              <w:pStyle w:val="VBAILTBody"/>
            </w:pPr>
          </w:p>
          <w:p w14:paraId="351E7BCE" w14:textId="40DCF433" w:rsidR="007C1EFD" w:rsidRPr="007307FF" w:rsidRDefault="007C1EFD" w:rsidP="007307FF">
            <w:pPr>
              <w:pStyle w:val="VBAILTBody"/>
            </w:pPr>
            <w:r>
              <w:t>Click Next to continue.</w:t>
            </w:r>
          </w:p>
          <w:p w14:paraId="3046316E" w14:textId="0DD03E34" w:rsidR="007307FF" w:rsidRPr="007307FF" w:rsidRDefault="007307FF" w:rsidP="00EC3E91">
            <w:pPr>
              <w:pStyle w:val="VBAILTBody"/>
              <w:rPr>
                <w:rStyle w:val="Strong"/>
                <w:b w:val="0"/>
                <w:bCs w:val="0"/>
              </w:rPr>
            </w:pPr>
          </w:p>
        </w:tc>
      </w:tr>
      <w:tr w:rsidR="007307FF" w:rsidRPr="00077BE7" w14:paraId="448D4488" w14:textId="77777777" w:rsidTr="00EC3E91">
        <w:trPr>
          <w:cantSplit/>
          <w:jc w:val="center"/>
        </w:trPr>
        <w:tc>
          <w:tcPr>
            <w:tcW w:w="4104" w:type="dxa"/>
            <w:tcBorders>
              <w:right w:val="dashSmallGap" w:sz="4" w:space="0" w:color="auto"/>
            </w:tcBorders>
          </w:tcPr>
          <w:p w14:paraId="3CCEAD34" w14:textId="02A36A22" w:rsidR="007307FF" w:rsidRDefault="009F1B59" w:rsidP="00EC3E91">
            <w:pPr>
              <w:pStyle w:val="VBAILTBody"/>
            </w:pPr>
            <w:r>
              <w:rPr>
                <w:noProof/>
              </w:rPr>
              <w:drawing>
                <wp:inline distT="0" distB="0" distL="0" distR="0" wp14:anchorId="522B4F41" wp14:editId="628C443A">
                  <wp:extent cx="2459990" cy="1845310"/>
                  <wp:effectExtent l="0" t="0" r="0" b="254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459990" cy="1845310"/>
                          </a:xfrm>
                          <a:prstGeom prst="rect">
                            <a:avLst/>
                          </a:prstGeom>
                        </pic:spPr>
                      </pic:pic>
                    </a:graphicData>
                  </a:graphic>
                </wp:inline>
              </w:drawing>
            </w:r>
          </w:p>
        </w:tc>
        <w:tc>
          <w:tcPr>
            <w:tcW w:w="5976" w:type="dxa"/>
            <w:tcBorders>
              <w:left w:val="dashSmallGap" w:sz="4" w:space="0" w:color="auto"/>
            </w:tcBorders>
          </w:tcPr>
          <w:p w14:paraId="3BA69F14" w14:textId="77777777" w:rsidR="003D1488" w:rsidRDefault="007307FF" w:rsidP="007307FF">
            <w:pPr>
              <w:pStyle w:val="VBAILTBody"/>
            </w:pPr>
            <w:r w:rsidRPr="007307FF">
              <w:t xml:space="preserve">Before we get started on how to process these documents, let’s discuss what the ATTENDNR </w:t>
            </w:r>
            <w:r w:rsidR="00C578E2">
              <w:t xml:space="preserve">Document </w:t>
            </w:r>
            <w:r w:rsidRPr="007307FF">
              <w:t xml:space="preserve">Type is and when you will see it in a beneficiary’s TIMS file. </w:t>
            </w:r>
          </w:p>
          <w:p w14:paraId="3FBE6CC6" w14:textId="69BE1132" w:rsidR="007307FF" w:rsidRPr="007307FF" w:rsidRDefault="00DF3F96" w:rsidP="007307FF">
            <w:pPr>
              <w:pStyle w:val="VBAILTBody"/>
            </w:pPr>
            <w:r>
              <w:t>Select Step 1 to view the new document type.</w:t>
            </w:r>
          </w:p>
          <w:p w14:paraId="6AC28C4D" w14:textId="6D49B555" w:rsidR="007307FF" w:rsidRPr="007307FF" w:rsidRDefault="007307FF" w:rsidP="00EC3E91">
            <w:pPr>
              <w:pStyle w:val="VBAILTBody"/>
              <w:rPr>
                <w:rStyle w:val="Strong"/>
                <w:b w:val="0"/>
                <w:bCs w:val="0"/>
              </w:rPr>
            </w:pPr>
          </w:p>
        </w:tc>
      </w:tr>
      <w:tr w:rsidR="007B36CB" w:rsidRPr="009F361E" w14:paraId="0F873FAD" w14:textId="77777777" w:rsidTr="00182D4B">
        <w:trPr>
          <w:cantSplit/>
          <w:trHeight w:val="9569"/>
          <w:jc w:val="center"/>
        </w:trPr>
        <w:tc>
          <w:tcPr>
            <w:tcW w:w="4104" w:type="dxa"/>
            <w:tcBorders>
              <w:right w:val="dashSmallGap" w:sz="4" w:space="0" w:color="auto"/>
            </w:tcBorders>
          </w:tcPr>
          <w:p w14:paraId="6522529F" w14:textId="77777777" w:rsidR="007B36CB" w:rsidRDefault="007B36CB" w:rsidP="00EC3E91">
            <w:pPr>
              <w:pStyle w:val="VBAILTBody"/>
            </w:pPr>
            <w:r w:rsidRPr="007307FF">
              <w:rPr>
                <w:b/>
                <w:noProof/>
              </w:rPr>
              <w:lastRenderedPageBreak/>
              <w:drawing>
                <wp:inline distT="0" distB="0" distL="0" distR="0" wp14:anchorId="56229413" wp14:editId="07978402">
                  <wp:extent cx="2459990" cy="18465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59990" cy="1846580"/>
                          </a:xfrm>
                          <a:prstGeom prst="rect">
                            <a:avLst/>
                          </a:prstGeom>
                        </pic:spPr>
                      </pic:pic>
                    </a:graphicData>
                  </a:graphic>
                </wp:inline>
              </w:drawing>
            </w:r>
          </w:p>
          <w:p w14:paraId="51A774B7" w14:textId="77777777" w:rsidR="007B36CB" w:rsidRDefault="007B36CB" w:rsidP="00EC3E91">
            <w:pPr>
              <w:pStyle w:val="VBAILTBody"/>
            </w:pPr>
            <w:r>
              <w:rPr>
                <w:noProof/>
              </w:rPr>
              <w:drawing>
                <wp:inline distT="0" distB="0" distL="0" distR="0" wp14:anchorId="59C8B0C4" wp14:editId="03323256">
                  <wp:extent cx="2459990" cy="1845310"/>
                  <wp:effectExtent l="0" t="0" r="0" b="254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459990" cy="1845310"/>
                          </a:xfrm>
                          <a:prstGeom prst="rect">
                            <a:avLst/>
                          </a:prstGeom>
                        </pic:spPr>
                      </pic:pic>
                    </a:graphicData>
                  </a:graphic>
                </wp:inline>
              </w:drawing>
            </w:r>
          </w:p>
          <w:p w14:paraId="405C464C" w14:textId="203566E0" w:rsidR="007B36CB" w:rsidRDefault="007B36CB" w:rsidP="00EC3E91">
            <w:pPr>
              <w:pStyle w:val="VBAILTBodyStrong"/>
            </w:pPr>
            <w:r w:rsidRPr="007307FF">
              <w:rPr>
                <w:noProof/>
              </w:rPr>
              <w:drawing>
                <wp:inline distT="0" distB="0" distL="0" distR="0" wp14:anchorId="3BB86369" wp14:editId="2BCA8A4A">
                  <wp:extent cx="2459990" cy="1798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9990" cy="1798320"/>
                          </a:xfrm>
                          <a:prstGeom prst="rect">
                            <a:avLst/>
                          </a:prstGeom>
                        </pic:spPr>
                      </pic:pic>
                    </a:graphicData>
                  </a:graphic>
                </wp:inline>
              </w:drawing>
            </w:r>
          </w:p>
        </w:tc>
        <w:tc>
          <w:tcPr>
            <w:tcW w:w="5976" w:type="dxa"/>
            <w:tcBorders>
              <w:left w:val="dashSmallGap" w:sz="4" w:space="0" w:color="auto"/>
              <w:bottom w:val="single" w:sz="4" w:space="0" w:color="auto"/>
            </w:tcBorders>
          </w:tcPr>
          <w:p w14:paraId="2CC9E2DB" w14:textId="341CA8BD" w:rsidR="007B36CB" w:rsidRDefault="007B36CB" w:rsidP="007307FF">
            <w:pPr>
              <w:pStyle w:val="VBAILTBody"/>
            </w:pPr>
            <w:r w:rsidRPr="007307FF">
              <w:t xml:space="preserve">The ATTENDNR </w:t>
            </w:r>
            <w:r>
              <w:t>document</w:t>
            </w:r>
            <w:r w:rsidRPr="007307FF">
              <w:t xml:space="preserve"> </w:t>
            </w:r>
            <w:r>
              <w:t>t</w:t>
            </w:r>
            <w:r w:rsidRPr="007307FF">
              <w:t>ype is a document</w:t>
            </w:r>
            <w:r>
              <w:t xml:space="preserve"> </w:t>
            </w:r>
            <w:r w:rsidRPr="007307FF">
              <w:t>sent to a beneficiary’s TIMS file, creating an active claim token when</w:t>
            </w:r>
            <w:r>
              <w:t xml:space="preserve"> </w:t>
            </w:r>
            <w:r w:rsidRPr="007307FF">
              <w:t xml:space="preserve">a beneficiary is currently enrolled in a term eligible for housing and/or kicker payments but the beneficiary fails to verify their enrollment for two consecutive months. </w:t>
            </w:r>
          </w:p>
          <w:p w14:paraId="29636D06" w14:textId="77777777" w:rsidR="007B36CB" w:rsidRPr="007307FF" w:rsidRDefault="007B36CB" w:rsidP="007307FF">
            <w:pPr>
              <w:pStyle w:val="VBAILTBody"/>
            </w:pPr>
          </w:p>
          <w:p w14:paraId="799DEA2A" w14:textId="77777777" w:rsidR="007B36CB" w:rsidRPr="007307FF" w:rsidRDefault="007B36CB" w:rsidP="007307FF">
            <w:pPr>
              <w:pStyle w:val="VBAILTBody"/>
            </w:pPr>
            <w:r w:rsidRPr="007307FF">
              <w:t>For example</w:t>
            </w:r>
            <w:r>
              <w:t>, i</w:t>
            </w:r>
            <w:r w:rsidRPr="007307FF">
              <w:t xml:space="preserve">f a beneficiary is enrolled in a term which began in August of 2021, </w:t>
            </w:r>
            <w:r>
              <w:t>and</w:t>
            </w:r>
            <w:r w:rsidRPr="007307FF">
              <w:t xml:space="preserve"> they failed to verify their enrollment </w:t>
            </w:r>
            <w:r>
              <w:t>for</w:t>
            </w:r>
            <w:r w:rsidRPr="007307FF">
              <w:t xml:space="preserve"> August and September, an ATTEND</w:t>
            </w:r>
            <w:r>
              <w:t>N</w:t>
            </w:r>
            <w:r w:rsidRPr="007307FF">
              <w:t xml:space="preserve">R document would be sent to the TIMS file </w:t>
            </w:r>
            <w:r>
              <w:t xml:space="preserve">in October, </w:t>
            </w:r>
            <w:r w:rsidRPr="007307FF">
              <w:t xml:space="preserve">the </w:t>
            </w:r>
            <w:r>
              <w:t>month following the second consecutive failed verification of enrollment</w:t>
            </w:r>
            <w:r w:rsidRPr="007307FF">
              <w:t>. In addition</w:t>
            </w:r>
            <w:r>
              <w:t xml:space="preserve"> to the ATTENDNR document being sent</w:t>
            </w:r>
            <w:r w:rsidRPr="007307FF">
              <w:t xml:space="preserve">, any monthly housing allowance and/or kicker payments due for the month of October and beyond </w:t>
            </w:r>
            <w:proofErr w:type="gramStart"/>
            <w:r w:rsidRPr="007307FF">
              <w:t>would be put on</w:t>
            </w:r>
            <w:proofErr w:type="gramEnd"/>
            <w:r w:rsidRPr="007307FF">
              <w:t xml:space="preserve"> hold pending verification of enrollment by the beneficiary.</w:t>
            </w:r>
          </w:p>
          <w:p w14:paraId="3A2D5148" w14:textId="77777777" w:rsidR="007B36CB" w:rsidRPr="009F361E" w:rsidRDefault="007B36CB" w:rsidP="007307FF">
            <w:pPr>
              <w:pStyle w:val="VBAILTBody"/>
              <w:rPr>
                <w:rStyle w:val="Strong"/>
              </w:rPr>
            </w:pPr>
            <w:r w:rsidRPr="007307FF">
              <w:t>Now, let’s take a closer look at the ATTENDNR document.</w:t>
            </w:r>
          </w:p>
          <w:p w14:paraId="77941317" w14:textId="77777777" w:rsidR="007B36CB" w:rsidRDefault="007B36CB" w:rsidP="0056146B">
            <w:pPr>
              <w:pStyle w:val="VBAILTBody"/>
            </w:pPr>
            <w:r w:rsidRPr="0056146B">
              <w:t>Once the ATTENDNR TIMS document has been opened, refer to the benefit type and confirm the pending enrollment verification is for a chapter 33 claim. If the benefit type is for STEM, please route it to the</w:t>
            </w:r>
            <w:r>
              <w:t xml:space="preserve"> STEM BUFFALO</w:t>
            </w:r>
            <w:r w:rsidRPr="0056146B">
              <w:t xml:space="preserve"> queue.</w:t>
            </w:r>
          </w:p>
          <w:p w14:paraId="06AD54B1" w14:textId="77777777" w:rsidR="007B36CB" w:rsidRDefault="007B36CB" w:rsidP="0056146B">
            <w:pPr>
              <w:pStyle w:val="VBAILTBody"/>
            </w:pPr>
          </w:p>
          <w:p w14:paraId="6FE717C1" w14:textId="4296BD2D" w:rsidR="007B36CB" w:rsidRPr="009F361E" w:rsidRDefault="007B36CB" w:rsidP="00EC3E91">
            <w:pPr>
              <w:pStyle w:val="VBAILTBody"/>
              <w:rPr>
                <w:rStyle w:val="Strong"/>
              </w:rPr>
            </w:pPr>
            <w:r>
              <w:rPr>
                <w:rStyle w:val="Strong"/>
                <w:b w:val="0"/>
                <w:bCs w:val="0"/>
              </w:rPr>
              <w:t>Click next, to navigate back to the original screen and move on to Step 2.</w:t>
            </w:r>
          </w:p>
        </w:tc>
      </w:tr>
      <w:tr w:rsidR="007307FF" w:rsidRPr="009F361E" w14:paraId="748DDEDD" w14:textId="77777777" w:rsidTr="00EC3E91">
        <w:trPr>
          <w:cantSplit/>
          <w:jc w:val="center"/>
        </w:trPr>
        <w:tc>
          <w:tcPr>
            <w:tcW w:w="4104" w:type="dxa"/>
            <w:tcBorders>
              <w:right w:val="dashSmallGap" w:sz="4" w:space="0" w:color="auto"/>
            </w:tcBorders>
          </w:tcPr>
          <w:p w14:paraId="15007F2F" w14:textId="77777777" w:rsidR="007307FF" w:rsidRDefault="009F1B59" w:rsidP="00EC3E91">
            <w:pPr>
              <w:pStyle w:val="VBAILTBodyStrong"/>
              <w:rPr>
                <w:noProof/>
              </w:rPr>
            </w:pPr>
            <w:r>
              <w:rPr>
                <w:noProof/>
              </w:rPr>
              <w:lastRenderedPageBreak/>
              <w:drawing>
                <wp:inline distT="0" distB="0" distL="0" distR="0" wp14:anchorId="351BD466" wp14:editId="07B00E3F">
                  <wp:extent cx="2459990" cy="1845310"/>
                  <wp:effectExtent l="0" t="0" r="0" b="254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459990" cy="1845310"/>
                          </a:xfrm>
                          <a:prstGeom prst="rect">
                            <a:avLst/>
                          </a:prstGeom>
                        </pic:spPr>
                      </pic:pic>
                    </a:graphicData>
                  </a:graphic>
                </wp:inline>
              </w:drawing>
            </w:r>
          </w:p>
          <w:p w14:paraId="28E2D1FE" w14:textId="398A76D8" w:rsidR="00E76EE8" w:rsidRDefault="00E76EE8" w:rsidP="00E76EE8">
            <w:pPr>
              <w:rPr>
                <w:rFonts w:ascii="Verdana" w:hAnsi="Verdana"/>
                <w:b/>
                <w:noProof/>
              </w:rPr>
            </w:pPr>
            <w:r>
              <w:rPr>
                <w:noProof/>
              </w:rPr>
              <w:drawing>
                <wp:inline distT="0" distB="0" distL="0" distR="0" wp14:anchorId="0FFE1E8E" wp14:editId="22E6D826">
                  <wp:extent cx="2459990" cy="1845310"/>
                  <wp:effectExtent l="0" t="0" r="0" b="254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459990" cy="1845310"/>
                          </a:xfrm>
                          <a:prstGeom prst="rect">
                            <a:avLst/>
                          </a:prstGeom>
                        </pic:spPr>
                      </pic:pic>
                    </a:graphicData>
                  </a:graphic>
                </wp:inline>
              </w:drawing>
            </w:r>
          </w:p>
          <w:p w14:paraId="22CF4E5B" w14:textId="1B95CD5D" w:rsidR="00E76EE8" w:rsidRPr="00E76EE8" w:rsidRDefault="00E76EE8" w:rsidP="00E76EE8">
            <w:pPr>
              <w:ind w:firstLine="720"/>
            </w:pPr>
          </w:p>
        </w:tc>
        <w:tc>
          <w:tcPr>
            <w:tcW w:w="5976" w:type="dxa"/>
            <w:tcBorders>
              <w:left w:val="dashSmallGap" w:sz="4" w:space="0" w:color="auto"/>
            </w:tcBorders>
          </w:tcPr>
          <w:p w14:paraId="3E9BAE5E" w14:textId="754A35A3" w:rsidR="0056146B" w:rsidRPr="0056146B" w:rsidRDefault="0056146B" w:rsidP="0056146B">
            <w:pPr>
              <w:pStyle w:val="VBAILTBody"/>
            </w:pPr>
            <w:r w:rsidRPr="0056146B">
              <w:t>When an ATTENDNR document is received, it will update the payment status on the Verification of Enrollment screen in LTS. Payments listed under “Unverified Periods” will display a payment status of “Hold Automatic Payment”.</w:t>
            </w:r>
          </w:p>
          <w:p w14:paraId="757D101B" w14:textId="77777777" w:rsidR="0056146B" w:rsidRPr="0056146B" w:rsidRDefault="0056146B" w:rsidP="0056146B">
            <w:pPr>
              <w:pStyle w:val="VBAILTBody"/>
            </w:pPr>
            <w:r w:rsidRPr="0056146B">
              <w:t>As stated earlier, payments are held pending verification of enrollment.</w:t>
            </w:r>
          </w:p>
          <w:p w14:paraId="59DFD258" w14:textId="77777777" w:rsidR="0056146B" w:rsidRPr="0056146B" w:rsidRDefault="0056146B" w:rsidP="0056146B">
            <w:pPr>
              <w:pStyle w:val="VBAILTBody"/>
            </w:pPr>
            <w:r w:rsidRPr="0056146B">
              <w:t> </w:t>
            </w:r>
          </w:p>
          <w:p w14:paraId="7A956197" w14:textId="4A4DAB1D" w:rsidR="0056146B" w:rsidRPr="0056146B" w:rsidRDefault="0056146B" w:rsidP="0056146B">
            <w:pPr>
              <w:pStyle w:val="VBAILTBody"/>
            </w:pPr>
            <w:r w:rsidRPr="0056146B">
              <w:t xml:space="preserve">To view accompanying payment status in LTS, </w:t>
            </w:r>
            <w:r w:rsidR="00705E0A">
              <w:t xml:space="preserve">you must </w:t>
            </w:r>
            <w:r w:rsidRPr="0056146B">
              <w:t xml:space="preserve">navigate to the Verification of Enrollment screen from the </w:t>
            </w:r>
            <w:r w:rsidR="00E060D4" w:rsidRPr="0056146B">
              <w:t>Task list</w:t>
            </w:r>
            <w:r w:rsidRPr="0056146B">
              <w:t>, as it is independent of a work product.</w:t>
            </w:r>
          </w:p>
          <w:p w14:paraId="05FDCC28" w14:textId="1DBAB28E" w:rsidR="007307FF" w:rsidRPr="0056146B" w:rsidRDefault="002E7296" w:rsidP="00EC3E91">
            <w:pPr>
              <w:pStyle w:val="VBAILTBody"/>
              <w:rPr>
                <w:rStyle w:val="Strong"/>
                <w:b w:val="0"/>
                <w:bCs w:val="0"/>
              </w:rPr>
            </w:pPr>
            <w:r>
              <w:rPr>
                <w:rStyle w:val="Strong"/>
                <w:b w:val="0"/>
                <w:bCs w:val="0"/>
              </w:rPr>
              <w:t>Click next, to navigate back to the original screen and move on to Step 3.</w:t>
            </w:r>
          </w:p>
        </w:tc>
      </w:tr>
      <w:tr w:rsidR="007307FF" w:rsidRPr="009F361E" w14:paraId="17E8BB4F" w14:textId="77777777" w:rsidTr="00EC3E91">
        <w:trPr>
          <w:cantSplit/>
          <w:jc w:val="center"/>
        </w:trPr>
        <w:tc>
          <w:tcPr>
            <w:tcW w:w="4104" w:type="dxa"/>
            <w:tcBorders>
              <w:right w:val="dashSmallGap" w:sz="4" w:space="0" w:color="auto"/>
            </w:tcBorders>
          </w:tcPr>
          <w:p w14:paraId="2F9F2F23" w14:textId="666299D4" w:rsidR="007307FF" w:rsidRDefault="0056146B" w:rsidP="00EC3E91">
            <w:pPr>
              <w:pStyle w:val="VBAILTBodyStrong"/>
            </w:pPr>
            <w:r w:rsidRPr="0056146B">
              <w:rPr>
                <w:noProof/>
              </w:rPr>
              <w:lastRenderedPageBreak/>
              <w:drawing>
                <wp:inline distT="0" distB="0" distL="0" distR="0" wp14:anchorId="6FB44B88" wp14:editId="72C2815C">
                  <wp:extent cx="2459990" cy="17748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59990" cy="1774825"/>
                          </a:xfrm>
                          <a:prstGeom prst="rect">
                            <a:avLst/>
                          </a:prstGeom>
                        </pic:spPr>
                      </pic:pic>
                    </a:graphicData>
                  </a:graphic>
                </wp:inline>
              </w:drawing>
            </w:r>
          </w:p>
        </w:tc>
        <w:tc>
          <w:tcPr>
            <w:tcW w:w="5976" w:type="dxa"/>
            <w:tcBorders>
              <w:left w:val="dashSmallGap" w:sz="4" w:space="0" w:color="auto"/>
            </w:tcBorders>
          </w:tcPr>
          <w:p w14:paraId="64C2260B" w14:textId="62D2834D" w:rsidR="005107D9" w:rsidRDefault="0056146B" w:rsidP="0056146B">
            <w:pPr>
              <w:pStyle w:val="VBAILTBody"/>
            </w:pPr>
            <w:r w:rsidRPr="0056146B">
              <w:t>After verifying the ATTENDNR document is for chapter 33 benefits, create and send the “We Need You to Verify Your Enrollment Letter”</w:t>
            </w:r>
            <w:r w:rsidR="00150220">
              <w:t xml:space="preserve"> found in the attachment section of the procedural advisory l</w:t>
            </w:r>
            <w:r w:rsidR="006131B2">
              <w:t xml:space="preserve">ocated in the hyperlink box on the </w:t>
            </w:r>
            <w:r w:rsidR="00656D55">
              <w:t>right</w:t>
            </w:r>
            <w:r w:rsidR="006131B2">
              <w:t xml:space="preserve"> side of the screen.</w:t>
            </w:r>
          </w:p>
          <w:p w14:paraId="099F3C98" w14:textId="3598D143" w:rsidR="00FD1219" w:rsidRDefault="00FD1219" w:rsidP="00FD1219">
            <w:pPr>
              <w:pStyle w:val="VBAILTBody"/>
            </w:pPr>
            <w:r>
              <w:t xml:space="preserve">Capture the letter into TIMS and finish the claim token.  VCEs may be granted excluded time at their supervisor’s discretion for processing ATTENDNR documents when no other </w:t>
            </w:r>
            <w:proofErr w:type="gramStart"/>
            <w:r>
              <w:t>end product</w:t>
            </w:r>
            <w:proofErr w:type="gramEnd"/>
            <w:r>
              <w:t xml:space="preserve"> credit can be claimed. VCEs should coordinate with their immediate supervisor to request excluded time. Supervisors should consider and approve in accordance with local guidelines. </w:t>
            </w:r>
          </w:p>
          <w:p w14:paraId="3CE44652" w14:textId="77777777" w:rsidR="00FD1219" w:rsidRDefault="00FD1219" w:rsidP="00FD1219">
            <w:pPr>
              <w:pStyle w:val="VBAILTBody"/>
            </w:pPr>
          </w:p>
          <w:p w14:paraId="749C9D3F" w14:textId="79F47257" w:rsidR="00291C83" w:rsidRDefault="00FD1219" w:rsidP="00FD1219">
            <w:pPr>
              <w:pStyle w:val="VBAILTBody"/>
            </w:pPr>
            <w:r>
              <w:t>Please note: ATTENDNR documents require no processing actions in LTS.</w:t>
            </w:r>
          </w:p>
          <w:p w14:paraId="19A3ED1B" w14:textId="386DD338" w:rsidR="00291C83" w:rsidRPr="0056146B" w:rsidRDefault="00291C83" w:rsidP="00FD1219">
            <w:pPr>
              <w:pStyle w:val="VBAILTBody"/>
            </w:pPr>
            <w:r>
              <w:t>Click Next to continue.</w:t>
            </w:r>
          </w:p>
          <w:p w14:paraId="08E01741" w14:textId="77777777" w:rsidR="007307FF" w:rsidRPr="0056146B" w:rsidRDefault="007307FF" w:rsidP="00EC3E91">
            <w:pPr>
              <w:pStyle w:val="VBAILTBody"/>
              <w:rPr>
                <w:rStyle w:val="Strong"/>
                <w:b w:val="0"/>
                <w:bCs w:val="0"/>
              </w:rPr>
            </w:pPr>
          </w:p>
        </w:tc>
      </w:tr>
      <w:tr w:rsidR="007307FF" w:rsidRPr="009F361E" w14:paraId="2AE93F42" w14:textId="77777777" w:rsidTr="00EC3E91">
        <w:trPr>
          <w:cantSplit/>
          <w:jc w:val="center"/>
        </w:trPr>
        <w:tc>
          <w:tcPr>
            <w:tcW w:w="4104" w:type="dxa"/>
            <w:tcBorders>
              <w:right w:val="dashSmallGap" w:sz="4" w:space="0" w:color="auto"/>
            </w:tcBorders>
          </w:tcPr>
          <w:p w14:paraId="155A02A2" w14:textId="262C15E3" w:rsidR="007307FF" w:rsidRDefault="0056146B" w:rsidP="00EC3E91">
            <w:pPr>
              <w:pStyle w:val="VBAILTBodyStrong"/>
            </w:pPr>
            <w:r w:rsidRPr="0056146B">
              <w:rPr>
                <w:noProof/>
              </w:rPr>
              <w:drawing>
                <wp:inline distT="0" distB="0" distL="0" distR="0" wp14:anchorId="045060BD" wp14:editId="1A9BD9C6">
                  <wp:extent cx="2459990" cy="18313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59990" cy="1831340"/>
                          </a:xfrm>
                          <a:prstGeom prst="rect">
                            <a:avLst/>
                          </a:prstGeom>
                        </pic:spPr>
                      </pic:pic>
                    </a:graphicData>
                  </a:graphic>
                </wp:inline>
              </w:drawing>
            </w:r>
          </w:p>
        </w:tc>
        <w:tc>
          <w:tcPr>
            <w:tcW w:w="5976" w:type="dxa"/>
            <w:tcBorders>
              <w:left w:val="dashSmallGap" w:sz="4" w:space="0" w:color="auto"/>
            </w:tcBorders>
          </w:tcPr>
          <w:p w14:paraId="177E9490" w14:textId="2A535C25" w:rsidR="0056146B" w:rsidRDefault="0056146B" w:rsidP="0056146B">
            <w:pPr>
              <w:pStyle w:val="VBAILTBody"/>
            </w:pPr>
            <w:r w:rsidRPr="0056146B">
              <w:t xml:space="preserve">Here are the references used in today’s presentation. </w:t>
            </w:r>
          </w:p>
          <w:p w14:paraId="5B02B136" w14:textId="2A0EED66" w:rsidR="00DB7C41" w:rsidRPr="0056146B" w:rsidRDefault="00DB7C41" w:rsidP="0056146B">
            <w:pPr>
              <w:pStyle w:val="VBAILTBody"/>
            </w:pPr>
            <w:r>
              <w:t>Click Next to continue.</w:t>
            </w:r>
          </w:p>
          <w:p w14:paraId="3923BBD2" w14:textId="77777777" w:rsidR="007307FF" w:rsidRPr="0056146B" w:rsidRDefault="007307FF" w:rsidP="00EC3E91">
            <w:pPr>
              <w:pStyle w:val="VBAILTBody"/>
              <w:rPr>
                <w:rStyle w:val="Strong"/>
                <w:b w:val="0"/>
                <w:bCs w:val="0"/>
              </w:rPr>
            </w:pPr>
          </w:p>
        </w:tc>
      </w:tr>
      <w:tr w:rsidR="007307FF" w:rsidRPr="009F361E" w14:paraId="7692F3E4" w14:textId="77777777" w:rsidTr="00EC3E91">
        <w:trPr>
          <w:cantSplit/>
          <w:jc w:val="center"/>
        </w:trPr>
        <w:tc>
          <w:tcPr>
            <w:tcW w:w="4104" w:type="dxa"/>
            <w:tcBorders>
              <w:right w:val="dashSmallGap" w:sz="4" w:space="0" w:color="auto"/>
            </w:tcBorders>
          </w:tcPr>
          <w:p w14:paraId="4F5C742D" w14:textId="53D7FFEB" w:rsidR="007307FF" w:rsidRDefault="0056146B" w:rsidP="00EC3E91">
            <w:pPr>
              <w:pStyle w:val="VBAILTBodyStrong"/>
            </w:pPr>
            <w:r w:rsidRPr="0056146B">
              <w:rPr>
                <w:noProof/>
              </w:rPr>
              <w:lastRenderedPageBreak/>
              <w:drawing>
                <wp:inline distT="0" distB="0" distL="0" distR="0" wp14:anchorId="2081B496" wp14:editId="2AF9ACA5">
                  <wp:extent cx="2459990" cy="18300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59990" cy="1830070"/>
                          </a:xfrm>
                          <a:prstGeom prst="rect">
                            <a:avLst/>
                          </a:prstGeom>
                        </pic:spPr>
                      </pic:pic>
                    </a:graphicData>
                  </a:graphic>
                </wp:inline>
              </w:drawing>
            </w:r>
          </w:p>
        </w:tc>
        <w:tc>
          <w:tcPr>
            <w:tcW w:w="5976" w:type="dxa"/>
            <w:tcBorders>
              <w:left w:val="dashSmallGap" w:sz="4" w:space="0" w:color="auto"/>
            </w:tcBorders>
          </w:tcPr>
          <w:p w14:paraId="043612FE" w14:textId="3A3DA3B4" w:rsidR="0056146B" w:rsidRDefault="0056146B" w:rsidP="0056146B">
            <w:pPr>
              <w:pStyle w:val="VBAILTBody"/>
            </w:pPr>
            <w:r w:rsidRPr="0056146B">
              <w:t>After completing today's lesson, you are now able to accurately process ATTENDNR TIMS documents, recognize the accompanying Payment Status in LTS, and generate the “We Need You to Verify Your Enrollment Letter” to be sent to the beneficiary.</w:t>
            </w:r>
          </w:p>
          <w:p w14:paraId="5C7AB0F1" w14:textId="69E2E930" w:rsidR="00F60B55" w:rsidRDefault="00F60B55" w:rsidP="0056146B">
            <w:pPr>
              <w:pStyle w:val="VBAILTBody"/>
            </w:pPr>
          </w:p>
          <w:p w14:paraId="4118B5E5" w14:textId="3BFB19A4" w:rsidR="00F60B55" w:rsidRPr="0056146B" w:rsidRDefault="00F60B55" w:rsidP="0056146B">
            <w:pPr>
              <w:pStyle w:val="VBAILTBody"/>
            </w:pPr>
            <w:r>
              <w:t xml:space="preserve">Click Next to </w:t>
            </w:r>
            <w:r w:rsidR="00CD6B17">
              <w:t>continue</w:t>
            </w:r>
          </w:p>
          <w:p w14:paraId="28E1B96B" w14:textId="77777777" w:rsidR="007307FF" w:rsidRPr="0056146B" w:rsidRDefault="007307FF" w:rsidP="00EC3E91">
            <w:pPr>
              <w:pStyle w:val="VBAILTBody"/>
              <w:rPr>
                <w:rStyle w:val="Strong"/>
                <w:b w:val="0"/>
                <w:bCs w:val="0"/>
              </w:rPr>
            </w:pPr>
          </w:p>
        </w:tc>
      </w:tr>
      <w:tr w:rsidR="0056146B" w:rsidRPr="009F361E" w14:paraId="219297D9" w14:textId="77777777" w:rsidTr="00EC3E91">
        <w:trPr>
          <w:cantSplit/>
          <w:jc w:val="center"/>
        </w:trPr>
        <w:tc>
          <w:tcPr>
            <w:tcW w:w="4104" w:type="dxa"/>
            <w:tcBorders>
              <w:right w:val="dashSmallGap" w:sz="4" w:space="0" w:color="auto"/>
            </w:tcBorders>
          </w:tcPr>
          <w:p w14:paraId="59AD60D3" w14:textId="1E298016" w:rsidR="0056146B" w:rsidRDefault="0056146B" w:rsidP="00EC3E91">
            <w:pPr>
              <w:pStyle w:val="VBAILTBodyStrong"/>
            </w:pPr>
            <w:r w:rsidRPr="0056146B">
              <w:rPr>
                <w:noProof/>
              </w:rPr>
              <w:drawing>
                <wp:inline distT="0" distB="0" distL="0" distR="0" wp14:anchorId="39238B02" wp14:editId="23989C5A">
                  <wp:extent cx="2459990" cy="18072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59990" cy="1807210"/>
                          </a:xfrm>
                          <a:prstGeom prst="rect">
                            <a:avLst/>
                          </a:prstGeom>
                        </pic:spPr>
                      </pic:pic>
                    </a:graphicData>
                  </a:graphic>
                </wp:inline>
              </w:drawing>
            </w:r>
          </w:p>
        </w:tc>
        <w:tc>
          <w:tcPr>
            <w:tcW w:w="5976" w:type="dxa"/>
            <w:tcBorders>
              <w:left w:val="dashSmallGap" w:sz="4" w:space="0" w:color="auto"/>
            </w:tcBorders>
          </w:tcPr>
          <w:p w14:paraId="5939379C" w14:textId="223AFF14" w:rsidR="0056146B" w:rsidRPr="0056146B" w:rsidRDefault="0056146B" w:rsidP="0056146B">
            <w:pPr>
              <w:pStyle w:val="VBAILTBody"/>
            </w:pPr>
            <w:r w:rsidRPr="0056146B">
              <w:t>This concludes our training on P</w:t>
            </w:r>
            <w:r w:rsidR="00EE6066">
              <w:t xml:space="preserve">ublic </w:t>
            </w:r>
            <w:r w:rsidRPr="0056146B">
              <w:t>L</w:t>
            </w:r>
            <w:r w:rsidR="00EE6066">
              <w:t>aw</w:t>
            </w:r>
            <w:r w:rsidRPr="0056146B">
              <w:t xml:space="preserve"> 116-315, Section 1010 ATTENDNR document processing.  This training will be followed by an assessment and survey in TMS.  </w:t>
            </w:r>
          </w:p>
          <w:p w14:paraId="03175309" w14:textId="77777777" w:rsidR="0056146B" w:rsidRPr="0056146B" w:rsidRDefault="0056146B" w:rsidP="0056146B">
            <w:pPr>
              <w:pStyle w:val="VBAILTBody"/>
            </w:pPr>
            <w:r w:rsidRPr="0056146B">
              <w:t>The assessment will be based on the information you were provided today.</w:t>
            </w:r>
          </w:p>
          <w:p w14:paraId="30D9414F" w14:textId="77777777" w:rsidR="0056146B" w:rsidRPr="0056146B" w:rsidRDefault="0056146B" w:rsidP="0056146B">
            <w:pPr>
              <w:pStyle w:val="VBAILTBody"/>
            </w:pPr>
            <w:r w:rsidRPr="0056146B">
              <w:t>You should be able to complete the assessment, and the survey within one half hour.</w:t>
            </w:r>
          </w:p>
          <w:p w14:paraId="19AB40A8" w14:textId="2AC6A93C" w:rsidR="0056146B" w:rsidRDefault="0056146B" w:rsidP="0056146B">
            <w:pPr>
              <w:pStyle w:val="VBAILTBody"/>
            </w:pPr>
            <w:r w:rsidRPr="0056146B">
              <w:t>Be sure to complete the assessment and survey in TMS to receive credit for this training.</w:t>
            </w:r>
          </w:p>
          <w:p w14:paraId="2257258F" w14:textId="0448B2B9" w:rsidR="006C2608" w:rsidRDefault="006C2608" w:rsidP="0056146B">
            <w:pPr>
              <w:pStyle w:val="VBAILTBody"/>
            </w:pPr>
          </w:p>
          <w:p w14:paraId="73FD1987" w14:textId="022E1927" w:rsidR="006C2608" w:rsidRPr="0056146B" w:rsidRDefault="006C2608" w:rsidP="0056146B">
            <w:pPr>
              <w:pStyle w:val="VBAILTBody"/>
            </w:pPr>
            <w:r>
              <w:t>Click Next to continue.</w:t>
            </w:r>
          </w:p>
          <w:p w14:paraId="6B687663" w14:textId="77777777" w:rsidR="0056146B" w:rsidRPr="0056146B" w:rsidRDefault="0056146B" w:rsidP="00EC3E91">
            <w:pPr>
              <w:pStyle w:val="VBAILTBody"/>
              <w:rPr>
                <w:rStyle w:val="Strong"/>
                <w:b w:val="0"/>
                <w:bCs w:val="0"/>
              </w:rPr>
            </w:pPr>
          </w:p>
        </w:tc>
      </w:tr>
      <w:tr w:rsidR="0056146B" w:rsidRPr="009F361E" w14:paraId="2E5B416B" w14:textId="77777777" w:rsidTr="00EC3E91">
        <w:trPr>
          <w:cantSplit/>
          <w:jc w:val="center"/>
        </w:trPr>
        <w:tc>
          <w:tcPr>
            <w:tcW w:w="4104" w:type="dxa"/>
            <w:tcBorders>
              <w:right w:val="dashSmallGap" w:sz="4" w:space="0" w:color="auto"/>
            </w:tcBorders>
          </w:tcPr>
          <w:p w14:paraId="2DD555B0" w14:textId="74CD1D3E" w:rsidR="0056146B" w:rsidRDefault="0056146B" w:rsidP="00EC3E91">
            <w:pPr>
              <w:pStyle w:val="VBAILTBodyStrong"/>
            </w:pPr>
            <w:r w:rsidRPr="0056146B">
              <w:rPr>
                <w:noProof/>
              </w:rPr>
              <w:drawing>
                <wp:inline distT="0" distB="0" distL="0" distR="0" wp14:anchorId="7BE7C017" wp14:editId="04C13A34">
                  <wp:extent cx="2459990" cy="18167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59990" cy="1816735"/>
                          </a:xfrm>
                          <a:prstGeom prst="rect">
                            <a:avLst/>
                          </a:prstGeom>
                        </pic:spPr>
                      </pic:pic>
                    </a:graphicData>
                  </a:graphic>
                </wp:inline>
              </w:drawing>
            </w:r>
          </w:p>
        </w:tc>
        <w:tc>
          <w:tcPr>
            <w:tcW w:w="5976" w:type="dxa"/>
            <w:tcBorders>
              <w:left w:val="dashSmallGap" w:sz="4" w:space="0" w:color="auto"/>
            </w:tcBorders>
          </w:tcPr>
          <w:p w14:paraId="4AC3EE3A" w14:textId="3D87A19E" w:rsidR="0056146B" w:rsidRDefault="0056146B" w:rsidP="0056146B">
            <w:pPr>
              <w:pStyle w:val="VBAILTBody"/>
            </w:pPr>
            <w:r w:rsidRPr="0056146B">
              <w:t>If there are any additional questions or scenarios requiring further guidance, follow local procedures for submitting an inquiry to the National Training Team- Processing.</w:t>
            </w:r>
          </w:p>
          <w:p w14:paraId="51A5D1C1" w14:textId="61208DCA" w:rsidR="006C2608" w:rsidRPr="0056146B" w:rsidRDefault="006C2608" w:rsidP="0056146B">
            <w:pPr>
              <w:pStyle w:val="VBAILTBody"/>
            </w:pPr>
            <w:r>
              <w:t xml:space="preserve">Click Exit, </w:t>
            </w:r>
            <w:r w:rsidR="001B4D4C">
              <w:t>to complete this training.</w:t>
            </w:r>
          </w:p>
          <w:p w14:paraId="6C450199" w14:textId="77777777" w:rsidR="0056146B" w:rsidRPr="0056146B" w:rsidRDefault="0056146B" w:rsidP="00EC3E91">
            <w:pPr>
              <w:pStyle w:val="VBAILTBody"/>
              <w:rPr>
                <w:rStyle w:val="Strong"/>
                <w:b w:val="0"/>
                <w:bCs w:val="0"/>
              </w:rPr>
            </w:pPr>
          </w:p>
        </w:tc>
      </w:tr>
    </w:tbl>
    <w:p w14:paraId="52704A12" w14:textId="77777777" w:rsidR="007E6341" w:rsidRDefault="007E6341"/>
    <w:sectPr w:rsidR="007E6341">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7307FF"/>
    <w:rsid w:val="000C01DC"/>
    <w:rsid w:val="000C6FC1"/>
    <w:rsid w:val="0011669B"/>
    <w:rsid w:val="00124020"/>
    <w:rsid w:val="00150220"/>
    <w:rsid w:val="00172488"/>
    <w:rsid w:val="001B4D4C"/>
    <w:rsid w:val="00291C83"/>
    <w:rsid w:val="002B7640"/>
    <w:rsid w:val="002E7296"/>
    <w:rsid w:val="00395B28"/>
    <w:rsid w:val="00397A43"/>
    <w:rsid w:val="003D1488"/>
    <w:rsid w:val="00436520"/>
    <w:rsid w:val="004448AD"/>
    <w:rsid w:val="00463979"/>
    <w:rsid w:val="00490EDB"/>
    <w:rsid w:val="004C709D"/>
    <w:rsid w:val="005107D9"/>
    <w:rsid w:val="0056146B"/>
    <w:rsid w:val="00593AC9"/>
    <w:rsid w:val="005C5F3E"/>
    <w:rsid w:val="005D31DB"/>
    <w:rsid w:val="006131B2"/>
    <w:rsid w:val="00656D55"/>
    <w:rsid w:val="006A5A3B"/>
    <w:rsid w:val="006C2608"/>
    <w:rsid w:val="006C3353"/>
    <w:rsid w:val="006F6964"/>
    <w:rsid w:val="00705E0A"/>
    <w:rsid w:val="007307FF"/>
    <w:rsid w:val="007811D1"/>
    <w:rsid w:val="007B36CB"/>
    <w:rsid w:val="007C1EFD"/>
    <w:rsid w:val="007E6341"/>
    <w:rsid w:val="00852B05"/>
    <w:rsid w:val="008540D9"/>
    <w:rsid w:val="008A2D3B"/>
    <w:rsid w:val="008A7094"/>
    <w:rsid w:val="008D23BB"/>
    <w:rsid w:val="00925206"/>
    <w:rsid w:val="00993945"/>
    <w:rsid w:val="009B1E12"/>
    <w:rsid w:val="009D5149"/>
    <w:rsid w:val="009F1B59"/>
    <w:rsid w:val="00A72F9C"/>
    <w:rsid w:val="00B03DD4"/>
    <w:rsid w:val="00B43CDD"/>
    <w:rsid w:val="00B62533"/>
    <w:rsid w:val="00B80C7D"/>
    <w:rsid w:val="00B97351"/>
    <w:rsid w:val="00C17904"/>
    <w:rsid w:val="00C24D27"/>
    <w:rsid w:val="00C56929"/>
    <w:rsid w:val="00C578E2"/>
    <w:rsid w:val="00CD6B17"/>
    <w:rsid w:val="00D32DF1"/>
    <w:rsid w:val="00D43F1A"/>
    <w:rsid w:val="00D904CC"/>
    <w:rsid w:val="00DB7C41"/>
    <w:rsid w:val="00DF3F96"/>
    <w:rsid w:val="00DF4EC6"/>
    <w:rsid w:val="00E060D4"/>
    <w:rsid w:val="00E26CB4"/>
    <w:rsid w:val="00E35716"/>
    <w:rsid w:val="00E76EE8"/>
    <w:rsid w:val="00E8683B"/>
    <w:rsid w:val="00EC3E91"/>
    <w:rsid w:val="00EE6066"/>
    <w:rsid w:val="00EF6651"/>
    <w:rsid w:val="00F60B55"/>
    <w:rsid w:val="00FD1219"/>
    <w:rsid w:val="00FE1B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E986A"/>
  <w15:docId w15:val="{5823426D-A798-432B-A4BD-7B234D8B4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07FF"/>
    <w:pPr>
      <w:spacing w:after="160" w:line="259" w:lineRule="auto"/>
    </w:pPr>
    <w:rPr>
      <w:rFonts w:asciiTheme="minorHAnsi" w:eastAsiaTheme="minorHAnsi" w:hAnsiTheme="minorHAnsi" w:cstheme="min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VBAILTBody">
    <w:name w:val="VBAILT Body"/>
    <w:qFormat/>
    <w:rsid w:val="007307FF"/>
    <w:pPr>
      <w:spacing w:before="120" w:after="120" w:line="276" w:lineRule="auto"/>
    </w:pPr>
    <w:rPr>
      <w:rFonts w:ascii="Verdana" w:eastAsiaTheme="minorHAnsi" w:hAnsi="Verdana" w:cstheme="minorBidi"/>
      <w:sz w:val="22"/>
      <w:szCs w:val="22"/>
    </w:rPr>
  </w:style>
  <w:style w:type="paragraph" w:customStyle="1" w:styleId="VBAILTBodyStrong">
    <w:name w:val="VBAILT Body Strong"/>
    <w:basedOn w:val="VBAILTBody"/>
    <w:qFormat/>
    <w:rsid w:val="007307FF"/>
    <w:rPr>
      <w:b/>
    </w:rPr>
  </w:style>
  <w:style w:type="table" w:styleId="TableGrid">
    <w:name w:val="Table Grid"/>
    <w:basedOn w:val="TableNormal"/>
    <w:uiPriority w:val="39"/>
    <w:rsid w:val="007307F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BAILTTableHeading1">
    <w:name w:val="VBAILT Table Heading 1"/>
    <w:basedOn w:val="VBAILTBody"/>
    <w:next w:val="VBAILTBody"/>
    <w:qFormat/>
    <w:rsid w:val="007307FF"/>
    <w:pPr>
      <w:spacing w:line="240" w:lineRule="auto"/>
    </w:pPr>
    <w:rPr>
      <w:b/>
      <w:sz w:val="24"/>
      <w:szCs w:val="24"/>
    </w:rPr>
  </w:style>
  <w:style w:type="character" w:styleId="Strong">
    <w:name w:val="Strong"/>
    <w:basedOn w:val="DefaultParagraphFont"/>
    <w:uiPriority w:val="22"/>
    <w:qFormat/>
    <w:rsid w:val="007307FF"/>
    <w:rPr>
      <w:b/>
      <w:bCs/>
    </w:rPr>
  </w:style>
  <w:style w:type="paragraph" w:styleId="NormalWeb">
    <w:name w:val="Normal (Web)"/>
    <w:basedOn w:val="Normal"/>
    <w:uiPriority w:val="99"/>
    <w:semiHidden/>
    <w:unhideWhenUsed/>
    <w:rsid w:val="007307FF"/>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C5F3E"/>
    <w:rPr>
      <w:sz w:val="16"/>
      <w:szCs w:val="16"/>
    </w:rPr>
  </w:style>
  <w:style w:type="paragraph" w:styleId="CommentText">
    <w:name w:val="annotation text"/>
    <w:basedOn w:val="Normal"/>
    <w:link w:val="CommentTextChar"/>
    <w:uiPriority w:val="99"/>
    <w:semiHidden/>
    <w:unhideWhenUsed/>
    <w:rsid w:val="005C5F3E"/>
    <w:pPr>
      <w:spacing w:line="240" w:lineRule="auto"/>
    </w:pPr>
    <w:rPr>
      <w:sz w:val="20"/>
      <w:szCs w:val="20"/>
    </w:rPr>
  </w:style>
  <w:style w:type="character" w:customStyle="1" w:styleId="CommentTextChar">
    <w:name w:val="Comment Text Char"/>
    <w:basedOn w:val="DefaultParagraphFont"/>
    <w:link w:val="CommentText"/>
    <w:uiPriority w:val="99"/>
    <w:semiHidden/>
    <w:rsid w:val="005C5F3E"/>
    <w:rPr>
      <w:rFonts w:asciiTheme="minorHAnsi" w:eastAsiaTheme="minorHAnsi" w:hAnsiTheme="minorHAnsi" w:cstheme="minorBidi"/>
    </w:rPr>
  </w:style>
  <w:style w:type="paragraph" w:styleId="CommentSubject">
    <w:name w:val="annotation subject"/>
    <w:basedOn w:val="CommentText"/>
    <w:next w:val="CommentText"/>
    <w:link w:val="CommentSubjectChar"/>
    <w:uiPriority w:val="99"/>
    <w:semiHidden/>
    <w:unhideWhenUsed/>
    <w:rsid w:val="005C5F3E"/>
    <w:rPr>
      <w:b/>
      <w:bCs/>
    </w:rPr>
  </w:style>
  <w:style w:type="character" w:customStyle="1" w:styleId="CommentSubjectChar">
    <w:name w:val="Comment Subject Char"/>
    <w:basedOn w:val="CommentTextChar"/>
    <w:link w:val="CommentSubject"/>
    <w:uiPriority w:val="99"/>
    <w:semiHidden/>
    <w:rsid w:val="005C5F3E"/>
    <w:rPr>
      <w:rFonts w:asciiTheme="minorHAnsi" w:eastAsiaTheme="minorHAnsi" w:hAnsiTheme="minorHAnsi" w:cstheme="minorBidi"/>
      <w:b/>
      <w:bCs/>
    </w:rPr>
  </w:style>
  <w:style w:type="paragraph" w:styleId="BalloonText">
    <w:name w:val="Balloon Text"/>
    <w:basedOn w:val="Normal"/>
    <w:link w:val="BalloonTextChar"/>
    <w:uiPriority w:val="99"/>
    <w:semiHidden/>
    <w:unhideWhenUsed/>
    <w:rsid w:val="00705E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5E0A"/>
    <w:rPr>
      <w:rFonts w:ascii="Segoe UI" w:eastAsiaTheme="minorHAnsi" w:hAnsi="Segoe UI" w:cs="Segoe UI"/>
      <w:sz w:val="18"/>
      <w:szCs w:val="18"/>
    </w:rPr>
  </w:style>
  <w:style w:type="character" w:styleId="Hyperlink">
    <w:name w:val="Hyperlink"/>
    <w:basedOn w:val="DefaultParagraphFont"/>
    <w:uiPriority w:val="99"/>
    <w:unhideWhenUsed/>
    <w:rsid w:val="00124020"/>
    <w:rPr>
      <w:color w:val="0000FF" w:themeColor="hyperlink"/>
      <w:u w:val="single"/>
    </w:rPr>
  </w:style>
  <w:style w:type="character" w:styleId="UnresolvedMention">
    <w:name w:val="Unresolved Mention"/>
    <w:basedOn w:val="DefaultParagraphFont"/>
    <w:uiPriority w:val="99"/>
    <w:semiHidden/>
    <w:unhideWhenUsed/>
    <w:rsid w:val="00124020"/>
    <w:rPr>
      <w:color w:val="605E5C"/>
      <w:shd w:val="clear" w:color="auto" w:fill="E1DFDD"/>
    </w:rPr>
  </w:style>
  <w:style w:type="character" w:styleId="FollowedHyperlink">
    <w:name w:val="FollowedHyperlink"/>
    <w:basedOn w:val="DefaultParagraphFont"/>
    <w:uiPriority w:val="99"/>
    <w:semiHidden/>
    <w:unhideWhenUsed/>
    <w:rsid w:val="00EC3E9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7812360">
      <w:bodyDiv w:val="1"/>
      <w:marLeft w:val="0"/>
      <w:marRight w:val="0"/>
      <w:marTop w:val="0"/>
      <w:marBottom w:val="0"/>
      <w:divBdr>
        <w:top w:val="none" w:sz="0" w:space="0" w:color="auto"/>
        <w:left w:val="none" w:sz="0" w:space="0" w:color="auto"/>
        <w:bottom w:val="none" w:sz="0" w:space="0" w:color="auto"/>
        <w:right w:val="none" w:sz="0" w:space="0" w:color="auto"/>
      </w:divBdr>
    </w:div>
    <w:div w:id="190921130">
      <w:bodyDiv w:val="1"/>
      <w:marLeft w:val="0"/>
      <w:marRight w:val="0"/>
      <w:marTop w:val="0"/>
      <w:marBottom w:val="0"/>
      <w:divBdr>
        <w:top w:val="none" w:sz="0" w:space="0" w:color="auto"/>
        <w:left w:val="none" w:sz="0" w:space="0" w:color="auto"/>
        <w:bottom w:val="none" w:sz="0" w:space="0" w:color="auto"/>
        <w:right w:val="none" w:sz="0" w:space="0" w:color="auto"/>
      </w:divBdr>
    </w:div>
    <w:div w:id="261960081">
      <w:bodyDiv w:val="1"/>
      <w:marLeft w:val="0"/>
      <w:marRight w:val="0"/>
      <w:marTop w:val="0"/>
      <w:marBottom w:val="0"/>
      <w:divBdr>
        <w:top w:val="none" w:sz="0" w:space="0" w:color="auto"/>
        <w:left w:val="none" w:sz="0" w:space="0" w:color="auto"/>
        <w:bottom w:val="none" w:sz="0" w:space="0" w:color="auto"/>
        <w:right w:val="none" w:sz="0" w:space="0" w:color="auto"/>
      </w:divBdr>
    </w:div>
    <w:div w:id="513691586">
      <w:bodyDiv w:val="1"/>
      <w:marLeft w:val="0"/>
      <w:marRight w:val="0"/>
      <w:marTop w:val="0"/>
      <w:marBottom w:val="0"/>
      <w:divBdr>
        <w:top w:val="none" w:sz="0" w:space="0" w:color="auto"/>
        <w:left w:val="none" w:sz="0" w:space="0" w:color="auto"/>
        <w:bottom w:val="none" w:sz="0" w:space="0" w:color="auto"/>
        <w:right w:val="none" w:sz="0" w:space="0" w:color="auto"/>
      </w:divBdr>
    </w:div>
    <w:div w:id="748573307">
      <w:bodyDiv w:val="1"/>
      <w:marLeft w:val="0"/>
      <w:marRight w:val="0"/>
      <w:marTop w:val="0"/>
      <w:marBottom w:val="0"/>
      <w:divBdr>
        <w:top w:val="none" w:sz="0" w:space="0" w:color="auto"/>
        <w:left w:val="none" w:sz="0" w:space="0" w:color="auto"/>
        <w:bottom w:val="none" w:sz="0" w:space="0" w:color="auto"/>
        <w:right w:val="none" w:sz="0" w:space="0" w:color="auto"/>
      </w:divBdr>
    </w:div>
    <w:div w:id="943923390">
      <w:bodyDiv w:val="1"/>
      <w:marLeft w:val="0"/>
      <w:marRight w:val="0"/>
      <w:marTop w:val="0"/>
      <w:marBottom w:val="0"/>
      <w:divBdr>
        <w:top w:val="none" w:sz="0" w:space="0" w:color="auto"/>
        <w:left w:val="none" w:sz="0" w:space="0" w:color="auto"/>
        <w:bottom w:val="none" w:sz="0" w:space="0" w:color="auto"/>
        <w:right w:val="none" w:sz="0" w:space="0" w:color="auto"/>
      </w:divBdr>
    </w:div>
    <w:div w:id="1249726250">
      <w:bodyDiv w:val="1"/>
      <w:marLeft w:val="0"/>
      <w:marRight w:val="0"/>
      <w:marTop w:val="0"/>
      <w:marBottom w:val="0"/>
      <w:divBdr>
        <w:top w:val="none" w:sz="0" w:space="0" w:color="auto"/>
        <w:left w:val="none" w:sz="0" w:space="0" w:color="auto"/>
        <w:bottom w:val="none" w:sz="0" w:space="0" w:color="auto"/>
        <w:right w:val="none" w:sz="0" w:space="0" w:color="auto"/>
      </w:divBdr>
    </w:div>
    <w:div w:id="1330137656">
      <w:bodyDiv w:val="1"/>
      <w:marLeft w:val="0"/>
      <w:marRight w:val="0"/>
      <w:marTop w:val="0"/>
      <w:marBottom w:val="0"/>
      <w:divBdr>
        <w:top w:val="none" w:sz="0" w:space="0" w:color="auto"/>
        <w:left w:val="none" w:sz="0" w:space="0" w:color="auto"/>
        <w:bottom w:val="none" w:sz="0" w:space="0" w:color="auto"/>
        <w:right w:val="none" w:sz="0" w:space="0" w:color="auto"/>
      </w:divBdr>
    </w:div>
    <w:div w:id="1538273308">
      <w:bodyDiv w:val="1"/>
      <w:marLeft w:val="0"/>
      <w:marRight w:val="0"/>
      <w:marTop w:val="0"/>
      <w:marBottom w:val="0"/>
      <w:divBdr>
        <w:top w:val="none" w:sz="0" w:space="0" w:color="auto"/>
        <w:left w:val="none" w:sz="0" w:space="0" w:color="auto"/>
        <w:bottom w:val="none" w:sz="0" w:space="0" w:color="auto"/>
        <w:right w:val="none" w:sz="0" w:space="0" w:color="auto"/>
      </w:divBdr>
    </w:div>
    <w:div w:id="1598250935">
      <w:bodyDiv w:val="1"/>
      <w:marLeft w:val="0"/>
      <w:marRight w:val="0"/>
      <w:marTop w:val="0"/>
      <w:marBottom w:val="0"/>
      <w:divBdr>
        <w:top w:val="none" w:sz="0" w:space="0" w:color="auto"/>
        <w:left w:val="none" w:sz="0" w:space="0" w:color="auto"/>
        <w:bottom w:val="none" w:sz="0" w:space="0" w:color="auto"/>
        <w:right w:val="none" w:sz="0" w:space="0" w:color="auto"/>
      </w:divBdr>
    </w:div>
    <w:div w:id="1616253865">
      <w:bodyDiv w:val="1"/>
      <w:marLeft w:val="0"/>
      <w:marRight w:val="0"/>
      <w:marTop w:val="0"/>
      <w:marBottom w:val="0"/>
      <w:divBdr>
        <w:top w:val="none" w:sz="0" w:space="0" w:color="auto"/>
        <w:left w:val="none" w:sz="0" w:space="0" w:color="auto"/>
        <w:bottom w:val="none" w:sz="0" w:space="0" w:color="auto"/>
        <w:right w:val="none" w:sz="0" w:space="0" w:color="auto"/>
      </w:divBdr>
    </w:div>
    <w:div w:id="1623339740">
      <w:bodyDiv w:val="1"/>
      <w:marLeft w:val="0"/>
      <w:marRight w:val="0"/>
      <w:marTop w:val="0"/>
      <w:marBottom w:val="0"/>
      <w:divBdr>
        <w:top w:val="none" w:sz="0" w:space="0" w:color="auto"/>
        <w:left w:val="none" w:sz="0" w:space="0" w:color="auto"/>
        <w:bottom w:val="none" w:sz="0" w:space="0" w:color="auto"/>
        <w:right w:val="none" w:sz="0" w:space="0" w:color="auto"/>
      </w:divBdr>
    </w:div>
    <w:div w:id="20802043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4.png"/><Relationship Id="rId7" Type="http://schemas.openxmlformats.org/officeDocument/2006/relationships/webSettings" Target="webSetting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sv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styles" Target="styles.xml"/><Relationship Id="rId15" Type="http://schemas.openxmlformats.org/officeDocument/2006/relationships/image" Target="media/image8.svg"/><Relationship Id="rId23" Type="http://schemas.openxmlformats.org/officeDocument/2006/relationships/image" Target="media/image16.png"/><Relationship Id="rId10" Type="http://schemas.openxmlformats.org/officeDocument/2006/relationships/image" Target="media/image3.svg"/><Relationship Id="rId19"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ced1f988-d16c-4eb7-9443-312b8723c36c">EDUSHARE-1942335682-1179</_dlc_DocId>
    <_dlc_DocIdUrl xmlns="ced1f988-d16c-4eb7-9443-312b8723c36c">
      <Url>https://vaww.infoshare.va.gov/sites/educationservice/eduexeoffice/HR3218/_layouts/15/DocIdRedir.aspx?ID=EDUSHARE-1942335682-1179</Url>
      <Description>EDUSHARE-1942335682-1179</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F77C3689E663F449EC80D4FA1D91111" ma:contentTypeVersion="0" ma:contentTypeDescription="Create a new document." ma:contentTypeScope="" ma:versionID="acedc368e4dd07ccfa2b2348348cf67e">
  <xsd:schema xmlns:xsd="http://www.w3.org/2001/XMLSchema" xmlns:xs="http://www.w3.org/2001/XMLSchema" xmlns:p="http://schemas.microsoft.com/office/2006/metadata/properties" xmlns:ns2="ced1f988-d16c-4eb7-9443-312b8723c36c" targetNamespace="http://schemas.microsoft.com/office/2006/metadata/properties" ma:root="true" ma:fieldsID="fae0ebc3637a997cec7aff8d07b3e7d4" ns2:_="">
    <xsd:import namespace="ced1f988-d16c-4eb7-9443-312b8723c36c"/>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d1f988-d16c-4eb7-9443-312b8723c36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90A45B9-8E32-4E5D-9EDB-3DCA940046E5}">
  <ds:schemaRefs>
    <ds:schemaRef ds:uri="http://schemas.microsoft.com/sharepoint/v3/contenttype/forms"/>
  </ds:schemaRefs>
</ds:datastoreItem>
</file>

<file path=customXml/itemProps2.xml><?xml version="1.0" encoding="utf-8"?>
<ds:datastoreItem xmlns:ds="http://schemas.openxmlformats.org/officeDocument/2006/customXml" ds:itemID="{E3A2DE10-75A8-49BB-B990-F5BD05A67EC3}">
  <ds:schemaRefs>
    <ds:schemaRef ds:uri="http://schemas.microsoft.com/office/2006/metadata/properties"/>
    <ds:schemaRef ds:uri="http://schemas.microsoft.com/office/infopath/2007/PartnerControls"/>
    <ds:schemaRef ds:uri="ced1f988-d16c-4eb7-9443-312b8723c36c"/>
  </ds:schemaRefs>
</ds:datastoreItem>
</file>

<file path=customXml/itemProps3.xml><?xml version="1.0" encoding="utf-8"?>
<ds:datastoreItem xmlns:ds="http://schemas.openxmlformats.org/officeDocument/2006/customXml" ds:itemID="{482070B1-0733-40A5-A86A-E2C46D4B9B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d1f988-d16c-4eb7-9443-312b8723c3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9F0DFCD-1D2A-436A-9DE7-EC2E75379FA8}">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5</Pages>
  <Words>635</Words>
  <Characters>3625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ATTENDNR Document Processing Script</vt:lpstr>
    </vt:vector>
  </TitlesOfParts>
  <Company>Veterans Benefits Administration</Company>
  <LinksUpToDate>false</LinksUpToDate>
  <CharactersWithSpaces>4252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ATTENDNR Document Processing Script</dc:title>
  <dc:subject/>
  <dc:creator>Department of Veterans Affairs, Veterans Benefits Administration, Education Service, STAFF</dc:creator>
  <cp:keywords/>
  <dc:description/>
  <cp:lastModifiedBy>Kathy Poole</cp:lastModifiedBy>
  <cp:revision>37</cp:revision>
  <cp:lastPrinted>2003-11-18T23:21:00Z</cp:lastPrinted>
  <dcterms:created xsi:type="dcterms:W3CDTF">2021-10-04T16:04:00Z</dcterms:created>
  <dcterms:modified xsi:type="dcterms:W3CDTF">2021-10-13T13:15:00Z</dcterms:modified>
  <cp:category>NTC Curriculum</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0x010100CF77C3689E663F449EC80D4FA1D91111</vt:lpwstr>
  </property>
  <property fmtid="{D5CDD505-2E9C-101B-9397-08002B2CF9AE}" pid="3" name="_dlc_DocIdItemGuid">
    <vt:lpwstr>d4ae7205-0956-4550-854d-fde6961f1fc7</vt:lpwstr>
  </property>
  <property fmtid="{D5CDD505-2E9C-101B-9397-08002B2CF9AE}" pid="4" name="Language">
    <vt:lpwstr>en</vt:lpwstr>
  </property>
  <property fmtid="{D5CDD505-2E9C-101B-9397-08002B2CF9AE}" pid="5" name="Type">
    <vt:lpwstr>Reference</vt:lpwstr>
  </property>
</Properties>
</file>