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A4" w:rsidRPr="005847A4" w:rsidRDefault="005847A4" w:rsidP="005847A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Pr>
          <w:rFonts w:ascii="Arial" w:eastAsia="Times New Roman" w:hAnsi="Arial" w:cs="Arial"/>
          <w:b/>
          <w:bCs/>
          <w:sz w:val="24"/>
          <w:szCs w:val="24"/>
        </w:rPr>
        <w:t xml:space="preserve">Training Reminder - </w:t>
      </w:r>
      <w:r w:rsidRPr="005847A4">
        <w:rPr>
          <w:rFonts w:ascii="Arial" w:eastAsia="Times New Roman" w:hAnsi="Arial" w:cs="Arial"/>
          <w:b/>
          <w:bCs/>
          <w:sz w:val="24"/>
          <w:szCs w:val="24"/>
        </w:rPr>
        <w:t>48 Month Rule Advisory</w:t>
      </w:r>
    </w:p>
    <w:p w:rsidR="005847A4" w:rsidRPr="005847A4" w:rsidRDefault="005847A4" w:rsidP="005847A4">
      <w:pPr>
        <w:spacing w:before="100" w:beforeAutospacing="1" w:after="100" w:afterAutospacing="1" w:line="240" w:lineRule="auto"/>
        <w:rPr>
          <w:rFonts w:ascii="Arial" w:eastAsia="Times New Roman" w:hAnsi="Arial" w:cs="Arial"/>
          <w:sz w:val="24"/>
          <w:szCs w:val="24"/>
        </w:rPr>
      </w:pPr>
      <w:r w:rsidRPr="005847A4">
        <w:rPr>
          <w:rFonts w:ascii="Arial" w:eastAsia="Times New Roman" w:hAnsi="Arial" w:cs="Arial"/>
          <w:sz w:val="24"/>
          <w:szCs w:val="24"/>
        </w:rPr>
        <w:t>September 21, 2016</w:t>
      </w:r>
    </w:p>
    <w:p w:rsidR="005847A4" w:rsidRPr="005847A4" w:rsidRDefault="005847A4" w:rsidP="005847A4">
      <w:pPr>
        <w:spacing w:before="100" w:beforeAutospacing="1" w:after="100" w:afterAutospacing="1" w:line="240" w:lineRule="auto"/>
        <w:rPr>
          <w:rFonts w:ascii="Arial" w:eastAsia="Times New Roman" w:hAnsi="Arial" w:cs="Arial"/>
          <w:sz w:val="24"/>
          <w:szCs w:val="24"/>
        </w:rPr>
      </w:pPr>
      <w:r w:rsidRPr="005847A4">
        <w:rPr>
          <w:rFonts w:ascii="Arial" w:eastAsia="Times New Roman" w:hAnsi="Arial" w:cs="Arial"/>
          <w:b/>
          <w:bCs/>
          <w:sz w:val="24"/>
          <w:szCs w:val="24"/>
        </w:rPr>
        <w:t>Effective immediately</w:t>
      </w:r>
      <w:r w:rsidRPr="005847A4">
        <w:rPr>
          <w:rFonts w:ascii="Arial" w:eastAsia="Times New Roman" w:hAnsi="Arial" w:cs="Arial"/>
          <w:sz w:val="24"/>
          <w:szCs w:val="24"/>
        </w:rPr>
        <w:t>, as per VBA leadership, Education Service should continue to consider Chapter 31 entitlement usage when determining available entitlement for other VA education benefit programs (32, 33, 35, 1606) in accordance with the manual references below:</w:t>
      </w:r>
    </w:p>
    <w:p w:rsidR="005847A4" w:rsidRPr="005847A4" w:rsidRDefault="005847A4" w:rsidP="005847A4">
      <w:pPr>
        <w:spacing w:before="100" w:beforeAutospacing="1" w:after="100" w:afterAutospacing="1" w:line="240" w:lineRule="auto"/>
        <w:rPr>
          <w:rFonts w:ascii="Arial" w:eastAsia="Times New Roman" w:hAnsi="Arial" w:cs="Arial"/>
          <w:sz w:val="24"/>
          <w:szCs w:val="24"/>
        </w:rPr>
      </w:pPr>
      <w:r w:rsidRPr="005847A4">
        <w:rPr>
          <w:rFonts w:ascii="Arial" w:eastAsia="Times New Roman" w:hAnsi="Arial" w:cs="Arial"/>
          <w:sz w:val="24"/>
          <w:szCs w:val="24"/>
        </w:rPr>
        <w:t xml:space="preserve">M22-4, </w:t>
      </w:r>
      <w:hyperlink r:id="rId5" w:anchor="120d" w:history="1">
        <w:r w:rsidRPr="005847A4">
          <w:rPr>
            <w:rFonts w:ascii="Arial" w:eastAsia="Times New Roman" w:hAnsi="Arial" w:cs="Arial"/>
            <w:color w:val="0000FF"/>
            <w:sz w:val="24"/>
            <w:szCs w:val="24"/>
            <w:u w:val="single"/>
          </w:rPr>
          <w:t>Pt. V, 1.20d</w:t>
        </w:r>
      </w:hyperlink>
      <w:r w:rsidRPr="005847A4">
        <w:rPr>
          <w:rFonts w:ascii="Arial" w:eastAsia="Times New Roman" w:hAnsi="Arial" w:cs="Arial"/>
          <w:sz w:val="24"/>
          <w:szCs w:val="24"/>
        </w:rPr>
        <w:br/>
        <w:t xml:space="preserve">M22-4, </w:t>
      </w:r>
      <w:hyperlink r:id="rId6" w:anchor="108e" w:history="1">
        <w:r w:rsidRPr="005847A4">
          <w:rPr>
            <w:rFonts w:ascii="Arial" w:eastAsia="Times New Roman" w:hAnsi="Arial" w:cs="Arial"/>
            <w:color w:val="0000FF"/>
            <w:sz w:val="24"/>
            <w:szCs w:val="24"/>
            <w:u w:val="single"/>
          </w:rPr>
          <w:t>Pt. VI, 1.08e</w:t>
        </w:r>
      </w:hyperlink>
      <w:r w:rsidRPr="005847A4">
        <w:rPr>
          <w:rFonts w:ascii="Arial" w:eastAsia="Times New Roman" w:hAnsi="Arial" w:cs="Arial"/>
          <w:sz w:val="24"/>
          <w:szCs w:val="24"/>
        </w:rPr>
        <w:t xml:space="preserve"> </w:t>
      </w:r>
      <w:r w:rsidRPr="005847A4">
        <w:rPr>
          <w:rFonts w:ascii="Arial" w:eastAsia="Times New Roman" w:hAnsi="Arial" w:cs="Arial"/>
          <w:sz w:val="24"/>
          <w:szCs w:val="24"/>
        </w:rPr>
        <w:br/>
        <w:t xml:space="preserve">M22-4, </w:t>
      </w:r>
      <w:hyperlink r:id="rId7" w:anchor="106a4" w:history="1">
        <w:r w:rsidRPr="005847A4">
          <w:rPr>
            <w:rFonts w:ascii="Arial" w:eastAsia="Times New Roman" w:hAnsi="Arial" w:cs="Arial"/>
            <w:color w:val="0000FF"/>
            <w:sz w:val="24"/>
            <w:szCs w:val="24"/>
            <w:u w:val="single"/>
          </w:rPr>
          <w:t>Pt. VII, 1.06(a)(4)</w:t>
        </w:r>
      </w:hyperlink>
      <w:r w:rsidRPr="005847A4">
        <w:rPr>
          <w:rFonts w:ascii="Arial" w:eastAsia="Times New Roman" w:hAnsi="Arial" w:cs="Arial"/>
          <w:sz w:val="24"/>
          <w:szCs w:val="24"/>
        </w:rPr>
        <w:br/>
        <w:t>M22-4,</w:t>
      </w:r>
      <w:hyperlink r:id="rId8" w:anchor="106" w:history="1">
        <w:r w:rsidRPr="007F0805">
          <w:rPr>
            <w:rFonts w:ascii="Arial" w:eastAsia="Times New Roman" w:hAnsi="Arial" w:cs="Arial"/>
            <w:color w:val="0000FF"/>
            <w:sz w:val="24"/>
            <w:szCs w:val="24"/>
          </w:rPr>
          <w:t xml:space="preserve"> </w:t>
        </w:r>
        <w:r w:rsidRPr="005847A4">
          <w:rPr>
            <w:rFonts w:ascii="Arial" w:eastAsia="Times New Roman" w:hAnsi="Arial" w:cs="Arial"/>
            <w:color w:val="0000FF"/>
            <w:sz w:val="24"/>
            <w:szCs w:val="24"/>
            <w:u w:val="single"/>
          </w:rPr>
          <w:t>Pt. VIII, 1.06a</w:t>
        </w:r>
      </w:hyperlink>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 </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Any draft documents (e.g., proposed procedures, instructions, etc.) shared with the field related to the 48-month rule and the liberal interpretation should be discarded and no longer be applied.</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 </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color w:val="000000"/>
          <w:sz w:val="24"/>
          <w:szCs w:val="24"/>
        </w:rPr>
        <w:t xml:space="preserve">If you have any questions, please direct them to the Operations Team via email at </w:t>
      </w:r>
      <w:hyperlink r:id="rId9" w:history="1">
        <w:r w:rsidRPr="005847A4">
          <w:rPr>
            <w:rFonts w:ascii="Arial" w:eastAsia="Times New Roman" w:hAnsi="Arial" w:cs="Arial"/>
            <w:color w:val="0000FF"/>
            <w:sz w:val="24"/>
            <w:szCs w:val="24"/>
            <w:u w:val="single"/>
          </w:rPr>
          <w:t>VAVBAWAS/CO/222A</w:t>
        </w:r>
      </w:hyperlink>
      <w:r w:rsidRPr="005847A4">
        <w:rPr>
          <w:rFonts w:ascii="Arial" w:eastAsia="Times New Roman" w:hAnsi="Arial" w:cs="Arial"/>
          <w:color w:val="000000"/>
          <w:sz w:val="24"/>
          <w:szCs w:val="24"/>
        </w:rPr>
        <w:t>.</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 </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 </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V/R</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 </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Operations Team</w:t>
      </w:r>
    </w:p>
    <w:p w:rsid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Education Service</w:t>
      </w:r>
    </w:p>
    <w:p w:rsidR="005847A4" w:rsidRPr="005847A4" w:rsidRDefault="005847A4" w:rsidP="005847A4">
      <w:pPr>
        <w:spacing w:after="0" w:line="240" w:lineRule="auto"/>
        <w:rPr>
          <w:rFonts w:ascii="Calibri" w:eastAsia="Times New Roman" w:hAnsi="Calibri" w:cs="Times New Roman"/>
        </w:rPr>
      </w:pPr>
      <w:r w:rsidRPr="005847A4">
        <w:rPr>
          <w:rFonts w:ascii="Times New Roman" w:eastAsia="Times New Roman" w:hAnsi="Times New Roman" w:cs="Times New Roman"/>
          <w:sz w:val="24"/>
          <w:szCs w:val="24"/>
        </w:rPr>
        <w:t>***</w:t>
      </w:r>
    </w:p>
    <w:p w:rsidR="005847A4" w:rsidRPr="005847A4" w:rsidRDefault="005847A4" w:rsidP="005847A4">
      <w:pPr>
        <w:spacing w:after="0" w:line="240" w:lineRule="auto"/>
        <w:rPr>
          <w:rFonts w:ascii="Calibri" w:eastAsia="Times New Roman" w:hAnsi="Calibri" w:cs="Times New Roman"/>
        </w:rPr>
      </w:pP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b/>
          <w:bCs/>
          <w:sz w:val="24"/>
          <w:szCs w:val="24"/>
        </w:rPr>
        <w:t>NOTE: An amendment was made to this advisory October 4, 2016. This amendment stated the following:</w:t>
      </w:r>
    </w:p>
    <w:p w:rsidR="005847A4" w:rsidRPr="005847A4" w:rsidRDefault="005847A4" w:rsidP="005847A4">
      <w:pPr>
        <w:spacing w:after="0" w:line="240" w:lineRule="auto"/>
        <w:rPr>
          <w:rFonts w:ascii="Calibri" w:eastAsia="Times New Roman" w:hAnsi="Calibri" w:cs="Times New Roman"/>
        </w:rPr>
      </w:pPr>
      <w:r w:rsidRPr="005847A4">
        <w:rPr>
          <w:rFonts w:ascii="Calibri" w:eastAsia="Times New Roman" w:hAnsi="Calibri" w:cs="Times New Roman"/>
        </w:rPr>
        <w:t> </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 xml:space="preserve">Education Service would like to provide additional guidance pertaining to the Procedural Advisory released on September 21, 2016. </w:t>
      </w:r>
    </w:p>
    <w:p w:rsidR="005847A4" w:rsidRPr="005847A4" w:rsidRDefault="005847A4" w:rsidP="005847A4">
      <w:pPr>
        <w:spacing w:after="0" w:line="240" w:lineRule="auto"/>
        <w:rPr>
          <w:rFonts w:ascii="Calibri" w:eastAsia="Times New Roman" w:hAnsi="Calibri" w:cs="Times New Roman"/>
        </w:rPr>
      </w:pP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Per VBA leadership, Regional Processing Offices (RPOs) should not re-adjudicate claims previously processed based on any draft documents (e.g., proposed procedures, instructions, etc.) released to the field related to the 48-month rule a</w:t>
      </w:r>
      <w:r w:rsidR="007F0805">
        <w:rPr>
          <w:rFonts w:ascii="Arial" w:eastAsia="Times New Roman" w:hAnsi="Arial" w:cs="Arial"/>
          <w:sz w:val="24"/>
          <w:szCs w:val="24"/>
        </w:rPr>
        <w:t xml:space="preserve">nd the liberal interpretation. </w:t>
      </w:r>
      <w:r w:rsidRPr="005847A4">
        <w:rPr>
          <w:rFonts w:ascii="Arial" w:eastAsia="Times New Roman" w:hAnsi="Arial" w:cs="Arial"/>
          <w:sz w:val="24"/>
          <w:szCs w:val="24"/>
        </w:rPr>
        <w:t>RPOs should process claims point forward wit</w:t>
      </w:r>
      <w:r w:rsidR="007F0805">
        <w:rPr>
          <w:rFonts w:ascii="Arial" w:eastAsia="Times New Roman" w:hAnsi="Arial" w:cs="Arial"/>
          <w:sz w:val="24"/>
          <w:szCs w:val="24"/>
        </w:rPr>
        <w:t xml:space="preserve">h the guidance provided below. </w:t>
      </w:r>
      <w:r w:rsidRPr="005847A4">
        <w:rPr>
          <w:rFonts w:ascii="Arial" w:eastAsia="Times New Roman" w:hAnsi="Arial" w:cs="Arial"/>
          <w:sz w:val="24"/>
          <w:szCs w:val="24"/>
        </w:rPr>
        <w:t>The Department of Veteran Affairs will honor certificates of eligibility and awards processed under any past directive from Central Office.</w:t>
      </w:r>
    </w:p>
    <w:p w:rsidR="005847A4" w:rsidRPr="005847A4" w:rsidRDefault="005847A4" w:rsidP="005847A4">
      <w:pPr>
        <w:spacing w:after="0" w:line="240" w:lineRule="auto"/>
        <w:rPr>
          <w:rFonts w:ascii="Calibri" w:eastAsia="Times New Roman" w:hAnsi="Calibri" w:cs="Times New Roman"/>
        </w:rPr>
      </w:pPr>
      <w:r w:rsidRPr="005847A4">
        <w:rPr>
          <w:rFonts w:ascii="Tahoma" w:eastAsia="Times New Roman" w:hAnsi="Tahoma" w:cs="Tahoma"/>
          <w:b/>
          <w:bCs/>
          <w:sz w:val="20"/>
          <w:szCs w:val="20"/>
        </w:rPr>
        <w:t> </w:t>
      </w:r>
    </w:p>
    <w:p w:rsidR="005847A4" w:rsidRPr="005847A4" w:rsidRDefault="005847A4" w:rsidP="005847A4">
      <w:pPr>
        <w:spacing w:after="0" w:line="240" w:lineRule="auto"/>
        <w:rPr>
          <w:rFonts w:ascii="Calibri" w:eastAsia="Times New Roman" w:hAnsi="Calibri" w:cs="Times New Roman"/>
        </w:rPr>
      </w:pPr>
      <w:r w:rsidRPr="005847A4">
        <w:rPr>
          <w:rFonts w:ascii="Arial" w:eastAsia="Times New Roman" w:hAnsi="Arial" w:cs="Arial"/>
          <w:sz w:val="24"/>
          <w:szCs w:val="24"/>
        </w:rPr>
        <w:t xml:space="preserve">If you have any questions, please direct them to the Operations Team via email at </w:t>
      </w:r>
      <w:hyperlink r:id="rId10" w:history="1">
        <w:r w:rsidRPr="005847A4">
          <w:rPr>
            <w:rFonts w:ascii="Arial" w:eastAsia="Times New Roman" w:hAnsi="Arial" w:cs="Arial"/>
            <w:color w:val="0000FF"/>
            <w:sz w:val="24"/>
            <w:szCs w:val="24"/>
            <w:u w:val="single"/>
          </w:rPr>
          <w:t>VAVBAWAS/CO/222A</w:t>
        </w:r>
      </w:hyperlink>
      <w:r w:rsidRPr="005847A4">
        <w:rPr>
          <w:rFonts w:ascii="Arial" w:eastAsia="Times New Roman" w:hAnsi="Arial" w:cs="Arial"/>
          <w:sz w:val="24"/>
          <w:szCs w:val="24"/>
        </w:rPr>
        <w:t>.</w:t>
      </w:r>
    </w:p>
    <w:p w:rsidR="0088680A" w:rsidRDefault="0088680A"/>
    <w:sectPr w:rsidR="00886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A4"/>
    <w:rsid w:val="0013143E"/>
    <w:rsid w:val="001B5B27"/>
    <w:rsid w:val="00531C60"/>
    <w:rsid w:val="005847A4"/>
    <w:rsid w:val="007F0805"/>
    <w:rsid w:val="0088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96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aw.vba.va.gov/bl/22/ref/m22-4/Part%20VIII/ch01.htm" TargetMode="External"/><Relationship Id="rId3" Type="http://schemas.openxmlformats.org/officeDocument/2006/relationships/settings" Target="settings.xml"/><Relationship Id="rId7" Type="http://schemas.openxmlformats.org/officeDocument/2006/relationships/hyperlink" Target="http://vbaw.vba.va.gov/bl/22/ref/m22-4/Part%20VII/ch01.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baw.vba.va.gov/bl/22/ref/m22-4/Part%20VI/ch01.htm" TargetMode="External"/><Relationship Id="rId11" Type="http://schemas.openxmlformats.org/officeDocument/2006/relationships/fontTable" Target="fontTable.xml"/><Relationship Id="rId5" Type="http://schemas.openxmlformats.org/officeDocument/2006/relationships/hyperlink" Target="http://vbaw.vba.va.gov/bl/22/ref/m22-4/Part%20V/ch01.htm" TargetMode="External"/><Relationship Id="rId10" Type="http://schemas.openxmlformats.org/officeDocument/2006/relationships/hyperlink" Target="mailto:VAVBAWAS/CO/222A%20%3c222A.VBAVACO@va.gov%3e" TargetMode="External"/><Relationship Id="rId4" Type="http://schemas.openxmlformats.org/officeDocument/2006/relationships/webSettings" Target="webSettings.xml"/><Relationship Id="rId9" Type="http://schemas.openxmlformats.org/officeDocument/2006/relationships/hyperlink" Target="mailto:VAVBAWAS/CO/22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Training Reminder - 48 Month Rule Advisory</vt:lpstr>
    </vt:vector>
  </TitlesOfParts>
  <Company>Veterans Benefits Administration</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Reminder - 48 Month Rule Advisory</dc:title>
  <dc:subject>VCE</dc:subject>
  <dc:creator>Department of Veterans Affairs, Veterans Benefits Administration, Education Service, STAFF</dc:creator>
  <cp:keywords>chapter 31,procedural advisory,M22-4</cp:keywords>
  <dc:description>Review of 48m rule advisory via lesson and PowerPoint.</dc:description>
  <cp:lastModifiedBy>Kathleen Poole</cp:lastModifiedBy>
  <cp:revision>4</cp:revision>
  <dcterms:created xsi:type="dcterms:W3CDTF">2017-02-09T13:52:00Z</dcterms:created>
  <dcterms:modified xsi:type="dcterms:W3CDTF">2017-02-09T19:30:00Z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