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4E" w:rsidRPr="00AB490D" w:rsidRDefault="00C14C4E" w:rsidP="00C14C4E">
      <w:pPr>
        <w:rPr>
          <w:b/>
          <w:sz w:val="28"/>
        </w:rPr>
      </w:pPr>
      <w:r w:rsidRPr="00AB490D">
        <w:rPr>
          <w:b/>
          <w:sz w:val="28"/>
        </w:rPr>
        <w:t>Web Automated Reference Material System (WARMS)</w:t>
      </w:r>
    </w:p>
    <w:p w:rsidR="00C14C4E" w:rsidRPr="007448A6" w:rsidRDefault="00C14C4E" w:rsidP="00C14C4E">
      <w:pPr>
        <w:shd w:val="clear" w:color="auto" w:fill="FFFFFF"/>
        <w:spacing w:line="360" w:lineRule="atLeast"/>
        <w:rPr>
          <w:color w:val="444444"/>
        </w:rPr>
      </w:pPr>
      <w:bookmarkStart w:id="0" w:name="_GoBack"/>
      <w:r w:rsidRPr="007448A6">
        <w:t>M21-1MR Part III</w:t>
      </w:r>
      <w:bookmarkEnd w:id="0"/>
      <w:r w:rsidRPr="007448A6">
        <w:t>, Subpart i,</w:t>
      </w:r>
      <w:r>
        <w:t xml:space="preserve"> </w:t>
      </w:r>
      <w:r w:rsidRPr="007448A6">
        <w:rPr>
          <w:b/>
          <w:bCs/>
          <w:color w:val="444444"/>
        </w:rPr>
        <w:t>Chapter 2 - Pre-Discharge Claims</w:t>
      </w:r>
    </w:p>
    <w:p w:rsidR="00C14C4E" w:rsidRPr="007448A6" w:rsidRDefault="00CD17B9" w:rsidP="00C14C4E">
      <w:pPr>
        <w:pStyle w:val="ListParagraph"/>
        <w:numPr>
          <w:ilvl w:val="0"/>
          <w:numId w:val="1"/>
        </w:numPr>
        <w:pBdr>
          <w:top w:val="single" w:sz="6" w:space="3" w:color="EBEBEB"/>
          <w:bottom w:val="single" w:sz="6" w:space="0" w:color="EBEBEB"/>
        </w:pBdr>
        <w:shd w:val="clear" w:color="auto" w:fill="FFFFFF"/>
        <w:spacing w:before="100" w:beforeAutospacing="1" w:after="100" w:afterAutospacing="1" w:line="360" w:lineRule="atLeast"/>
        <w:rPr>
          <w:color w:val="444444"/>
        </w:rPr>
      </w:pPr>
      <w:hyperlink r:id="rId8" w:history="1">
        <w:r w:rsidR="00C14C4E" w:rsidRPr="007448A6">
          <w:rPr>
            <w:color w:val="0B6CB2"/>
          </w:rPr>
          <w:t>Table of Contents</w:t>
        </w:r>
      </w:hyperlink>
      <w:r w:rsidR="00C14C4E" w:rsidRPr="007448A6">
        <w:rPr>
          <w:color w:val="444444"/>
        </w:rPr>
        <w:t xml:space="preserve">- </w:t>
      </w:r>
      <w:r w:rsidR="00C14C4E" w:rsidRPr="007448A6">
        <w:rPr>
          <w:b/>
          <w:bCs/>
          <w:color w:val="444444"/>
        </w:rPr>
        <w:t>Updated 8/15/13</w:t>
      </w:r>
    </w:p>
    <w:p w:rsidR="00C14C4E" w:rsidRPr="007448A6" w:rsidRDefault="00CD17B9" w:rsidP="00C14C4E">
      <w:pPr>
        <w:pStyle w:val="ListParagraph"/>
        <w:numPr>
          <w:ilvl w:val="0"/>
          <w:numId w:val="1"/>
        </w:numPr>
        <w:pBdr>
          <w:top w:val="single" w:sz="6" w:space="3" w:color="EBEBEB"/>
          <w:bottom w:val="single" w:sz="6" w:space="0" w:color="EBEBEB"/>
        </w:pBdr>
        <w:shd w:val="clear" w:color="auto" w:fill="FFFFFF"/>
        <w:spacing w:before="100" w:beforeAutospacing="1" w:after="100" w:afterAutospacing="1" w:line="360" w:lineRule="atLeast"/>
        <w:rPr>
          <w:color w:val="444444"/>
        </w:rPr>
      </w:pPr>
      <w:hyperlink r:id="rId9" w:history="1">
        <w:r w:rsidR="00C14C4E" w:rsidRPr="007448A6">
          <w:rPr>
            <w:color w:val="0B6CB2"/>
          </w:rPr>
          <w:t>Section A</w:t>
        </w:r>
      </w:hyperlink>
      <w:r w:rsidR="00C14C4E" w:rsidRPr="007448A6">
        <w:rPr>
          <w:color w:val="444444"/>
        </w:rPr>
        <w:t xml:space="preserve"> - General Information on Pre-Discharge Claims - </w:t>
      </w:r>
      <w:r w:rsidR="00C14C4E" w:rsidRPr="007448A6">
        <w:rPr>
          <w:b/>
          <w:bCs/>
          <w:color w:val="444444"/>
        </w:rPr>
        <w:t>Updated 10/26/11</w:t>
      </w:r>
    </w:p>
    <w:p w:rsidR="00C14C4E" w:rsidRPr="007448A6" w:rsidRDefault="00CD17B9" w:rsidP="00C14C4E">
      <w:pPr>
        <w:pStyle w:val="ListParagraph"/>
        <w:numPr>
          <w:ilvl w:val="0"/>
          <w:numId w:val="1"/>
        </w:numPr>
        <w:pBdr>
          <w:top w:val="single" w:sz="6" w:space="3" w:color="EBEBEB"/>
          <w:bottom w:val="single" w:sz="6" w:space="0" w:color="EBEBEB"/>
        </w:pBdr>
        <w:shd w:val="clear" w:color="auto" w:fill="FFFFFF"/>
        <w:spacing w:before="100" w:beforeAutospacing="1" w:after="100" w:afterAutospacing="1" w:line="360" w:lineRule="atLeast"/>
        <w:rPr>
          <w:color w:val="444444"/>
        </w:rPr>
      </w:pPr>
      <w:hyperlink r:id="rId10" w:history="1">
        <w:r w:rsidR="00C14C4E" w:rsidRPr="007448A6">
          <w:rPr>
            <w:color w:val="0B6CB2"/>
          </w:rPr>
          <w:t>Section B</w:t>
        </w:r>
      </w:hyperlink>
      <w:r w:rsidR="00C14C4E" w:rsidRPr="007448A6">
        <w:rPr>
          <w:color w:val="444444"/>
        </w:rPr>
        <w:t xml:space="preserve"> - Division of Responsibilities for Processing Pre-Discharge Claims - </w:t>
      </w:r>
      <w:r w:rsidR="00C14C4E" w:rsidRPr="007448A6">
        <w:rPr>
          <w:b/>
          <w:bCs/>
          <w:color w:val="444444"/>
        </w:rPr>
        <w:t>Updated 10/26/11</w:t>
      </w:r>
    </w:p>
    <w:p w:rsidR="00C14C4E" w:rsidRDefault="00CD17B9" w:rsidP="00C14C4E">
      <w:pPr>
        <w:pStyle w:val="ListParagraph"/>
        <w:numPr>
          <w:ilvl w:val="0"/>
          <w:numId w:val="1"/>
        </w:numPr>
        <w:pBdr>
          <w:top w:val="single" w:sz="6" w:space="3" w:color="EBEBEB"/>
          <w:bottom w:val="single" w:sz="6" w:space="0" w:color="EBEBEB"/>
        </w:pBdr>
        <w:shd w:val="clear" w:color="auto" w:fill="FFFFFF"/>
        <w:spacing w:before="100" w:beforeAutospacing="1" w:afterAutospacing="1" w:line="360" w:lineRule="atLeast"/>
        <w:rPr>
          <w:b/>
          <w:bCs/>
          <w:color w:val="444444"/>
        </w:rPr>
      </w:pPr>
      <w:hyperlink r:id="rId11" w:history="1">
        <w:r w:rsidR="00C14C4E" w:rsidRPr="007448A6">
          <w:rPr>
            <w:color w:val="0B6CB2"/>
          </w:rPr>
          <w:t>Section C</w:t>
        </w:r>
      </w:hyperlink>
      <w:r w:rsidR="00C14C4E" w:rsidRPr="007448A6">
        <w:rPr>
          <w:color w:val="444444"/>
        </w:rPr>
        <w:t xml:space="preserve"> - Ancillary Claims and Miscellaneous Pre-Discharge Issues - </w:t>
      </w:r>
      <w:r w:rsidR="00C14C4E" w:rsidRPr="007448A6">
        <w:rPr>
          <w:b/>
          <w:bCs/>
          <w:color w:val="444444"/>
        </w:rPr>
        <w:t>Updated 8/15/13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5130"/>
        <w:gridCol w:w="2430"/>
      </w:tblGrid>
      <w:tr w:rsidR="00C14C4E" w:rsidRPr="00C14C4E" w:rsidTr="00056BE2">
        <w:trPr>
          <w:cantSplit/>
        </w:trPr>
        <w:tc>
          <w:tcPr>
            <w:tcW w:w="3150" w:type="dxa"/>
            <w:shd w:val="clear" w:color="auto" w:fill="1F497D" w:themeFill="text2"/>
          </w:tcPr>
          <w:p w:rsidR="00C14C4E" w:rsidRPr="00C14C4E" w:rsidRDefault="00C14C4E" w:rsidP="00C14C4E">
            <w:pPr>
              <w:keepNext/>
              <w:jc w:val="center"/>
              <w:outlineLvl w:val="2"/>
              <w:rPr>
                <w:b/>
                <w:bCs/>
                <w:color w:val="FFFFFF" w:themeColor="background1"/>
                <w:sz w:val="28"/>
              </w:rPr>
            </w:pPr>
            <w:r w:rsidRPr="00C14C4E">
              <w:rPr>
                <w:b/>
                <w:bCs/>
                <w:color w:val="FFFFFF" w:themeColor="background1"/>
                <w:sz w:val="28"/>
              </w:rPr>
              <w:t>Item</w:t>
            </w:r>
          </w:p>
        </w:tc>
        <w:tc>
          <w:tcPr>
            <w:tcW w:w="5130" w:type="dxa"/>
            <w:shd w:val="clear" w:color="auto" w:fill="1F497D" w:themeFill="text2"/>
          </w:tcPr>
          <w:p w:rsidR="00C14C4E" w:rsidRPr="00C14C4E" w:rsidRDefault="00C14C4E" w:rsidP="00C14C4E">
            <w:pPr>
              <w:keepNext/>
              <w:jc w:val="center"/>
              <w:outlineLvl w:val="0"/>
              <w:rPr>
                <w:b/>
                <w:bCs/>
                <w:color w:val="FFFFFF" w:themeColor="background1"/>
                <w:sz w:val="28"/>
              </w:rPr>
            </w:pPr>
            <w:r w:rsidRPr="00C14C4E">
              <w:rPr>
                <w:b/>
                <w:bCs/>
                <w:color w:val="FFFFFF" w:themeColor="background1"/>
                <w:sz w:val="28"/>
              </w:rPr>
              <w:t>References</w:t>
            </w:r>
          </w:p>
        </w:tc>
        <w:tc>
          <w:tcPr>
            <w:tcW w:w="2430" w:type="dxa"/>
            <w:shd w:val="clear" w:color="auto" w:fill="1F497D" w:themeFill="text2"/>
          </w:tcPr>
          <w:p w:rsidR="00C14C4E" w:rsidRPr="00C14C4E" w:rsidRDefault="00C14C4E" w:rsidP="00C14C4E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C14C4E">
              <w:rPr>
                <w:b/>
                <w:bCs/>
                <w:color w:val="FFFFFF" w:themeColor="background1"/>
                <w:sz w:val="28"/>
              </w:rPr>
              <w:t>Notes</w:t>
            </w: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Timelines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>M21-1MR Part III, Subpart i, Chapter 2, Section A, Chapter 1, Block d (M21-1MR III.i.2.A.1.d)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  <w:r w:rsidRPr="00C14C4E">
              <w:rPr>
                <w:bCs/>
              </w:rPr>
              <w:t>60-180 Days =  BDD</w:t>
            </w:r>
          </w:p>
          <w:p w:rsidR="00C14C4E" w:rsidRPr="00C14C4E" w:rsidRDefault="00C14C4E" w:rsidP="00C14C4E">
            <w:pPr>
              <w:rPr>
                <w:bCs/>
              </w:rPr>
            </w:pPr>
            <w:r w:rsidRPr="00C14C4E">
              <w:rPr>
                <w:bCs/>
              </w:rPr>
              <w:t>1-59 days =  Quick Start</w:t>
            </w:r>
          </w:p>
        </w:tc>
      </w:tr>
      <w:tr w:rsidR="00C14C4E" w:rsidRPr="00C14C4E" w:rsidTr="00056BE2">
        <w:trPr>
          <w:cantSplit/>
          <w:trHeight w:val="530"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Claim types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 xml:space="preserve">M21-1MR III.ii.2 </w:t>
            </w:r>
          </w:p>
          <w:p w:rsidR="00C14C4E" w:rsidRPr="00C14C4E" w:rsidRDefault="00C14C4E" w:rsidP="00C14C4E">
            <w:r w:rsidRPr="00C14C4E">
              <w:t xml:space="preserve">M21-1MR III.i.2.A.1.a 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End Products and Diary Dates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 xml:space="preserve">M21-1MR III.i.2.A.2 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Claims for Reinstatement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t>M21-1MR III.i.v.4.C.16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Flashes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 xml:space="preserve">M21-1MR III.i.2.A.2 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Exclusions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 xml:space="preserve">M21-1MR III.i.2.A.1.e 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Initial Actions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>M21-1MR III.i.2.B.3.d</w:t>
            </w:r>
          </w:p>
        </w:tc>
        <w:tc>
          <w:tcPr>
            <w:tcW w:w="2430" w:type="dxa"/>
          </w:tcPr>
          <w:p w:rsidR="00C14C4E" w:rsidRPr="00C14C4E" w:rsidRDefault="00893473" w:rsidP="00C14C4E">
            <w:pPr>
              <w:rPr>
                <w:bCs/>
              </w:rPr>
            </w:pPr>
            <w:r>
              <w:rPr>
                <w:bCs/>
              </w:rPr>
              <w:t xml:space="preserve">Claims Establishment </w:t>
            </w: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893473" w:rsidP="00C14C4E">
            <w:pPr>
              <w:keepNext/>
              <w:outlineLvl w:val="2"/>
              <w:rPr>
                <w:bCs/>
              </w:rPr>
            </w:pPr>
            <w:r>
              <w:rPr>
                <w:bCs/>
              </w:rPr>
              <w:t>Development</w:t>
            </w:r>
          </w:p>
        </w:tc>
        <w:tc>
          <w:tcPr>
            <w:tcW w:w="5130" w:type="dxa"/>
          </w:tcPr>
          <w:p w:rsidR="00C14C4E" w:rsidRPr="00C14C4E" w:rsidRDefault="00C14C4E" w:rsidP="00893473">
            <w:pPr>
              <w:keepNext/>
              <w:outlineLvl w:val="0"/>
            </w:pPr>
            <w:r w:rsidRPr="00C14C4E">
              <w:rPr>
                <w:bCs/>
              </w:rPr>
              <w:t>M21-1MR III.i.2.B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893473" w:rsidRPr="00C14C4E" w:rsidTr="00056BE2">
        <w:trPr>
          <w:cantSplit/>
        </w:trPr>
        <w:tc>
          <w:tcPr>
            <w:tcW w:w="3150" w:type="dxa"/>
          </w:tcPr>
          <w:p w:rsidR="00893473" w:rsidRPr="00C14C4E" w:rsidRDefault="00893473" w:rsidP="00C14C4E">
            <w:pPr>
              <w:keepNext/>
              <w:outlineLvl w:val="2"/>
              <w:rPr>
                <w:bCs/>
              </w:rPr>
            </w:pPr>
            <w:r>
              <w:rPr>
                <w:bCs/>
              </w:rPr>
              <w:t>Exams</w:t>
            </w:r>
          </w:p>
        </w:tc>
        <w:tc>
          <w:tcPr>
            <w:tcW w:w="5130" w:type="dxa"/>
          </w:tcPr>
          <w:p w:rsidR="00893473" w:rsidRPr="00893473" w:rsidRDefault="00893473" w:rsidP="00C14C4E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M21-1MR III.iv.3.</w:t>
            </w:r>
            <w:r w:rsidRPr="00893473">
              <w:rPr>
                <w:bCs/>
              </w:rPr>
              <w:t>A.4</w:t>
            </w:r>
          </w:p>
        </w:tc>
        <w:tc>
          <w:tcPr>
            <w:tcW w:w="2430" w:type="dxa"/>
          </w:tcPr>
          <w:p w:rsidR="00893473" w:rsidRPr="00C14C4E" w:rsidRDefault="00893473" w:rsidP="00C14C4E"/>
        </w:tc>
      </w:tr>
      <w:tr w:rsidR="00893473" w:rsidRPr="00C14C4E" w:rsidTr="00056BE2">
        <w:trPr>
          <w:cantSplit/>
        </w:trPr>
        <w:tc>
          <w:tcPr>
            <w:tcW w:w="3150" w:type="dxa"/>
          </w:tcPr>
          <w:p w:rsidR="00893473" w:rsidRDefault="00893473" w:rsidP="00C14C4E">
            <w:pPr>
              <w:keepNext/>
              <w:outlineLvl w:val="2"/>
              <w:rPr>
                <w:bCs/>
              </w:rPr>
            </w:pPr>
            <w:r>
              <w:rPr>
                <w:bCs/>
              </w:rPr>
              <w:t>Exams</w:t>
            </w:r>
          </w:p>
        </w:tc>
        <w:tc>
          <w:tcPr>
            <w:tcW w:w="5130" w:type="dxa"/>
          </w:tcPr>
          <w:p w:rsidR="00893473" w:rsidRDefault="00893473" w:rsidP="00C14C4E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M21-1MR III.iv.3.</w:t>
            </w:r>
            <w:r w:rsidRPr="00893473">
              <w:rPr>
                <w:bCs/>
              </w:rPr>
              <w:t>A</w:t>
            </w:r>
            <w:r>
              <w:rPr>
                <w:bCs/>
              </w:rPr>
              <w:t>.5</w:t>
            </w:r>
          </w:p>
        </w:tc>
        <w:tc>
          <w:tcPr>
            <w:tcW w:w="2430" w:type="dxa"/>
          </w:tcPr>
          <w:p w:rsidR="00893473" w:rsidRPr="00C14C4E" w:rsidRDefault="00893473" w:rsidP="00C14C4E">
            <w:r>
              <w:t>Pregnant Servicewomen</w:t>
            </w: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Ancillary Benefits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tabs>
                <w:tab w:val="center" w:pos="4680"/>
                <w:tab w:val="right" w:pos="9360"/>
              </w:tabs>
              <w:rPr>
                <w:bCs/>
                <w:lang w:eastAsia="x-none"/>
              </w:rPr>
            </w:pPr>
            <w:r w:rsidRPr="00C14C4E">
              <w:rPr>
                <w:bCs/>
                <w:lang w:val="x-none" w:eastAsia="x-none"/>
              </w:rPr>
              <w:t>M21-1MR</w:t>
            </w:r>
            <w:r w:rsidRPr="00C14C4E">
              <w:rPr>
                <w:bCs/>
                <w:lang w:eastAsia="x-none"/>
              </w:rPr>
              <w:t xml:space="preserve"> </w:t>
            </w:r>
            <w:r w:rsidRPr="00C14C4E">
              <w:rPr>
                <w:bCs/>
                <w:lang w:val="x-none" w:eastAsia="x-none"/>
              </w:rPr>
              <w:t>III</w:t>
            </w:r>
            <w:r w:rsidRPr="00C14C4E">
              <w:rPr>
                <w:bCs/>
                <w:lang w:eastAsia="x-none"/>
              </w:rPr>
              <w:t>.</w:t>
            </w:r>
            <w:r w:rsidRPr="00C14C4E">
              <w:rPr>
                <w:bCs/>
                <w:lang w:val="x-none" w:eastAsia="x-none"/>
              </w:rPr>
              <w:t>i</w:t>
            </w:r>
            <w:r w:rsidRPr="00C14C4E">
              <w:rPr>
                <w:bCs/>
                <w:lang w:eastAsia="x-none"/>
              </w:rPr>
              <w:t>.</w:t>
            </w:r>
            <w:r w:rsidRPr="00C14C4E">
              <w:rPr>
                <w:bCs/>
                <w:lang w:val="x-none" w:eastAsia="x-none"/>
              </w:rPr>
              <w:t>2</w:t>
            </w:r>
            <w:r w:rsidRPr="00C14C4E">
              <w:rPr>
                <w:bCs/>
                <w:lang w:eastAsia="x-none"/>
              </w:rPr>
              <w:t>.</w:t>
            </w:r>
            <w:r w:rsidRPr="00C14C4E">
              <w:rPr>
                <w:bCs/>
                <w:lang w:val="x-none" w:eastAsia="x-none"/>
              </w:rPr>
              <w:t>C</w:t>
            </w:r>
          </w:p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 xml:space="preserve">Additional Resource: </w:t>
            </w:r>
            <w:hyperlink r:id="rId12" w:history="1">
              <w:r w:rsidRPr="00C14C4E">
                <w:rPr>
                  <w:bCs/>
                  <w:color w:val="234C9F"/>
                  <w:u w:val="single"/>
                </w:rPr>
                <w:t>Ancillary Benefits Quick Reference Guide</w:t>
              </w:r>
            </w:hyperlink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Transfer to RAS and CPS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 xml:space="preserve">M21-1MR III.i.2.B.5.d 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Guard and Reserve attending Demobilization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>FL 09-31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  <w:r w:rsidRPr="00C14C4E">
              <w:rPr>
                <w:bCs/>
              </w:rPr>
              <w:t>Not required to submit STRs and goes to CPS.</w:t>
            </w: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Pre-Discharge claims worked at the RO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>FL 09-31</w:t>
            </w: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  <w:tr w:rsidR="00C14C4E" w:rsidRPr="00C14C4E" w:rsidTr="00056BE2">
        <w:trPr>
          <w:cantSplit/>
        </w:trPr>
        <w:tc>
          <w:tcPr>
            <w:tcW w:w="3150" w:type="dxa"/>
          </w:tcPr>
          <w:p w:rsidR="00C14C4E" w:rsidRPr="00C14C4E" w:rsidRDefault="00C14C4E" w:rsidP="00C14C4E">
            <w:pPr>
              <w:keepNext/>
              <w:outlineLvl w:val="2"/>
              <w:rPr>
                <w:bCs/>
              </w:rPr>
            </w:pPr>
            <w:r w:rsidRPr="00C14C4E">
              <w:rPr>
                <w:bCs/>
              </w:rPr>
              <w:t>Unique Quick Start Actions</w:t>
            </w:r>
          </w:p>
        </w:tc>
        <w:tc>
          <w:tcPr>
            <w:tcW w:w="5130" w:type="dxa"/>
          </w:tcPr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  <w:r w:rsidRPr="00C14C4E">
              <w:rPr>
                <w:bCs/>
              </w:rPr>
              <w:t>M21-1MR III.i.2.B.5</w:t>
            </w:r>
          </w:p>
          <w:p w:rsidR="00C14C4E" w:rsidRPr="00C14C4E" w:rsidRDefault="00C14C4E" w:rsidP="00C14C4E">
            <w:pPr>
              <w:keepNext/>
              <w:outlineLvl w:val="0"/>
              <w:rPr>
                <w:bCs/>
              </w:rPr>
            </w:pPr>
          </w:p>
        </w:tc>
        <w:tc>
          <w:tcPr>
            <w:tcW w:w="2430" w:type="dxa"/>
          </w:tcPr>
          <w:p w:rsidR="00C14C4E" w:rsidRPr="00C14C4E" w:rsidRDefault="00C14C4E" w:rsidP="00C14C4E">
            <w:pPr>
              <w:rPr>
                <w:bCs/>
              </w:rPr>
            </w:pPr>
          </w:p>
        </w:tc>
      </w:tr>
    </w:tbl>
    <w:p w:rsidR="00012EA2" w:rsidRDefault="00012EA2"/>
    <w:sectPr w:rsidR="00012EA2" w:rsidSect="00B801B3">
      <w:headerReference w:type="default" r:id="rId13"/>
      <w:footerReference w:type="default" r:id="rId14"/>
      <w:pgSz w:w="12240" w:h="15840" w:code="1"/>
      <w:pgMar w:top="1440" w:right="43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B9" w:rsidRDefault="00CD17B9">
      <w:r>
        <w:separator/>
      </w:r>
    </w:p>
  </w:endnote>
  <w:endnote w:type="continuationSeparator" w:id="0">
    <w:p w:rsidR="00CD17B9" w:rsidRDefault="00CD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F" w:rsidRDefault="00C14C4E">
    <w:pPr>
      <w:pStyle w:val="Footer"/>
      <w:jc w:val="right"/>
    </w:pPr>
    <w:r>
      <w:t>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B9" w:rsidRDefault="00CD17B9">
      <w:r>
        <w:separator/>
      </w:r>
    </w:p>
  </w:footnote>
  <w:footnote w:type="continuationSeparator" w:id="0">
    <w:p w:rsidR="00CD17B9" w:rsidRDefault="00CD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F" w:rsidRPr="00394AAE" w:rsidRDefault="00C14C4E">
    <w:pPr>
      <w:pStyle w:val="Header"/>
      <w:jc w:val="center"/>
      <w:rPr>
        <w:sz w:val="36"/>
      </w:rPr>
    </w:pPr>
    <w:r w:rsidRPr="00394AAE">
      <w:rPr>
        <w:sz w:val="36"/>
      </w:rPr>
      <w:t xml:space="preserve">BDD and Quick Start Claims </w:t>
    </w:r>
    <w:r>
      <w:rPr>
        <w:sz w:val="36"/>
      </w:rPr>
      <w:t>Quick Reference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03C7D"/>
    <w:multiLevelType w:val="hybridMultilevel"/>
    <w:tmpl w:val="96C8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4E"/>
    <w:rsid w:val="00012EA2"/>
    <w:rsid w:val="001A7605"/>
    <w:rsid w:val="00893473"/>
    <w:rsid w:val="00C14C4E"/>
    <w:rsid w:val="00C263CC"/>
    <w:rsid w:val="00C70AD8"/>
    <w:rsid w:val="00CD17B9"/>
    <w:rsid w:val="00D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14C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14C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14C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14C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4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14C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14C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14C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14C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its.va.gov/WARMS/docs/admin21/m21_1/mr/part3/subpti/ch02/M21-1MRIII_i_2_TOC.do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tande.org/VBA_Learning_Catalog/Comp_Svc/Add_Ref/Anc_Quick_Ref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nefits.va.gov/WARMS/docs/admin21/m21_1/mr/part3/subpti/ch02/M21-1MRIII_i_2_SecC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nefits.va.gov/WARMS/docs/admin21/m21_1/mr/part3/subpti/ch02/pt03_sp01_ch02_SecB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efits.va.gov/WARMS/docs/admin21/m21_1/mr/part3/subpti/ch02/pt03_sp01_ch02_SecA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BDD and Quick Start Claims Quick Reference Guide</vt:lpstr>
    </vt:vector>
  </TitlesOfParts>
  <Company>Veterans Benefits Administration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BDD and Quick Start Claims Quick Reference Guide</dc:title>
  <dc:creator>Department of Veterans Affairs, Veterans Benefits Administration,Compensation Service, STAFF</dc:creator>
  <cp:keywords>BDD, Quick Start, M21-1MR Part III, reference, guide, quick, WARMS</cp:keywords>
  <cp:lastModifiedBy>Sochar, Lisa</cp:lastModifiedBy>
  <cp:revision>4</cp:revision>
  <dcterms:created xsi:type="dcterms:W3CDTF">2014-06-09T23:42:00Z</dcterms:created>
  <dcterms:modified xsi:type="dcterms:W3CDTF">2014-06-19T16:46:00Z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Reference">
    <vt:lpwstr>Training Aid</vt:lpwstr>
  </property>
</Properties>
</file>