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257" w:rsidRPr="00FB3257" w:rsidRDefault="00FB3257">
      <w:pPr>
        <w:rPr>
          <w:rFonts w:ascii="Times New Roman" w:hAnsi="Times New Roman" w:cs="Times New Roman"/>
          <w:i/>
          <w:sz w:val="24"/>
        </w:rPr>
      </w:pPr>
      <w:r w:rsidRPr="00FB3257">
        <w:rPr>
          <w:rFonts w:ascii="Times New Roman" w:hAnsi="Times New Roman" w:cs="Times New Roman"/>
          <w:b/>
          <w:i/>
          <w:sz w:val="24"/>
        </w:rPr>
        <w:t>Instructions:</w:t>
      </w:r>
      <w:r w:rsidRPr="00FB3257">
        <w:rPr>
          <w:rFonts w:ascii="Times New Roman" w:hAnsi="Times New Roman" w:cs="Times New Roman"/>
          <w:i/>
          <w:sz w:val="24"/>
        </w:rPr>
        <w:t xml:space="preserve">  Using 38 CFR references as necessary:  §4.75-4.79, §3.350, and §3.383, complete the following exercises when instructed.  </w:t>
      </w:r>
    </w:p>
    <w:p w:rsidR="00FB3257" w:rsidRPr="00FB3257" w:rsidRDefault="00FB3257">
      <w:pPr>
        <w:rPr>
          <w:rFonts w:ascii="Times New Roman" w:hAnsi="Times New Roman" w:cs="Times New Roman"/>
          <w:b/>
          <w:sz w:val="28"/>
        </w:rPr>
      </w:pPr>
      <w:r w:rsidRPr="00FB3257">
        <w:rPr>
          <w:rFonts w:ascii="Times New Roman" w:hAnsi="Times New Roman" w:cs="Times New Roman"/>
          <w:b/>
          <w:sz w:val="28"/>
        </w:rPr>
        <w:t>Visual Acuity:</w:t>
      </w:r>
    </w:p>
    <w:tbl>
      <w:tblPr>
        <w:tblStyle w:val="TableGrid"/>
        <w:tblW w:w="0" w:type="auto"/>
        <w:tblLook w:val="04A0" w:firstRow="1" w:lastRow="0" w:firstColumn="1" w:lastColumn="0" w:noHBand="0" w:noVBand="1"/>
      </w:tblPr>
      <w:tblGrid>
        <w:gridCol w:w="3192"/>
        <w:gridCol w:w="3192"/>
        <w:gridCol w:w="3192"/>
      </w:tblGrid>
      <w:tr w:rsidR="00FB3257" w:rsidRPr="00FB3257" w:rsidTr="00FB3257">
        <w:tc>
          <w:tcPr>
            <w:tcW w:w="3192" w:type="dxa"/>
          </w:tcPr>
          <w:p w:rsidR="00FB3257" w:rsidRPr="00FB3257" w:rsidRDefault="00FB3257" w:rsidP="00FB3257">
            <w:pPr>
              <w:jc w:val="center"/>
              <w:rPr>
                <w:rFonts w:ascii="Times New Roman" w:hAnsi="Times New Roman" w:cs="Times New Roman"/>
                <w:b/>
                <w:sz w:val="24"/>
              </w:rPr>
            </w:pPr>
            <w:r w:rsidRPr="00FB3257">
              <w:rPr>
                <w:rFonts w:ascii="Times New Roman" w:hAnsi="Times New Roman" w:cs="Times New Roman"/>
                <w:b/>
                <w:sz w:val="24"/>
              </w:rPr>
              <w:t>Left</w:t>
            </w:r>
          </w:p>
        </w:tc>
        <w:tc>
          <w:tcPr>
            <w:tcW w:w="3192" w:type="dxa"/>
          </w:tcPr>
          <w:p w:rsidR="00FB3257" w:rsidRPr="00FB3257" w:rsidRDefault="00FB3257" w:rsidP="00FB3257">
            <w:pPr>
              <w:jc w:val="center"/>
              <w:rPr>
                <w:rFonts w:ascii="Times New Roman" w:hAnsi="Times New Roman" w:cs="Times New Roman"/>
                <w:b/>
                <w:sz w:val="24"/>
              </w:rPr>
            </w:pPr>
            <w:r w:rsidRPr="00FB3257">
              <w:rPr>
                <w:rFonts w:ascii="Times New Roman" w:hAnsi="Times New Roman" w:cs="Times New Roman"/>
                <w:b/>
                <w:sz w:val="24"/>
              </w:rPr>
              <w:t>Right</w:t>
            </w:r>
          </w:p>
        </w:tc>
        <w:tc>
          <w:tcPr>
            <w:tcW w:w="3192" w:type="dxa"/>
          </w:tcPr>
          <w:p w:rsidR="00FB3257" w:rsidRPr="00FB3257" w:rsidRDefault="00FB3257" w:rsidP="00FB3257">
            <w:pPr>
              <w:jc w:val="center"/>
              <w:rPr>
                <w:rFonts w:ascii="Times New Roman" w:hAnsi="Times New Roman" w:cs="Times New Roman"/>
                <w:b/>
                <w:sz w:val="24"/>
              </w:rPr>
            </w:pPr>
            <w:r w:rsidRPr="00FB3257">
              <w:rPr>
                <w:rFonts w:ascii="Times New Roman" w:hAnsi="Times New Roman" w:cs="Times New Roman"/>
                <w:b/>
                <w:sz w:val="24"/>
              </w:rPr>
              <w:t>Evaluation/Other Considerations</w:t>
            </w: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20/40</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20/70</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20/50</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20/100</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15/200</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NSC 20/100</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15/200</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NSC 20/200</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LPO</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20/70</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LPO</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NLP</w:t>
            </w:r>
          </w:p>
        </w:tc>
        <w:tc>
          <w:tcPr>
            <w:tcW w:w="3192" w:type="dxa"/>
          </w:tcPr>
          <w:p w:rsidR="00FB3257" w:rsidRPr="00FB3257" w:rsidRDefault="00FB3257">
            <w:pPr>
              <w:rPr>
                <w:rFonts w:ascii="Times New Roman" w:hAnsi="Times New Roman" w:cs="Times New Roman"/>
                <w:sz w:val="24"/>
              </w:rPr>
            </w:pPr>
          </w:p>
        </w:tc>
      </w:tr>
      <w:tr w:rsidR="00FB3257" w:rsidRPr="00FB3257" w:rsidTr="00FB3257">
        <w:trPr>
          <w:trHeight w:hRule="exact" w:val="432"/>
        </w:trPr>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CF 2’</w:t>
            </w:r>
          </w:p>
        </w:tc>
        <w:tc>
          <w:tcPr>
            <w:tcW w:w="3192" w:type="dxa"/>
            <w:vAlign w:val="center"/>
          </w:tcPr>
          <w:p w:rsidR="00FB3257" w:rsidRPr="00FB3257" w:rsidRDefault="00FB3257" w:rsidP="00FB3257">
            <w:pPr>
              <w:jc w:val="center"/>
              <w:rPr>
                <w:rFonts w:ascii="Times New Roman" w:hAnsi="Times New Roman" w:cs="Times New Roman"/>
                <w:sz w:val="24"/>
              </w:rPr>
            </w:pPr>
            <w:r w:rsidRPr="00FB3257">
              <w:rPr>
                <w:rFonts w:ascii="Times New Roman" w:hAnsi="Times New Roman" w:cs="Times New Roman"/>
                <w:sz w:val="24"/>
              </w:rPr>
              <w:t>20/50</w:t>
            </w:r>
          </w:p>
        </w:tc>
        <w:tc>
          <w:tcPr>
            <w:tcW w:w="3192" w:type="dxa"/>
          </w:tcPr>
          <w:p w:rsidR="00FB3257" w:rsidRPr="00FB3257" w:rsidRDefault="00FB3257">
            <w:pPr>
              <w:rPr>
                <w:rFonts w:ascii="Times New Roman" w:hAnsi="Times New Roman" w:cs="Times New Roman"/>
                <w:sz w:val="24"/>
              </w:rPr>
            </w:pPr>
          </w:p>
        </w:tc>
      </w:tr>
    </w:tbl>
    <w:p w:rsidR="00FB3257" w:rsidRDefault="00FB3257">
      <w:pPr>
        <w:rPr>
          <w:rFonts w:ascii="Times New Roman" w:hAnsi="Times New Roman" w:cs="Times New Roman"/>
          <w:sz w:val="24"/>
        </w:rPr>
      </w:pPr>
    </w:p>
    <w:p w:rsidR="00FB3257" w:rsidRPr="00FB3257" w:rsidRDefault="00FB3257" w:rsidP="00FB3257">
      <w:pPr>
        <w:spacing w:after="0"/>
        <w:rPr>
          <w:rFonts w:ascii="Times New Roman" w:hAnsi="Times New Roman" w:cs="Times New Roman"/>
          <w:sz w:val="24"/>
          <w:u w:val="single"/>
        </w:rPr>
      </w:pPr>
      <w:r w:rsidRPr="00FB3257">
        <w:rPr>
          <w:rFonts w:ascii="Times New Roman" w:hAnsi="Times New Roman" w:cs="Times New Roman"/>
          <w:sz w:val="24"/>
          <w:u w:val="single"/>
        </w:rPr>
        <w:t xml:space="preserve">Key:  </w:t>
      </w:r>
    </w:p>
    <w:p w:rsidR="00FB3257" w:rsidRDefault="00FB3257" w:rsidP="00FB3257">
      <w:pPr>
        <w:spacing w:after="0"/>
        <w:rPr>
          <w:rFonts w:ascii="Times New Roman" w:hAnsi="Times New Roman" w:cs="Times New Roman"/>
          <w:sz w:val="24"/>
        </w:rPr>
      </w:pPr>
      <w:r>
        <w:rPr>
          <w:rFonts w:ascii="Times New Roman" w:hAnsi="Times New Roman" w:cs="Times New Roman"/>
          <w:sz w:val="24"/>
        </w:rPr>
        <w:t>NSC = non-service connected</w:t>
      </w:r>
    </w:p>
    <w:p w:rsidR="00FB3257" w:rsidRDefault="00FB3257" w:rsidP="00FB3257">
      <w:pPr>
        <w:spacing w:after="0"/>
        <w:rPr>
          <w:rFonts w:ascii="Times New Roman" w:hAnsi="Times New Roman" w:cs="Times New Roman"/>
          <w:sz w:val="24"/>
        </w:rPr>
      </w:pPr>
      <w:r>
        <w:rPr>
          <w:rFonts w:ascii="Times New Roman" w:hAnsi="Times New Roman" w:cs="Times New Roman"/>
          <w:sz w:val="24"/>
        </w:rPr>
        <w:t>NLP = no light perception</w:t>
      </w:r>
    </w:p>
    <w:p w:rsidR="00FB3257" w:rsidRDefault="00FB3257" w:rsidP="00FB3257">
      <w:pPr>
        <w:spacing w:after="0"/>
        <w:rPr>
          <w:rFonts w:ascii="Times New Roman" w:hAnsi="Times New Roman" w:cs="Times New Roman"/>
          <w:sz w:val="24"/>
        </w:rPr>
      </w:pPr>
      <w:r>
        <w:rPr>
          <w:rFonts w:ascii="Times New Roman" w:hAnsi="Times New Roman" w:cs="Times New Roman"/>
          <w:sz w:val="24"/>
        </w:rPr>
        <w:t>LPO = light perception only</w:t>
      </w:r>
    </w:p>
    <w:p w:rsidR="00FB3257" w:rsidRDefault="00FB3257" w:rsidP="00FB3257">
      <w:pPr>
        <w:spacing w:after="0"/>
        <w:rPr>
          <w:rFonts w:ascii="Times New Roman" w:hAnsi="Times New Roman" w:cs="Times New Roman"/>
          <w:sz w:val="24"/>
        </w:rPr>
      </w:pPr>
      <w:r>
        <w:rPr>
          <w:rFonts w:ascii="Times New Roman" w:hAnsi="Times New Roman" w:cs="Times New Roman"/>
          <w:sz w:val="24"/>
        </w:rPr>
        <w:t>CF = counting fingers</w:t>
      </w:r>
    </w:p>
    <w:p w:rsidR="00FB3257" w:rsidRDefault="00FB3257">
      <w:pPr>
        <w:rPr>
          <w:rFonts w:ascii="Times New Roman" w:hAnsi="Times New Roman" w:cs="Times New Roman"/>
          <w:sz w:val="24"/>
        </w:rPr>
      </w:pPr>
    </w:p>
    <w:p w:rsidR="00FB3257" w:rsidRPr="00FB3257" w:rsidRDefault="00FB3257">
      <w:pPr>
        <w:rPr>
          <w:rFonts w:ascii="Times New Roman" w:hAnsi="Times New Roman" w:cs="Times New Roman"/>
          <w:sz w:val="24"/>
        </w:rPr>
      </w:pPr>
    </w:p>
    <w:p w:rsidR="00FB3257" w:rsidRPr="00FB3257" w:rsidRDefault="00FB3257">
      <w:pPr>
        <w:rPr>
          <w:rFonts w:ascii="Times New Roman" w:hAnsi="Times New Roman" w:cs="Times New Roman"/>
          <w:b/>
          <w:sz w:val="28"/>
        </w:rPr>
      </w:pPr>
      <w:r w:rsidRPr="00FB3257">
        <w:rPr>
          <w:rFonts w:ascii="Times New Roman" w:hAnsi="Times New Roman" w:cs="Times New Roman"/>
          <w:b/>
          <w:sz w:val="28"/>
        </w:rPr>
        <w:t xml:space="preserve">Visual Fields:  </w:t>
      </w:r>
    </w:p>
    <w:p w:rsidR="00FB3257" w:rsidRPr="00FB3257" w:rsidRDefault="00FB3257" w:rsidP="00FB3257">
      <w:pPr>
        <w:rPr>
          <w:rFonts w:ascii="Times New Roman" w:hAnsi="Times New Roman" w:cs="Times New Roman"/>
          <w:sz w:val="24"/>
        </w:rPr>
      </w:pPr>
      <w:r w:rsidRPr="00FB3257">
        <w:rPr>
          <w:rFonts w:ascii="Times New Roman" w:hAnsi="Times New Roman" w:cs="Times New Roman"/>
          <w:sz w:val="24"/>
        </w:rPr>
        <w:t xml:space="preserve">A Veteran is service connected for glaucoma. Upon examination, the examiner notes that the Veteran’s remaining field of vision averages 34 degrees OD and 48 degrees OS. The examiner also noted that the Veteran’s best corrected distant vision was 20/50 OD and 20/50 OS.  All visual impairment findings are due to the glaucoma diagnosis. </w:t>
      </w:r>
    </w:p>
    <w:p w:rsidR="00FB3257" w:rsidRPr="00FB3257" w:rsidRDefault="00FB3257" w:rsidP="00FB3257">
      <w:pPr>
        <w:rPr>
          <w:rFonts w:ascii="Times New Roman" w:hAnsi="Times New Roman" w:cs="Times New Roman"/>
          <w:sz w:val="24"/>
        </w:rPr>
      </w:pPr>
      <w:r w:rsidRPr="00FB3257">
        <w:rPr>
          <w:rFonts w:ascii="Times New Roman" w:hAnsi="Times New Roman" w:cs="Times New Roman"/>
          <w:sz w:val="24"/>
        </w:rPr>
        <w:t>What evaluation would you assign?</w:t>
      </w:r>
    </w:p>
    <w:p w:rsidR="00FB3257" w:rsidRDefault="00FB3257">
      <w:bookmarkStart w:id="0" w:name="_GoBack"/>
      <w:bookmarkEnd w:id="0"/>
    </w:p>
    <w:sectPr w:rsidR="00FB32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B35" w:rsidRDefault="00B11B35" w:rsidP="00FB3257">
      <w:pPr>
        <w:spacing w:after="0" w:line="240" w:lineRule="auto"/>
      </w:pPr>
      <w:r>
        <w:separator/>
      </w:r>
    </w:p>
  </w:endnote>
  <w:endnote w:type="continuationSeparator" w:id="0">
    <w:p w:rsidR="00B11B35" w:rsidRDefault="00B11B35" w:rsidP="00F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B35" w:rsidRDefault="00B11B35" w:rsidP="00FB3257">
      <w:pPr>
        <w:spacing w:after="0" w:line="240" w:lineRule="auto"/>
      </w:pPr>
      <w:r>
        <w:separator/>
      </w:r>
    </w:p>
  </w:footnote>
  <w:footnote w:type="continuationSeparator" w:id="0">
    <w:p w:rsidR="00B11B35" w:rsidRDefault="00B11B35" w:rsidP="00FB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57" w:rsidRPr="00FB3257" w:rsidRDefault="00FB3257" w:rsidP="00FB3257">
    <w:pPr>
      <w:pStyle w:val="Header"/>
      <w:jc w:val="center"/>
      <w:rPr>
        <w:rFonts w:ascii="Times New Roman" w:hAnsi="Times New Roman" w:cs="Times New Roman"/>
        <w:sz w:val="32"/>
      </w:rPr>
    </w:pPr>
    <w:r w:rsidRPr="00FB3257">
      <w:rPr>
        <w:rFonts w:ascii="Times New Roman" w:hAnsi="Times New Roman" w:cs="Times New Roman"/>
        <w:sz w:val="32"/>
      </w:rPr>
      <w:t>Visual Impairment Exercise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257"/>
    <w:rsid w:val="0013357C"/>
    <w:rsid w:val="002249D8"/>
    <w:rsid w:val="0023096E"/>
    <w:rsid w:val="00355C39"/>
    <w:rsid w:val="006E75CC"/>
    <w:rsid w:val="006F5686"/>
    <w:rsid w:val="0075290C"/>
    <w:rsid w:val="00791810"/>
    <w:rsid w:val="008E2D42"/>
    <w:rsid w:val="009B177C"/>
    <w:rsid w:val="00B11B35"/>
    <w:rsid w:val="00E83C6E"/>
    <w:rsid w:val="00F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FF07D-168C-490A-8241-D6885BB8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257"/>
  </w:style>
  <w:style w:type="paragraph" w:styleId="Footer">
    <w:name w:val="footer"/>
    <w:basedOn w:val="Normal"/>
    <w:link w:val="FooterChar"/>
    <w:uiPriority w:val="99"/>
    <w:unhideWhenUsed/>
    <w:rsid w:val="00FB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Eyes (Challenge) Handout</vt:lpstr>
    </vt:vector>
  </TitlesOfParts>
  <Company>Veterans Benefits Administration</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Eyes (Challenge) Handout</dc:title>
  <dc:subject>RVSR, RQRS, DRO</dc:subject>
  <dc:creator>Department of Veterans Affairs, Veterans Benefits Administration, Compensation Service, STAFF</dc:creator>
  <cp:keywords>vision,goldmann,eye,eyes,glaucoma,cataracts,visual impairment,acuity,visual fields,diplopia</cp:keywords>
  <dc:description>This lesson provides a regulatory and procedural basis for the rating of eye diseases. This lesson introduces employees to the eye rating schedule so they can correctly evaluate eye conditions.</dc:description>
  <cp:lastModifiedBy>Kathy Poole</cp:lastModifiedBy>
  <cp:revision>2</cp:revision>
  <dcterms:created xsi:type="dcterms:W3CDTF">2018-03-22T18:17:00Z</dcterms:created>
  <dcterms:modified xsi:type="dcterms:W3CDTF">2018-04-26T16:21:00Z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