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D706F" w14:textId="77777777" w:rsidR="00140EF7" w:rsidRDefault="00140EF7" w:rsidP="00140EF7">
      <w:pPr>
        <w:spacing w:line="259" w:lineRule="auto"/>
        <w:ind w:left="15" w:hanging="10"/>
        <w:jc w:val="center"/>
      </w:pPr>
      <w:bookmarkStart w:id="0" w:name="_GoBack"/>
      <w:bookmarkEnd w:id="0"/>
      <w:r>
        <w:rPr>
          <w:b/>
        </w:rPr>
        <w:t xml:space="preserve">Rating Reductions (RVSR IWT) </w:t>
      </w:r>
    </w:p>
    <w:p w14:paraId="2CFF050D" w14:textId="77777777" w:rsidR="00140EF7" w:rsidRDefault="00140EF7">
      <w:pPr>
        <w:spacing w:line="259" w:lineRule="auto"/>
        <w:ind w:left="15" w:hanging="10"/>
        <w:jc w:val="center"/>
        <w:rPr>
          <w:b/>
        </w:rPr>
      </w:pPr>
      <w:r>
        <w:rPr>
          <w:b/>
        </w:rPr>
        <w:t>References</w:t>
      </w:r>
    </w:p>
    <w:p w14:paraId="4E719C70" w14:textId="77777777" w:rsidR="00140EF7" w:rsidRDefault="00140EF7">
      <w:pPr>
        <w:spacing w:line="259" w:lineRule="auto"/>
        <w:ind w:left="15" w:hanging="10"/>
        <w:jc w:val="center"/>
        <w:rPr>
          <w:b/>
        </w:rPr>
      </w:pPr>
    </w:p>
    <w:tbl>
      <w:tblPr>
        <w:tblW w:w="9752" w:type="dxa"/>
        <w:tblInd w:w="25" w:type="dxa"/>
        <w:tblLayout w:type="fixed"/>
        <w:tblCellMar>
          <w:left w:w="115" w:type="dxa"/>
          <w:right w:w="115" w:type="dxa"/>
        </w:tblCellMar>
        <w:tblLook w:val="0000" w:firstRow="0" w:lastRow="0" w:firstColumn="0" w:lastColumn="0" w:noHBand="0" w:noVBand="0"/>
      </w:tblPr>
      <w:tblGrid>
        <w:gridCol w:w="9752"/>
      </w:tblGrid>
      <w:tr w:rsidR="00140EF7" w:rsidRPr="00155BA1" w14:paraId="0DB51C86" w14:textId="77777777" w:rsidTr="00C37405">
        <w:trPr>
          <w:trHeight w:val="212"/>
        </w:trPr>
        <w:tc>
          <w:tcPr>
            <w:tcW w:w="7232" w:type="dxa"/>
            <w:tcBorders>
              <w:top w:val="nil"/>
              <w:left w:val="nil"/>
              <w:bottom w:val="nil"/>
              <w:right w:val="nil"/>
            </w:tcBorders>
          </w:tcPr>
          <w:p w14:paraId="778B50EC" w14:textId="77777777" w:rsidR="00140EF7" w:rsidRPr="00155BA1" w:rsidRDefault="00140EF7" w:rsidP="00C37405">
            <w:pPr>
              <w:pStyle w:val="VBABodyText"/>
              <w:rPr>
                <w:noProof/>
                <w:color w:val="auto"/>
              </w:rPr>
            </w:pPr>
            <w:r w:rsidRPr="00155BA1">
              <w:rPr>
                <w:noProof/>
                <w:color w:val="auto"/>
              </w:rPr>
              <w:t xml:space="preserve">38 CFR </w:t>
            </w:r>
            <w:hyperlink r:id="rId11">
              <w:r w:rsidRPr="00155BA1">
                <w:rPr>
                  <w:rStyle w:val="Hyperlink"/>
                  <w:noProof/>
                </w:rPr>
                <w:t>3.103</w:t>
              </w:r>
            </w:hyperlink>
            <w:hyperlink r:id="rId12">
              <w:r w:rsidRPr="00155BA1">
                <w:rPr>
                  <w:rStyle w:val="Hyperlink"/>
                  <w:noProof/>
                </w:rPr>
                <w:t xml:space="preserve"> </w:t>
              </w:r>
            </w:hyperlink>
            <w:r w:rsidRPr="00155BA1">
              <w:rPr>
                <w:noProof/>
                <w:color w:val="auto"/>
              </w:rPr>
              <w:t xml:space="preserve"> Procedural due process &amp; appellate rights</w:t>
            </w:r>
          </w:p>
          <w:p w14:paraId="36AC5E94" w14:textId="77777777" w:rsidR="00140EF7" w:rsidRPr="00155BA1" w:rsidRDefault="00140EF7" w:rsidP="00C37405">
            <w:pPr>
              <w:pStyle w:val="VBABodyText"/>
              <w:rPr>
                <w:noProof/>
                <w:color w:val="auto"/>
              </w:rPr>
            </w:pPr>
            <w:r w:rsidRPr="00155BA1">
              <w:rPr>
                <w:noProof/>
                <w:color w:val="auto"/>
              </w:rPr>
              <w:t xml:space="preserve">38 CFR </w:t>
            </w:r>
            <w:hyperlink r:id="rId13">
              <w:r w:rsidRPr="00155BA1">
                <w:rPr>
                  <w:rStyle w:val="Hyperlink"/>
                  <w:noProof/>
                </w:rPr>
                <w:t>3.105</w:t>
              </w:r>
            </w:hyperlink>
            <w:hyperlink r:id="rId14">
              <w:r w:rsidRPr="00155BA1">
                <w:rPr>
                  <w:rStyle w:val="Hyperlink"/>
                  <w:noProof/>
                </w:rPr>
                <w:t xml:space="preserve"> </w:t>
              </w:r>
            </w:hyperlink>
            <w:r w:rsidRPr="00155BA1">
              <w:rPr>
                <w:noProof/>
                <w:color w:val="auto"/>
              </w:rPr>
              <w:t xml:space="preserve"> Revision of decisions </w:t>
            </w:r>
          </w:p>
        </w:tc>
      </w:tr>
      <w:tr w:rsidR="00140EF7" w:rsidRPr="00155BA1" w14:paraId="32AF7B81" w14:textId="77777777" w:rsidTr="00C37405">
        <w:trPr>
          <w:trHeight w:val="212"/>
        </w:trPr>
        <w:tc>
          <w:tcPr>
            <w:tcW w:w="7232" w:type="dxa"/>
            <w:tcBorders>
              <w:top w:val="nil"/>
              <w:left w:val="nil"/>
              <w:bottom w:val="nil"/>
              <w:right w:val="nil"/>
            </w:tcBorders>
          </w:tcPr>
          <w:p w14:paraId="78140277" w14:textId="77777777" w:rsidR="00140EF7" w:rsidRPr="00155BA1" w:rsidRDefault="00140EF7" w:rsidP="00C37405">
            <w:pPr>
              <w:pStyle w:val="VBABodyText"/>
              <w:rPr>
                <w:noProof/>
                <w:color w:val="auto"/>
              </w:rPr>
            </w:pPr>
            <w:r w:rsidRPr="00155BA1">
              <w:rPr>
                <w:noProof/>
                <w:color w:val="auto"/>
              </w:rPr>
              <w:t xml:space="preserve">38 CFR </w:t>
            </w:r>
            <w:hyperlink r:id="rId15" w:anchor="se38.1.3_1327">
              <w:r w:rsidRPr="00155BA1">
                <w:rPr>
                  <w:rStyle w:val="Hyperlink"/>
                  <w:noProof/>
                </w:rPr>
                <w:t>3.327</w:t>
              </w:r>
            </w:hyperlink>
            <w:hyperlink r:id="rId16" w:anchor="se38.1.3_1327">
              <w:r w:rsidRPr="00155BA1">
                <w:rPr>
                  <w:rStyle w:val="Hyperlink"/>
                  <w:noProof/>
                </w:rPr>
                <w:t xml:space="preserve"> </w:t>
              </w:r>
            </w:hyperlink>
            <w:r w:rsidRPr="00155BA1">
              <w:rPr>
                <w:noProof/>
                <w:color w:val="auto"/>
              </w:rPr>
              <w:t xml:space="preserve"> Reexaminations </w:t>
            </w:r>
          </w:p>
        </w:tc>
      </w:tr>
      <w:tr w:rsidR="00140EF7" w:rsidRPr="00155BA1" w14:paraId="6921D4B9" w14:textId="77777777" w:rsidTr="00C37405">
        <w:trPr>
          <w:trHeight w:val="212"/>
        </w:trPr>
        <w:tc>
          <w:tcPr>
            <w:tcW w:w="7232" w:type="dxa"/>
            <w:tcBorders>
              <w:top w:val="nil"/>
              <w:left w:val="nil"/>
              <w:bottom w:val="nil"/>
              <w:right w:val="nil"/>
            </w:tcBorders>
          </w:tcPr>
          <w:p w14:paraId="1121C97A" w14:textId="77777777" w:rsidR="00140EF7" w:rsidRDefault="00140EF7" w:rsidP="00C37405">
            <w:pPr>
              <w:pStyle w:val="VBABodyText"/>
              <w:rPr>
                <w:noProof/>
                <w:color w:val="auto"/>
              </w:rPr>
            </w:pPr>
            <w:r w:rsidRPr="00155BA1">
              <w:rPr>
                <w:noProof/>
                <w:color w:val="auto"/>
              </w:rPr>
              <w:t xml:space="preserve">38 CFR </w:t>
            </w:r>
            <w:hyperlink r:id="rId17">
              <w:r w:rsidRPr="00155BA1">
                <w:rPr>
                  <w:rStyle w:val="Hyperlink"/>
                  <w:noProof/>
                </w:rPr>
                <w:t>3.344</w:t>
              </w:r>
            </w:hyperlink>
            <w:hyperlink r:id="rId18">
              <w:r w:rsidRPr="00155BA1">
                <w:rPr>
                  <w:rStyle w:val="Hyperlink"/>
                  <w:noProof/>
                </w:rPr>
                <w:t xml:space="preserve"> </w:t>
              </w:r>
            </w:hyperlink>
            <w:r w:rsidRPr="00155BA1">
              <w:rPr>
                <w:noProof/>
                <w:color w:val="auto"/>
              </w:rPr>
              <w:t xml:space="preserve"> Stabilization of disability evaluations </w:t>
            </w:r>
          </w:p>
          <w:p w14:paraId="583AF6FB" w14:textId="77777777" w:rsidR="00351575" w:rsidRPr="00155BA1" w:rsidRDefault="00351575" w:rsidP="00C37405">
            <w:pPr>
              <w:pStyle w:val="VBABodyText"/>
              <w:rPr>
                <w:noProof/>
                <w:color w:val="auto"/>
              </w:rPr>
            </w:pPr>
            <w:r>
              <w:rPr>
                <w:noProof/>
                <w:color w:val="auto"/>
              </w:rPr>
              <w:t xml:space="preserve">38 CFR </w:t>
            </w:r>
            <w:hyperlink r:id="rId19" w:anchor="se38.1.3_1400" w:history="1">
              <w:r w:rsidRPr="0054526D">
                <w:rPr>
                  <w:rStyle w:val="Hyperlink"/>
                  <w:noProof/>
                </w:rPr>
                <w:t>3.400</w:t>
              </w:r>
            </w:hyperlink>
            <w:r>
              <w:rPr>
                <w:noProof/>
                <w:color w:val="auto"/>
              </w:rPr>
              <w:t xml:space="preserve"> Effective dates</w:t>
            </w:r>
          </w:p>
        </w:tc>
      </w:tr>
      <w:tr w:rsidR="00140EF7" w:rsidRPr="00155BA1" w14:paraId="300A9506" w14:textId="77777777" w:rsidTr="00C37405">
        <w:trPr>
          <w:trHeight w:val="212"/>
        </w:trPr>
        <w:tc>
          <w:tcPr>
            <w:tcW w:w="7232" w:type="dxa"/>
            <w:tcBorders>
              <w:top w:val="nil"/>
              <w:left w:val="nil"/>
              <w:bottom w:val="nil"/>
              <w:right w:val="nil"/>
            </w:tcBorders>
          </w:tcPr>
          <w:p w14:paraId="51EA995E" w14:textId="77777777" w:rsidR="00140EF7" w:rsidRPr="00155BA1" w:rsidRDefault="00140EF7" w:rsidP="00C37405">
            <w:pPr>
              <w:pStyle w:val="VBABodyText"/>
              <w:rPr>
                <w:noProof/>
                <w:color w:val="auto"/>
              </w:rPr>
            </w:pPr>
            <w:r w:rsidRPr="00155BA1">
              <w:rPr>
                <w:noProof/>
                <w:color w:val="auto"/>
              </w:rPr>
              <w:t xml:space="preserve">38 CFR </w:t>
            </w:r>
            <w:hyperlink r:id="rId20">
              <w:r w:rsidRPr="00155BA1">
                <w:rPr>
                  <w:rStyle w:val="Hyperlink"/>
                  <w:noProof/>
                </w:rPr>
                <w:t>3.500</w:t>
              </w:r>
            </w:hyperlink>
            <w:hyperlink r:id="rId21">
              <w:r w:rsidRPr="00155BA1">
                <w:rPr>
                  <w:rStyle w:val="Hyperlink"/>
                  <w:noProof/>
                </w:rPr>
                <w:t xml:space="preserve"> </w:t>
              </w:r>
            </w:hyperlink>
            <w:r w:rsidRPr="00155BA1">
              <w:rPr>
                <w:noProof/>
                <w:color w:val="auto"/>
              </w:rPr>
              <w:t xml:space="preserve"> Reductions and discontinuances – General </w:t>
            </w:r>
          </w:p>
        </w:tc>
      </w:tr>
      <w:tr w:rsidR="00140EF7" w:rsidRPr="00155BA1" w14:paraId="2AE5451F" w14:textId="77777777" w:rsidTr="00C37405">
        <w:trPr>
          <w:trHeight w:val="212"/>
        </w:trPr>
        <w:tc>
          <w:tcPr>
            <w:tcW w:w="7232" w:type="dxa"/>
            <w:tcBorders>
              <w:top w:val="nil"/>
              <w:left w:val="nil"/>
              <w:bottom w:val="nil"/>
              <w:right w:val="nil"/>
            </w:tcBorders>
          </w:tcPr>
          <w:p w14:paraId="2103D3E9" w14:textId="77777777" w:rsidR="00140EF7" w:rsidRPr="00155BA1" w:rsidRDefault="00140EF7" w:rsidP="00C37405">
            <w:pPr>
              <w:pStyle w:val="VBABodyText"/>
              <w:rPr>
                <w:noProof/>
                <w:color w:val="auto"/>
              </w:rPr>
            </w:pPr>
            <w:r w:rsidRPr="00155BA1">
              <w:rPr>
                <w:noProof/>
                <w:color w:val="auto"/>
              </w:rPr>
              <w:t xml:space="preserve">38 CFR </w:t>
            </w:r>
            <w:hyperlink r:id="rId22">
              <w:r w:rsidRPr="00155BA1">
                <w:rPr>
                  <w:rStyle w:val="Hyperlink"/>
                  <w:noProof/>
                </w:rPr>
                <w:t>3.501</w:t>
              </w:r>
            </w:hyperlink>
            <w:hyperlink r:id="rId23">
              <w:r w:rsidRPr="00155BA1">
                <w:rPr>
                  <w:rStyle w:val="Hyperlink"/>
                  <w:noProof/>
                </w:rPr>
                <w:t xml:space="preserve"> </w:t>
              </w:r>
            </w:hyperlink>
            <w:r w:rsidRPr="00155BA1">
              <w:rPr>
                <w:noProof/>
                <w:color w:val="auto"/>
              </w:rPr>
              <w:t xml:space="preserve"> Reductions and discontinuances – Veterans </w:t>
            </w:r>
          </w:p>
        </w:tc>
      </w:tr>
      <w:tr w:rsidR="00140EF7" w:rsidRPr="00155BA1" w14:paraId="7500B536" w14:textId="77777777" w:rsidTr="00C37405">
        <w:trPr>
          <w:trHeight w:val="212"/>
        </w:trPr>
        <w:tc>
          <w:tcPr>
            <w:tcW w:w="7232" w:type="dxa"/>
            <w:tcBorders>
              <w:top w:val="nil"/>
              <w:left w:val="nil"/>
              <w:bottom w:val="nil"/>
              <w:right w:val="nil"/>
            </w:tcBorders>
          </w:tcPr>
          <w:p w14:paraId="389987EF" w14:textId="77777777" w:rsidR="00140EF7" w:rsidRPr="00155BA1" w:rsidRDefault="00140EF7" w:rsidP="00C37405">
            <w:pPr>
              <w:pStyle w:val="VBABodyText"/>
              <w:rPr>
                <w:noProof/>
                <w:color w:val="auto"/>
              </w:rPr>
            </w:pPr>
            <w:r w:rsidRPr="00155BA1">
              <w:rPr>
                <w:noProof/>
                <w:color w:val="auto"/>
              </w:rPr>
              <w:t xml:space="preserve">38 CFR </w:t>
            </w:r>
            <w:hyperlink r:id="rId24">
              <w:r w:rsidRPr="00155BA1">
                <w:rPr>
                  <w:rStyle w:val="Hyperlink"/>
                  <w:noProof/>
                </w:rPr>
                <w:t>3.655</w:t>
              </w:r>
            </w:hyperlink>
            <w:hyperlink r:id="rId25">
              <w:r w:rsidRPr="00155BA1">
                <w:rPr>
                  <w:rStyle w:val="Hyperlink"/>
                  <w:noProof/>
                </w:rPr>
                <w:t xml:space="preserve"> </w:t>
              </w:r>
            </w:hyperlink>
            <w:r w:rsidRPr="00155BA1">
              <w:rPr>
                <w:noProof/>
                <w:color w:val="auto"/>
              </w:rPr>
              <w:t xml:space="preserve"> Failure to report for DVA examination </w:t>
            </w:r>
          </w:p>
        </w:tc>
      </w:tr>
      <w:tr w:rsidR="00140EF7" w:rsidRPr="00155BA1" w14:paraId="7FB13601" w14:textId="77777777" w:rsidTr="00C37405">
        <w:trPr>
          <w:trHeight w:val="212"/>
        </w:trPr>
        <w:tc>
          <w:tcPr>
            <w:tcW w:w="7232" w:type="dxa"/>
            <w:tcBorders>
              <w:top w:val="nil"/>
              <w:left w:val="nil"/>
              <w:bottom w:val="nil"/>
              <w:right w:val="nil"/>
            </w:tcBorders>
          </w:tcPr>
          <w:p w14:paraId="3734CD35" w14:textId="77777777" w:rsidR="00140EF7" w:rsidRPr="00155BA1" w:rsidRDefault="00140EF7" w:rsidP="00C37405">
            <w:pPr>
              <w:pStyle w:val="VBABodyText"/>
              <w:rPr>
                <w:noProof/>
                <w:color w:val="auto"/>
              </w:rPr>
            </w:pPr>
            <w:r w:rsidRPr="00155BA1">
              <w:rPr>
                <w:noProof/>
                <w:color w:val="auto"/>
              </w:rPr>
              <w:t xml:space="preserve">38 CFR </w:t>
            </w:r>
            <w:hyperlink r:id="rId26">
              <w:r w:rsidRPr="00155BA1">
                <w:rPr>
                  <w:rStyle w:val="Hyperlink"/>
                  <w:noProof/>
                </w:rPr>
                <w:t>3.951</w:t>
              </w:r>
            </w:hyperlink>
            <w:hyperlink r:id="rId27">
              <w:r w:rsidRPr="00155BA1">
                <w:rPr>
                  <w:rStyle w:val="Hyperlink"/>
                  <w:noProof/>
                </w:rPr>
                <w:t xml:space="preserve"> </w:t>
              </w:r>
            </w:hyperlink>
            <w:r w:rsidRPr="00155BA1">
              <w:rPr>
                <w:noProof/>
                <w:color w:val="auto"/>
              </w:rPr>
              <w:t xml:space="preserve"> Preservation of disability ratings </w:t>
            </w:r>
          </w:p>
        </w:tc>
      </w:tr>
      <w:tr w:rsidR="00140EF7" w:rsidRPr="00155BA1" w14:paraId="417AF86C" w14:textId="77777777" w:rsidTr="00C37405">
        <w:trPr>
          <w:trHeight w:val="212"/>
        </w:trPr>
        <w:tc>
          <w:tcPr>
            <w:tcW w:w="7232" w:type="dxa"/>
            <w:tcBorders>
              <w:top w:val="nil"/>
              <w:left w:val="nil"/>
              <w:bottom w:val="nil"/>
              <w:right w:val="nil"/>
            </w:tcBorders>
          </w:tcPr>
          <w:p w14:paraId="4C71B6B4" w14:textId="77777777" w:rsidR="00140EF7" w:rsidRPr="00155BA1" w:rsidRDefault="00140EF7" w:rsidP="00C37405">
            <w:pPr>
              <w:pStyle w:val="VBABodyText"/>
              <w:rPr>
                <w:noProof/>
                <w:color w:val="auto"/>
              </w:rPr>
            </w:pPr>
            <w:r w:rsidRPr="00155BA1">
              <w:rPr>
                <w:noProof/>
                <w:color w:val="auto"/>
              </w:rPr>
              <w:t xml:space="preserve">38 CFR </w:t>
            </w:r>
            <w:hyperlink r:id="rId28">
              <w:r w:rsidRPr="00155BA1">
                <w:rPr>
                  <w:rStyle w:val="Hyperlink"/>
                  <w:noProof/>
                </w:rPr>
                <w:t>3.952</w:t>
              </w:r>
            </w:hyperlink>
            <w:hyperlink r:id="rId29">
              <w:r w:rsidRPr="00155BA1">
                <w:rPr>
                  <w:rStyle w:val="Hyperlink"/>
                  <w:noProof/>
                </w:rPr>
                <w:t xml:space="preserve"> </w:t>
              </w:r>
            </w:hyperlink>
            <w:r w:rsidRPr="00155BA1">
              <w:rPr>
                <w:noProof/>
                <w:color w:val="auto"/>
              </w:rPr>
              <w:t xml:space="preserve"> Protected ratings </w:t>
            </w:r>
          </w:p>
        </w:tc>
      </w:tr>
      <w:tr w:rsidR="00140EF7" w:rsidRPr="00155BA1" w14:paraId="7FE138B3" w14:textId="77777777" w:rsidTr="00C37405">
        <w:trPr>
          <w:trHeight w:val="212"/>
        </w:trPr>
        <w:tc>
          <w:tcPr>
            <w:tcW w:w="7232" w:type="dxa"/>
            <w:tcBorders>
              <w:top w:val="nil"/>
              <w:left w:val="nil"/>
              <w:bottom w:val="nil"/>
              <w:right w:val="nil"/>
            </w:tcBorders>
          </w:tcPr>
          <w:p w14:paraId="259929B1" w14:textId="77777777" w:rsidR="00140EF7" w:rsidRPr="00155BA1" w:rsidRDefault="00140EF7" w:rsidP="00C37405">
            <w:pPr>
              <w:pStyle w:val="VBABodyText"/>
              <w:rPr>
                <w:noProof/>
                <w:color w:val="auto"/>
              </w:rPr>
            </w:pPr>
            <w:r w:rsidRPr="00155BA1">
              <w:rPr>
                <w:noProof/>
                <w:color w:val="auto"/>
              </w:rPr>
              <w:t xml:space="preserve">38 CFR </w:t>
            </w:r>
            <w:hyperlink r:id="rId30">
              <w:r w:rsidRPr="00155BA1">
                <w:rPr>
                  <w:rStyle w:val="Hyperlink"/>
                  <w:noProof/>
                </w:rPr>
                <w:t>3.957</w:t>
              </w:r>
            </w:hyperlink>
            <w:hyperlink r:id="rId31">
              <w:r w:rsidRPr="00155BA1">
                <w:rPr>
                  <w:rStyle w:val="Hyperlink"/>
                  <w:noProof/>
                </w:rPr>
                <w:t xml:space="preserve"> </w:t>
              </w:r>
            </w:hyperlink>
            <w:r w:rsidRPr="00155BA1">
              <w:rPr>
                <w:noProof/>
                <w:color w:val="auto"/>
              </w:rPr>
              <w:t xml:space="preserve"> Service connection </w:t>
            </w:r>
          </w:p>
        </w:tc>
      </w:tr>
      <w:tr w:rsidR="00140EF7" w:rsidRPr="00155BA1" w14:paraId="4E1E6EC1" w14:textId="77777777" w:rsidTr="00C37405">
        <w:trPr>
          <w:trHeight w:val="212"/>
        </w:trPr>
        <w:tc>
          <w:tcPr>
            <w:tcW w:w="7232" w:type="dxa"/>
            <w:tcBorders>
              <w:top w:val="nil"/>
              <w:left w:val="nil"/>
              <w:bottom w:val="nil"/>
              <w:right w:val="nil"/>
            </w:tcBorders>
          </w:tcPr>
          <w:p w14:paraId="7E491D37" w14:textId="77777777" w:rsidR="00140EF7" w:rsidRDefault="00B90585" w:rsidP="00C37405">
            <w:pPr>
              <w:pStyle w:val="VBABodyText"/>
              <w:rPr>
                <w:noProof/>
                <w:color w:val="auto"/>
              </w:rPr>
            </w:pPr>
            <w:hyperlink r:id="rId32" w:history="1">
              <w:r w:rsidR="00140EF7" w:rsidRPr="00155BA1">
                <w:rPr>
                  <w:rStyle w:val="Hyperlink"/>
                  <w:noProof/>
                </w:rPr>
                <w:t>M21-1 I.2</w:t>
              </w:r>
            </w:hyperlink>
            <w:hyperlink r:id="rId33">
              <w:r w:rsidR="00140EF7" w:rsidRPr="00155BA1">
                <w:rPr>
                  <w:rStyle w:val="Hyperlink"/>
                  <w:noProof/>
                </w:rPr>
                <w:t xml:space="preserve"> </w:t>
              </w:r>
            </w:hyperlink>
            <w:r w:rsidR="00140EF7" w:rsidRPr="00155BA1">
              <w:rPr>
                <w:noProof/>
                <w:color w:val="auto"/>
              </w:rPr>
              <w:t xml:space="preserve">Due Process </w:t>
            </w:r>
          </w:p>
          <w:p w14:paraId="55F2C04A" w14:textId="77777777" w:rsidR="00C73570" w:rsidRPr="00C73570" w:rsidRDefault="00B90585" w:rsidP="00C73570">
            <w:pPr>
              <w:pStyle w:val="VBABodyText"/>
              <w:rPr>
                <w:noProof/>
                <w:color w:val="auto"/>
              </w:rPr>
            </w:pPr>
            <w:hyperlink r:id="rId34" w:history="1">
              <w:r w:rsidR="00C73570" w:rsidRPr="00C73570">
                <w:rPr>
                  <w:rStyle w:val="Hyperlink"/>
                  <w:noProof/>
                </w:rPr>
                <w:t>M21-1 I.6</w:t>
              </w:r>
            </w:hyperlink>
            <w:r w:rsidR="00C73570" w:rsidRPr="00C73570">
              <w:rPr>
                <w:noProof/>
                <w:color w:val="auto"/>
              </w:rPr>
              <w:t xml:space="preserve"> Higher Level Reviews</w:t>
            </w:r>
          </w:p>
          <w:p w14:paraId="5CC7B3B8" w14:textId="77777777" w:rsidR="00111738" w:rsidRDefault="00B90585" w:rsidP="00C37405">
            <w:pPr>
              <w:pStyle w:val="VBABodyText"/>
              <w:rPr>
                <w:noProof/>
                <w:color w:val="auto"/>
              </w:rPr>
            </w:pPr>
            <w:hyperlink r:id="rId35" w:anchor="1ehttps://vaww.vrm.km.va.gov/system/templates/selfservice/va_kanew/help/agent/locale/en-US/portal/554400000001034/content/554400000033133/M21-1,-Part-III,-Subpart-ii,-Chapter-3,-Section-E---Establishing-an-Appellate-Record" w:history="1">
              <w:r w:rsidR="00111738" w:rsidRPr="00111738">
                <w:rPr>
                  <w:noProof/>
                  <w:color w:val="0000FF"/>
                  <w:u w:val="single"/>
                </w:rPr>
                <w:t>M21-1 III.ii.3.E</w:t>
              </w:r>
            </w:hyperlink>
            <w:r w:rsidR="00111738" w:rsidRPr="00111738">
              <w:rPr>
                <w:noProof/>
                <w:color w:val="auto"/>
              </w:rPr>
              <w:t xml:space="preserve"> Establishing an Appellate Record</w:t>
            </w:r>
          </w:p>
          <w:p w14:paraId="744675B4" w14:textId="77777777" w:rsidR="00C73570" w:rsidRPr="00155BA1" w:rsidRDefault="00B90585" w:rsidP="00C37405">
            <w:pPr>
              <w:pStyle w:val="VBABodyText"/>
              <w:rPr>
                <w:noProof/>
                <w:color w:val="auto"/>
              </w:rPr>
            </w:pPr>
            <w:hyperlink r:id="rId36" w:history="1">
              <w:r w:rsidR="00C73570" w:rsidRPr="00C73570">
                <w:rPr>
                  <w:rStyle w:val="Hyperlink"/>
                  <w:noProof/>
                </w:rPr>
                <w:t>M21-1 III.iv.2.B</w:t>
              </w:r>
            </w:hyperlink>
            <w:r w:rsidR="00C73570" w:rsidRPr="00C73570">
              <w:rPr>
                <w:noProof/>
                <w:color w:val="auto"/>
              </w:rPr>
              <w:t xml:space="preserve"> Revision of Decisions</w:t>
            </w:r>
          </w:p>
        </w:tc>
      </w:tr>
      <w:tr w:rsidR="00140EF7" w:rsidRPr="00155BA1" w14:paraId="0C3A8B5E" w14:textId="77777777" w:rsidTr="00C37405">
        <w:trPr>
          <w:trHeight w:val="212"/>
        </w:trPr>
        <w:tc>
          <w:tcPr>
            <w:tcW w:w="7232" w:type="dxa"/>
            <w:tcBorders>
              <w:top w:val="nil"/>
              <w:left w:val="nil"/>
              <w:bottom w:val="nil"/>
              <w:right w:val="nil"/>
            </w:tcBorders>
          </w:tcPr>
          <w:p w14:paraId="008BBF67" w14:textId="77777777" w:rsidR="00140EF7" w:rsidRPr="00155BA1" w:rsidRDefault="00B90585" w:rsidP="00C37405">
            <w:pPr>
              <w:pStyle w:val="VBABodyText"/>
              <w:rPr>
                <w:noProof/>
                <w:color w:val="auto"/>
              </w:rPr>
            </w:pPr>
            <w:hyperlink r:id="rId37" w:history="1">
              <w:r w:rsidR="00140EF7" w:rsidRPr="00155BA1">
                <w:rPr>
                  <w:rStyle w:val="Hyperlink"/>
                  <w:noProof/>
                </w:rPr>
                <w:t>M21-1 III.iv.8</w:t>
              </w:r>
            </w:hyperlink>
            <w:r w:rsidR="00140EF7" w:rsidRPr="00155BA1">
              <w:rPr>
                <w:noProof/>
                <w:color w:val="auto"/>
              </w:rPr>
              <w:t xml:space="preserve">  Competency, Due Process and Protected Ratings</w:t>
            </w:r>
          </w:p>
        </w:tc>
      </w:tr>
      <w:tr w:rsidR="00140EF7" w:rsidRPr="00155BA1" w14:paraId="5627DBFC" w14:textId="77777777" w:rsidTr="00C37405">
        <w:trPr>
          <w:trHeight w:val="212"/>
        </w:trPr>
        <w:tc>
          <w:tcPr>
            <w:tcW w:w="7232" w:type="dxa"/>
            <w:tcBorders>
              <w:top w:val="nil"/>
              <w:left w:val="nil"/>
              <w:bottom w:val="nil"/>
              <w:right w:val="nil"/>
            </w:tcBorders>
          </w:tcPr>
          <w:p w14:paraId="3D014A6D" w14:textId="77777777" w:rsidR="00140EF7" w:rsidRDefault="00B90585" w:rsidP="00C37405">
            <w:pPr>
              <w:pStyle w:val="VBABodyText"/>
              <w:rPr>
                <w:noProof/>
                <w:color w:val="auto"/>
              </w:rPr>
            </w:pPr>
            <w:hyperlink r:id="rId38" w:history="1">
              <w:r w:rsidR="00140EF7" w:rsidRPr="00155BA1">
                <w:rPr>
                  <w:rStyle w:val="Hyperlink"/>
                  <w:noProof/>
                </w:rPr>
                <w:t>M21-1 IV.ii.2.F</w:t>
              </w:r>
            </w:hyperlink>
            <w:r w:rsidR="00140EF7" w:rsidRPr="00155BA1">
              <w:rPr>
                <w:noProof/>
                <w:color w:val="auto"/>
              </w:rPr>
              <w:t xml:space="preserve"> Special Considerations in IU Claims </w:t>
            </w:r>
          </w:p>
          <w:p w14:paraId="7590FC31" w14:textId="77777777" w:rsidR="00140EF7" w:rsidRPr="00155BA1" w:rsidRDefault="00B90585" w:rsidP="00C37405">
            <w:pPr>
              <w:pStyle w:val="VBABodyText"/>
              <w:rPr>
                <w:noProof/>
                <w:color w:val="auto"/>
              </w:rPr>
            </w:pPr>
            <w:hyperlink r:id="rId39" w:anchor="3" w:history="1">
              <w:r w:rsidR="00140EF7" w:rsidRPr="00313800">
                <w:rPr>
                  <w:rStyle w:val="Hyperlink"/>
                  <w:noProof/>
                </w:rPr>
                <w:t>M21-1 IV.ii.3.A</w:t>
              </w:r>
            </w:hyperlink>
            <w:r w:rsidR="00140EF7">
              <w:rPr>
                <w:noProof/>
                <w:color w:val="auto"/>
              </w:rPr>
              <w:t xml:space="preserve"> Reductions in Disability Evaluations Under 38 CFR 3.105(e)</w:t>
            </w:r>
          </w:p>
        </w:tc>
      </w:tr>
      <w:tr w:rsidR="00140EF7" w:rsidRPr="00155BA1" w14:paraId="4702F1EC" w14:textId="77777777" w:rsidTr="00C37405">
        <w:trPr>
          <w:trHeight w:val="212"/>
        </w:trPr>
        <w:tc>
          <w:tcPr>
            <w:tcW w:w="7232" w:type="dxa"/>
            <w:tcBorders>
              <w:top w:val="nil"/>
              <w:left w:val="nil"/>
              <w:bottom w:val="nil"/>
              <w:right w:val="nil"/>
            </w:tcBorders>
          </w:tcPr>
          <w:p w14:paraId="522F39DF" w14:textId="77777777" w:rsidR="00140EF7" w:rsidRDefault="00B90585" w:rsidP="00C37405">
            <w:pPr>
              <w:pStyle w:val="VBABodyText"/>
              <w:rPr>
                <w:noProof/>
                <w:color w:val="auto"/>
              </w:rPr>
            </w:pPr>
            <w:hyperlink r:id="rId40" w:history="1">
              <w:r w:rsidR="00140EF7" w:rsidRPr="00155BA1">
                <w:rPr>
                  <w:rStyle w:val="Hyperlink"/>
                  <w:noProof/>
                </w:rPr>
                <w:t>M21-1 IV.ii.3.B</w:t>
              </w:r>
            </w:hyperlink>
            <w:r w:rsidR="00140EF7" w:rsidRPr="00155BA1">
              <w:rPr>
                <w:noProof/>
                <w:color w:val="auto"/>
              </w:rPr>
              <w:t xml:space="preserve"> Rating Activity Action After a Veteran Fails to Report for a Scheduled Reexamination</w:t>
            </w:r>
          </w:p>
          <w:p w14:paraId="78CC0C5B" w14:textId="77777777" w:rsidR="00140EF7" w:rsidRPr="00155BA1" w:rsidRDefault="00B90585" w:rsidP="00C37405">
            <w:pPr>
              <w:pStyle w:val="VBABodyText"/>
              <w:rPr>
                <w:noProof/>
                <w:color w:val="auto"/>
              </w:rPr>
            </w:pPr>
            <w:hyperlink r:id="rId41" w:history="1">
              <w:r w:rsidR="00140EF7" w:rsidRPr="00155BA1">
                <w:rPr>
                  <w:rStyle w:val="Hyperlink"/>
                  <w:noProof/>
                </w:rPr>
                <w:t>RVSR Assistant – RVSR Effective Dates</w:t>
              </w:r>
            </w:hyperlink>
          </w:p>
        </w:tc>
      </w:tr>
    </w:tbl>
    <w:p w14:paraId="5707D61B" w14:textId="77777777" w:rsidR="00140EF7" w:rsidRDefault="00140EF7" w:rsidP="00140EF7">
      <w:pPr>
        <w:spacing w:line="259" w:lineRule="auto"/>
        <w:ind w:left="15" w:hanging="10"/>
        <w:rPr>
          <w:b/>
        </w:rPr>
      </w:pPr>
    </w:p>
    <w:p w14:paraId="62ADAECF" w14:textId="77777777" w:rsidR="00096F89" w:rsidRDefault="00140EF7" w:rsidP="00351575">
      <w:pPr>
        <w:spacing w:after="160" w:line="259" w:lineRule="auto"/>
        <w:ind w:left="0" w:firstLine="0"/>
        <w:jc w:val="center"/>
      </w:pPr>
      <w:r>
        <w:rPr>
          <w:b/>
        </w:rPr>
        <w:br w:type="page"/>
      </w:r>
      <w:bookmarkStart w:id="1" w:name="_Hlk531068761"/>
      <w:r w:rsidR="00744E60">
        <w:rPr>
          <w:b/>
        </w:rPr>
        <w:lastRenderedPageBreak/>
        <w:t>Rating Reductions (RVSR IWT)</w:t>
      </w:r>
    </w:p>
    <w:bookmarkEnd w:id="1"/>
    <w:p w14:paraId="3C1835B5" w14:textId="77777777" w:rsidR="00096F89" w:rsidRDefault="00744E60">
      <w:pPr>
        <w:spacing w:line="259" w:lineRule="auto"/>
        <w:ind w:left="15" w:right="2" w:hanging="10"/>
        <w:jc w:val="center"/>
      </w:pPr>
      <w:r>
        <w:rPr>
          <w:b/>
        </w:rPr>
        <w:t xml:space="preserve">Practical Exercise </w:t>
      </w:r>
    </w:p>
    <w:p w14:paraId="07D139EC" w14:textId="77777777" w:rsidR="00096F89" w:rsidRDefault="00744E60">
      <w:pPr>
        <w:spacing w:line="259" w:lineRule="auto"/>
        <w:ind w:left="69" w:firstLine="0"/>
        <w:jc w:val="center"/>
      </w:pPr>
      <w:r>
        <w:rPr>
          <w:b/>
        </w:rPr>
        <w:t xml:space="preserve"> </w:t>
      </w:r>
    </w:p>
    <w:p w14:paraId="00A7CC0F" w14:textId="77777777" w:rsidR="00096F89" w:rsidRDefault="00937785">
      <w:pPr>
        <w:numPr>
          <w:ilvl w:val="0"/>
          <w:numId w:val="1"/>
        </w:numPr>
        <w:ind w:hanging="360"/>
      </w:pPr>
      <w:bookmarkStart w:id="2" w:name="_Hlk530493895"/>
      <w:r w:rsidRPr="00937785">
        <w:t>A rating decision dated March 5, 20</w:t>
      </w:r>
      <w:r>
        <w:t>18</w:t>
      </w:r>
      <w:r w:rsidRPr="00937785">
        <w:t>, proposes to find the Veteran incompetent, and the Veteran is notified of the decision on the same date. You review the file on May 20, 20</w:t>
      </w:r>
      <w:r>
        <w:t>18</w:t>
      </w:r>
      <w:r w:rsidRPr="00937785">
        <w:t xml:space="preserve"> and discover that the Veteran requested a hearing in a statement dated March 20, 20</w:t>
      </w:r>
      <w:r>
        <w:t>18</w:t>
      </w:r>
      <w:r w:rsidRPr="00937785">
        <w:t>.</w:t>
      </w:r>
      <w:r>
        <w:t xml:space="preserve"> </w:t>
      </w:r>
      <w:r w:rsidR="00744E60">
        <w:t xml:space="preserve">What action is appropriate? </w:t>
      </w:r>
    </w:p>
    <w:bookmarkEnd w:id="2"/>
    <w:p w14:paraId="404C0D34" w14:textId="77777777" w:rsidR="00096F89" w:rsidRDefault="00744E60">
      <w:pPr>
        <w:spacing w:line="259" w:lineRule="auto"/>
        <w:ind w:left="0" w:firstLine="0"/>
      </w:pPr>
      <w:r>
        <w:t xml:space="preserve"> </w:t>
      </w:r>
    </w:p>
    <w:p w14:paraId="40A34EBF" w14:textId="77777777" w:rsidR="00096F89" w:rsidRDefault="00744E60">
      <w:pPr>
        <w:spacing w:line="259" w:lineRule="auto"/>
        <w:ind w:left="0" w:firstLine="0"/>
      </w:pPr>
      <w:r>
        <w:t xml:space="preserve"> </w:t>
      </w:r>
      <w:bookmarkStart w:id="3" w:name="_Hlk530494793"/>
    </w:p>
    <w:p w14:paraId="5410C5EF" w14:textId="77777777" w:rsidR="00096F89" w:rsidRDefault="00744E60">
      <w:pPr>
        <w:numPr>
          <w:ilvl w:val="0"/>
          <w:numId w:val="1"/>
        </w:numPr>
        <w:ind w:hanging="360"/>
      </w:pPr>
      <w:bookmarkStart w:id="4" w:name="_Hlk530495377"/>
      <w:r>
        <w:t>A Veteran has been in receipt of individual unemployability benefits since June 19, 201</w:t>
      </w:r>
      <w:r w:rsidR="0034095D">
        <w:t>4</w:t>
      </w:r>
      <w:r>
        <w:t xml:space="preserve">. </w:t>
      </w:r>
      <w:r w:rsidR="0034095D">
        <w:t xml:space="preserve">The latest SSA wage data match indicates earned income over the poverty line and the Veteran is notified </w:t>
      </w:r>
      <w:r w:rsidR="00E452F0" w:rsidRPr="00E452F0">
        <w:t xml:space="preserve">with due process to propose to discontinue entitlement to IU </w:t>
      </w:r>
      <w:r w:rsidR="0034095D">
        <w:t xml:space="preserve">and sent a VA Form 21-4140 on March 1, 2018. You receive the file on </w:t>
      </w:r>
      <w:r w:rsidR="00083977">
        <w:t>May</w:t>
      </w:r>
      <w:r w:rsidR="0034095D">
        <w:t xml:space="preserve"> 5, 2018 and discover the form has not been returned. </w:t>
      </w:r>
      <w:r>
        <w:t xml:space="preserve"> How should you proceed?  </w:t>
      </w:r>
    </w:p>
    <w:bookmarkEnd w:id="3"/>
    <w:bookmarkEnd w:id="4"/>
    <w:p w14:paraId="228645C8" w14:textId="77777777" w:rsidR="00096F89" w:rsidRDefault="00744E60">
      <w:pPr>
        <w:spacing w:line="259" w:lineRule="auto"/>
        <w:ind w:left="0" w:firstLine="0"/>
      </w:pPr>
      <w:r>
        <w:t xml:space="preserve"> </w:t>
      </w:r>
    </w:p>
    <w:p w14:paraId="142FC8F9" w14:textId="77777777" w:rsidR="00096F89" w:rsidRDefault="00744E60">
      <w:pPr>
        <w:spacing w:line="259" w:lineRule="auto"/>
        <w:ind w:left="0" w:firstLine="0"/>
      </w:pPr>
      <w:r>
        <w:t xml:space="preserve"> </w:t>
      </w:r>
    </w:p>
    <w:p w14:paraId="083DBE98" w14:textId="77777777" w:rsidR="00096F89" w:rsidRDefault="00744E60">
      <w:pPr>
        <w:numPr>
          <w:ilvl w:val="0"/>
          <w:numId w:val="1"/>
        </w:numPr>
        <w:ind w:hanging="360"/>
      </w:pPr>
      <w:r>
        <w:t>A Veteran has been service-connected for a lumbar strain, evaluated as 20-percent disabling, since July 17, 201</w:t>
      </w:r>
      <w:r w:rsidR="00083977">
        <w:t>6</w:t>
      </w:r>
      <w:r>
        <w:t xml:space="preserve">. The exam results on which the 20-percent evaluation was based showed limitation of lumbar flexion to a measure of 55 degrees. </w:t>
      </w:r>
      <w:proofErr w:type="gramStart"/>
      <w:r>
        <w:t>Also</w:t>
      </w:r>
      <w:proofErr w:type="gramEnd"/>
      <w:r>
        <w:t xml:space="preserve"> service-connected are the Veteran’s obstructive sleep apnea (50%) and his migraine headaches (30%). He claims an increase in the evaluation of the lumbar strain on September 1, 201</w:t>
      </w:r>
      <w:r w:rsidR="00083977">
        <w:t>8</w:t>
      </w:r>
      <w:r>
        <w:t>. Current examination results dated September 26, 201</w:t>
      </w:r>
      <w:r w:rsidR="00083977">
        <w:t xml:space="preserve">8 </w:t>
      </w:r>
      <w:r>
        <w:t xml:space="preserve">show flexion of 80 degrees, with a combined range of motion of 225 degrees. There are no findings consistent with muscle spasm, guarding, or intervertebral disc syndrome, nor were additional medical records identified or acquired in support of the contention. How should this claim be handled? </w:t>
      </w:r>
    </w:p>
    <w:p w14:paraId="43C5814B" w14:textId="77777777" w:rsidR="00096F89" w:rsidRDefault="00744E60">
      <w:pPr>
        <w:spacing w:line="259" w:lineRule="auto"/>
        <w:ind w:left="0" w:firstLine="0"/>
      </w:pPr>
      <w:r>
        <w:t xml:space="preserve"> </w:t>
      </w:r>
    </w:p>
    <w:p w14:paraId="0AFDFD4E" w14:textId="77777777" w:rsidR="00096F89" w:rsidRDefault="00744E60">
      <w:pPr>
        <w:spacing w:line="259" w:lineRule="auto"/>
        <w:ind w:left="0" w:firstLine="0"/>
      </w:pPr>
      <w:r>
        <w:t xml:space="preserve"> </w:t>
      </w:r>
    </w:p>
    <w:p w14:paraId="4CEB51C2" w14:textId="77777777" w:rsidR="00096F89" w:rsidRDefault="00744E60">
      <w:pPr>
        <w:numPr>
          <w:ilvl w:val="0"/>
          <w:numId w:val="1"/>
        </w:numPr>
        <w:ind w:hanging="360"/>
      </w:pPr>
      <w:r>
        <w:t xml:space="preserve">An evaluation has been in effect more than 5 years.  We receive a review exam which shows improvement.  Veteran will be 55 years old in one year.  What is the appropriate next action?  Should we or shouldn’t we schedule another examination in 18/24/30 months?  Or should we just let the improvement go without action since the Veteran will be 55 by </w:t>
      </w:r>
      <w:proofErr w:type="gramStart"/>
      <w:r>
        <w:t>time</w:t>
      </w:r>
      <w:proofErr w:type="gramEnd"/>
      <w:r>
        <w:t xml:space="preserve"> we get another exam? </w:t>
      </w:r>
    </w:p>
    <w:p w14:paraId="7AAC50B2" w14:textId="77777777" w:rsidR="00096F89" w:rsidRDefault="00744E60">
      <w:pPr>
        <w:spacing w:line="259" w:lineRule="auto"/>
        <w:ind w:left="0" w:firstLine="0"/>
      </w:pPr>
      <w:r>
        <w:t xml:space="preserve"> </w:t>
      </w:r>
    </w:p>
    <w:p w14:paraId="3FA0B8F8" w14:textId="77777777" w:rsidR="00096F89" w:rsidRDefault="00744E60">
      <w:pPr>
        <w:spacing w:line="259" w:lineRule="auto"/>
        <w:ind w:left="0" w:firstLine="0"/>
      </w:pPr>
      <w:r>
        <w:t xml:space="preserve"> </w:t>
      </w:r>
    </w:p>
    <w:p w14:paraId="13E4E920" w14:textId="77777777" w:rsidR="00096F89" w:rsidRDefault="00744E60">
      <w:pPr>
        <w:numPr>
          <w:ilvl w:val="0"/>
          <w:numId w:val="1"/>
        </w:numPr>
        <w:ind w:hanging="360"/>
      </w:pPr>
      <w:r>
        <w:t xml:space="preserve">As an RVSR/DRO, you review VBMS evidence that includes an initial RFE that was requested prematurely (before the 3 years standard) and the examination shows improvement.  Should a reduction still be adjudicated even though the RFE was requested too soon? </w:t>
      </w:r>
    </w:p>
    <w:p w14:paraId="4FD01ABC" w14:textId="77777777" w:rsidR="00096F89" w:rsidRDefault="00744E60">
      <w:pPr>
        <w:spacing w:line="259" w:lineRule="auto"/>
        <w:ind w:left="360" w:firstLine="0"/>
      </w:pPr>
      <w:r>
        <w:rPr>
          <w:color w:val="FF0000"/>
        </w:rPr>
        <w:t xml:space="preserve"> </w:t>
      </w:r>
    </w:p>
    <w:p w14:paraId="7D9E7B48" w14:textId="77777777" w:rsidR="00096F89" w:rsidRDefault="00744E60" w:rsidP="008B2F0A">
      <w:pPr>
        <w:spacing w:after="576" w:line="259" w:lineRule="auto"/>
        <w:ind w:left="0" w:firstLine="0"/>
      </w:pPr>
      <w:r>
        <w:t xml:space="preserve"> </w:t>
      </w:r>
    </w:p>
    <w:sectPr w:rsidR="00096F89">
      <w:footerReference w:type="default" r:id="rId42"/>
      <w:pgSz w:w="12240" w:h="15840"/>
      <w:pgMar w:top="1440" w:right="1807"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A3A58" w14:textId="77777777" w:rsidR="00B90585" w:rsidRDefault="00B90585" w:rsidP="00083977">
      <w:pPr>
        <w:spacing w:line="240" w:lineRule="auto"/>
      </w:pPr>
      <w:r>
        <w:separator/>
      </w:r>
    </w:p>
  </w:endnote>
  <w:endnote w:type="continuationSeparator" w:id="0">
    <w:p w14:paraId="31E6D170" w14:textId="77777777" w:rsidR="00B90585" w:rsidRDefault="00B90585" w:rsidP="00083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08836"/>
      <w:docPartObj>
        <w:docPartGallery w:val="Page Numbers (Bottom of Page)"/>
        <w:docPartUnique/>
      </w:docPartObj>
    </w:sdtPr>
    <w:sdtEndPr/>
    <w:sdtContent>
      <w:p w14:paraId="7AEABB9F" w14:textId="77777777" w:rsidR="00083977" w:rsidRDefault="00C73570">
        <w:pPr>
          <w:pStyle w:val="Footer"/>
          <w:jc w:val="right"/>
        </w:pPr>
        <w:r>
          <w:t>March 2019</w:t>
        </w:r>
        <w:r w:rsidR="00083977">
          <w:tab/>
        </w:r>
        <w:r w:rsidR="00083977">
          <w:tab/>
          <w:t xml:space="preserve">Page | </w:t>
        </w:r>
        <w:r w:rsidR="00083977">
          <w:fldChar w:fldCharType="begin"/>
        </w:r>
        <w:r w:rsidR="00083977">
          <w:instrText xml:space="preserve"> PAGE   \* MERGEFORMAT </w:instrText>
        </w:r>
        <w:r w:rsidR="00083977">
          <w:fldChar w:fldCharType="separate"/>
        </w:r>
        <w:r w:rsidR="004E7DAD">
          <w:rPr>
            <w:noProof/>
          </w:rPr>
          <w:t>1</w:t>
        </w:r>
        <w:r w:rsidR="00083977">
          <w:rPr>
            <w:noProof/>
          </w:rPr>
          <w:fldChar w:fldCharType="end"/>
        </w:r>
        <w:r w:rsidR="00083977">
          <w:t xml:space="preserve"> </w:t>
        </w:r>
      </w:p>
    </w:sdtContent>
  </w:sdt>
  <w:p w14:paraId="1A2CB4A8" w14:textId="77777777" w:rsidR="00083977" w:rsidRDefault="00083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6ED8C" w14:textId="77777777" w:rsidR="00B90585" w:rsidRDefault="00B90585" w:rsidP="00083977">
      <w:pPr>
        <w:spacing w:line="240" w:lineRule="auto"/>
      </w:pPr>
      <w:r>
        <w:separator/>
      </w:r>
    </w:p>
  </w:footnote>
  <w:footnote w:type="continuationSeparator" w:id="0">
    <w:p w14:paraId="4A819348" w14:textId="77777777" w:rsidR="00B90585" w:rsidRDefault="00B90585" w:rsidP="000839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C107C"/>
    <w:multiLevelType w:val="hybridMultilevel"/>
    <w:tmpl w:val="55586E10"/>
    <w:lvl w:ilvl="0" w:tplc="B754872C">
      <w:start w:val="1"/>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6CC00E">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EEECE">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16C5F8">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2E2E2E">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3EAF6A">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8A862">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204450">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4C0E80">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F89"/>
    <w:rsid w:val="00083977"/>
    <w:rsid w:val="00096F89"/>
    <w:rsid w:val="000B06E1"/>
    <w:rsid w:val="00111738"/>
    <w:rsid w:val="00140EF7"/>
    <w:rsid w:val="0034095D"/>
    <w:rsid w:val="00347845"/>
    <w:rsid w:val="00351575"/>
    <w:rsid w:val="004E7DAD"/>
    <w:rsid w:val="00595FDE"/>
    <w:rsid w:val="00697090"/>
    <w:rsid w:val="00744E60"/>
    <w:rsid w:val="008B2F0A"/>
    <w:rsid w:val="00916519"/>
    <w:rsid w:val="00937785"/>
    <w:rsid w:val="00AA4502"/>
    <w:rsid w:val="00AE3E2D"/>
    <w:rsid w:val="00B90585"/>
    <w:rsid w:val="00C73570"/>
    <w:rsid w:val="00E452F0"/>
    <w:rsid w:val="00EF40C3"/>
    <w:rsid w:val="00F86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2BF3"/>
  <w15:docId w15:val="{864C9644-95E0-43FC-B69A-A9DDD57A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9" w:lineRule="auto"/>
      <w:ind w:left="641" w:hanging="37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977"/>
    <w:pPr>
      <w:tabs>
        <w:tab w:val="center" w:pos="4680"/>
        <w:tab w:val="right" w:pos="9360"/>
      </w:tabs>
      <w:spacing w:line="240" w:lineRule="auto"/>
    </w:pPr>
  </w:style>
  <w:style w:type="character" w:customStyle="1" w:styleId="HeaderChar">
    <w:name w:val="Header Char"/>
    <w:basedOn w:val="DefaultParagraphFont"/>
    <w:link w:val="Header"/>
    <w:uiPriority w:val="99"/>
    <w:rsid w:val="00083977"/>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83977"/>
    <w:pPr>
      <w:tabs>
        <w:tab w:val="center" w:pos="4680"/>
        <w:tab w:val="right" w:pos="9360"/>
      </w:tabs>
      <w:spacing w:line="240" w:lineRule="auto"/>
    </w:pPr>
  </w:style>
  <w:style w:type="character" w:customStyle="1" w:styleId="FooterChar">
    <w:name w:val="Footer Char"/>
    <w:basedOn w:val="DefaultParagraphFont"/>
    <w:link w:val="Footer"/>
    <w:uiPriority w:val="99"/>
    <w:rsid w:val="00083977"/>
    <w:rPr>
      <w:rFonts w:ascii="Times New Roman" w:eastAsia="Times New Roman" w:hAnsi="Times New Roman" w:cs="Times New Roman"/>
      <w:color w:val="000000"/>
      <w:sz w:val="24"/>
    </w:rPr>
  </w:style>
  <w:style w:type="paragraph" w:customStyle="1" w:styleId="VBABodyText">
    <w:name w:val="VBA Body Text"/>
    <w:basedOn w:val="Normal"/>
    <w:qFormat/>
    <w:rsid w:val="00140EF7"/>
    <w:pPr>
      <w:overflowPunct w:val="0"/>
      <w:autoSpaceDE w:val="0"/>
      <w:autoSpaceDN w:val="0"/>
      <w:adjustRightInd w:val="0"/>
      <w:spacing w:before="120" w:after="240" w:line="240" w:lineRule="auto"/>
      <w:ind w:left="0" w:firstLine="0"/>
      <w:textAlignment w:val="baseline"/>
    </w:pPr>
    <w:rPr>
      <w:color w:val="0070C0"/>
      <w:szCs w:val="20"/>
    </w:rPr>
  </w:style>
  <w:style w:type="character" w:styleId="Hyperlink">
    <w:name w:val="Hyperlink"/>
    <w:uiPriority w:val="99"/>
    <w:rsid w:val="00140EF7"/>
    <w:rPr>
      <w:rFonts w:ascii="Times New Roman" w:hAnsi="Times New Roman" w:cs="Times New Roman"/>
      <w:color w:val="0000FF"/>
      <w:u w:val="single"/>
    </w:rPr>
  </w:style>
  <w:style w:type="character" w:styleId="UnresolvedMention">
    <w:name w:val="Unresolved Mention"/>
    <w:basedOn w:val="DefaultParagraphFont"/>
    <w:uiPriority w:val="99"/>
    <w:semiHidden/>
    <w:unhideWhenUsed/>
    <w:rsid w:val="009165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retrieveECFR?gp=&amp;SID=22d6d1c5b67ceacb47c6a5bb64354fb2&amp;mc=true&amp;r=SECTION&amp;n=se38.1.3_1105" TargetMode="External"/><Relationship Id="rId18" Type="http://schemas.openxmlformats.org/officeDocument/2006/relationships/hyperlink" Target="http://www.ecfr.gov/cgi-bin/text-idx?SID=22d6d1c5b67ceacb47c6a5bb64354fb2&amp;mc=true&amp;node=se38.1.3_1344&amp;rgn=div8" TargetMode="External"/><Relationship Id="rId26" Type="http://schemas.openxmlformats.org/officeDocument/2006/relationships/hyperlink" Target="http://www.ecfr.gov/cgi-bin/text-idx?SID=22d6d1c5b67ceacb47c6a5bb64354fb2&amp;mc=true&amp;node=se38.1.3_1951&amp;rgn=div8" TargetMode="External"/><Relationship Id="rId39" Type="http://schemas.openxmlformats.org/officeDocument/2006/relationships/hyperlink" Target="https://vaww.vrm.km.va.gov/system/templates/selfservice/va_kanew/help/agent/locale/en-US/portal/554400000001034/content/554400000014588/M21-1,-Part-IV,-Subpart-ii,-Chapter-3,-Section-A---General-Authorization-and-Claimant-Notification-Issues" TargetMode="External"/><Relationship Id="rId3" Type="http://schemas.openxmlformats.org/officeDocument/2006/relationships/customXml" Target="../customXml/item3.xml"/><Relationship Id="rId21" Type="http://schemas.openxmlformats.org/officeDocument/2006/relationships/hyperlink" Target="http://www.ecfr.gov/cgi-bin/text-idx?SID=22d6d1c5b67ceacb47c6a5bb64354fb2&amp;mc=true&amp;node=se38.1.3_1500&amp;rgn=div8" TargetMode="External"/><Relationship Id="rId34" Type="http://schemas.openxmlformats.org/officeDocument/2006/relationships/hyperlink" Target="https://vaww.vrm.km.va.gov/system/templates/selfservice/va_kanew/help/agent/locale/en-US/portal/554400000001034/content/554400000100824/M21-1-Part-I-Chapter-6-Higher-Level-Reviews-HLRs?query=higher%20level%20review"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cfr.gov/cgi-bin/text-idx?SID=22d6d1c5b67ceacb47c6a5bb64354fb2&amp;mc=true&amp;node=se38.1.3_1103&amp;rgn=div8" TargetMode="External"/><Relationship Id="rId17" Type="http://schemas.openxmlformats.org/officeDocument/2006/relationships/hyperlink" Target="http://www.ecfr.gov/cgi-bin/text-idx?SID=22d6d1c5b67ceacb47c6a5bb64354fb2&amp;mc=true&amp;node=se38.1.3_1344&amp;rgn=div8" TargetMode="External"/><Relationship Id="rId25" Type="http://schemas.openxmlformats.org/officeDocument/2006/relationships/hyperlink" Target="http://www.ecfr.gov/cgi-bin/text-idx?SID=22d6d1c5b67ceacb47c6a5bb64354fb2&amp;mc=true&amp;node=se38.1.3_1655&amp;rgn=div8" TargetMode="External"/><Relationship Id="rId33" Type="http://schemas.openxmlformats.org/officeDocument/2006/relationships/hyperlink" Target="https://vaww.compensation.pension.km.va.gov/system/templates/selfservice/va_ka/" TargetMode="External"/><Relationship Id="rId38" Type="http://schemas.openxmlformats.org/officeDocument/2006/relationships/hyperlink" Target="https://vaww.vrm.km.va.gov/system/templates/selfservice/va_kanew/help/agent/locale/en-US/portal/554400000001034/content/554400000014564/M21-1-Part-IV-Subpart-ii-Chapter-2-Section-F-Compensation-Based-on-Individual-Unemployability-IUhttps:/vaww.vrm.km.va.gov/system/templates/selfservice/va_kanew/help/agent/locale/en-US/portal/554400000001034/content/554400000014564/M21-1-Part-IV-Subpart-ii-Chapter-2-Section-F-Compensation-Based-on-Individual-Unemployability-IU" TargetMode="External"/><Relationship Id="rId2" Type="http://schemas.openxmlformats.org/officeDocument/2006/relationships/customXml" Target="../customXml/item2.xml"/><Relationship Id="rId16" Type="http://schemas.openxmlformats.org/officeDocument/2006/relationships/hyperlink" Target="https://www.ecfr.gov/cgi-bin/text-idx?SID=ad275643432556b9dda942343fb89296&amp;mc=true&amp;node=pt38.1.3&amp;rgn=div58" TargetMode="External"/><Relationship Id="rId20" Type="http://schemas.openxmlformats.org/officeDocument/2006/relationships/hyperlink" Target="http://www.ecfr.gov/cgi-bin/text-idx?SID=22d6d1c5b67ceacb47c6a5bb64354fb2&amp;mc=true&amp;node=se38.1.3_1500&amp;rgn=div8" TargetMode="External"/><Relationship Id="rId29" Type="http://schemas.openxmlformats.org/officeDocument/2006/relationships/hyperlink" Target="http://www.ecfr.gov/cgi-bin/retrieveECFR?gp=&amp;SID=22d6d1c5b67ceacb47c6a5bb64354fb2&amp;mc=true&amp;r=SECTION&amp;n=se38.1.3_1952" TargetMode="External"/><Relationship Id="rId41" Type="http://schemas.openxmlformats.org/officeDocument/2006/relationships/hyperlink" Target="http://epss.vba.va.gov/rvsr_assistant/RVSR_Effective_Dates/index.htmlhttp:/epss.vba.va.gov/rvsr_assistant/RVSR_Effective_Dates/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fr.gov/cgi-bin/text-idx?SID=22d6d1c5b67ceacb47c6a5bb64354fb2&amp;mc=true&amp;node=se38.1.3_1103&amp;rgn=div8" TargetMode="External"/><Relationship Id="rId24" Type="http://schemas.openxmlformats.org/officeDocument/2006/relationships/hyperlink" Target="http://www.ecfr.gov/cgi-bin/text-idx?SID=22d6d1c5b67ceacb47c6a5bb64354fb2&amp;mc=true&amp;node=se38.1.3_1655&amp;rgn=div8" TargetMode="External"/><Relationship Id="rId32" Type="http://schemas.openxmlformats.org/officeDocument/2006/relationships/hyperlink" Target="https://vaww.vrm.km.va.gov/system/templates/selfservice/va_kanew/help/agent/locale/en-US/portal/554400000001034/topic/554400000003064/Chapter-2-Due-Processhttps:/vaww.vrm.km.va.gov/system/templates/selfservice/va_kanew/help/agent/locale/en-US/portal/554400000001034/topic/554400000003064/Chapter-2-Due-Process" TargetMode="External"/><Relationship Id="rId37" Type="http://schemas.openxmlformats.org/officeDocument/2006/relationships/hyperlink" Target="https://vaww.vrm.km.va.gov/system/templates/selfservice/va_kanew/help/agent/locale/en-US/portal/554400000001034/topic/554400000003100/Chapter-08-Competency-Due-Process-and-Protected-Ratings" TargetMode="External"/><Relationship Id="rId40" Type="http://schemas.openxmlformats.org/officeDocument/2006/relationships/hyperlink" Target="https://vaww.vrm.km.va.gov/system/templates/selfservice/va_kanew/help/agent/locale/en-US/portal/554400000001034/content/554400000014592/M21-1-Part-IV-Subpart-ii-Chapter-3-Section-B-Failure-to-Report-for-Review-Examinationhttps:/vaww.vrm.km.va.gov/system/templates/selfservice/va_kanew/help/agent/locale/en-US/portal/554400000001034/content/554400000014592/M21-1-Part-IV-Subpart-ii-Chapter-3-Section-B-Failure-to-Report-for-Review-Examination" TargetMode="External"/><Relationship Id="rId5" Type="http://schemas.openxmlformats.org/officeDocument/2006/relationships/numbering" Target="numbering.xml"/><Relationship Id="rId15" Type="http://schemas.openxmlformats.org/officeDocument/2006/relationships/hyperlink" Target="https://www.ecfr.gov/cgi-bin/text-idx?SID=ad275643432556b9dda942343fb89296&amp;mc=true&amp;node=pt38.1.3&amp;rgn=div58" TargetMode="External"/><Relationship Id="rId23" Type="http://schemas.openxmlformats.org/officeDocument/2006/relationships/hyperlink" Target="http://www.ecfr.gov/cgi-bin/retrieveECFR?gp=&amp;SID=22d6d1c5b67ceacb47c6a5bb64354fb2&amp;mc=true&amp;r=SECTION&amp;n=se38.1.3_1501" TargetMode="External"/><Relationship Id="rId28" Type="http://schemas.openxmlformats.org/officeDocument/2006/relationships/hyperlink" Target="http://www.ecfr.gov/cgi-bin/retrieveECFR?gp=&amp;SID=22d6d1c5b67ceacb47c6a5bb64354fb2&amp;mc=true&amp;r=SECTION&amp;n=se38.1.3_1952" TargetMode="External"/><Relationship Id="rId36" Type="http://schemas.openxmlformats.org/officeDocument/2006/relationships/hyperlink" Target="https://vaww.vrm.km.va.gov/system/templates/selfservice/va_kanew/help/agent/locale/en-US/portal/554400000001034/content/554400000015808/M21-1-Part-III-Subpart-iv-Chapter-2-Section-B-Revision-of-Decisions" TargetMode="External"/><Relationship Id="rId10" Type="http://schemas.openxmlformats.org/officeDocument/2006/relationships/endnotes" Target="endnotes.xml"/><Relationship Id="rId19" Type="http://schemas.openxmlformats.org/officeDocument/2006/relationships/hyperlink" Target="https://www.ecfr.gov/cgi-bin/retrieveECFR?gp=&amp;SID=4d51e254201ddaae5c86de032e4486a5&amp;mc=true&amp;n=pt38.1.3&amp;r=PART&amp;ty=HTML" TargetMode="External"/><Relationship Id="rId31" Type="http://schemas.openxmlformats.org/officeDocument/2006/relationships/hyperlink" Target="http://www.ecfr.gov/cgi-bin/retrieveECFR?gp=&amp;SID=22d6d1c5b67ceacb47c6a5bb64354fb2&amp;mc=true&amp;r=SECTION&amp;n=se38.1.3_1957"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fr.gov/cgi-bin/retrieveECFR?gp=&amp;SID=22d6d1c5b67ceacb47c6a5bb64354fb2&amp;mc=true&amp;r=SECTION&amp;n=se38.1.3_1105" TargetMode="External"/><Relationship Id="rId22" Type="http://schemas.openxmlformats.org/officeDocument/2006/relationships/hyperlink" Target="http://www.ecfr.gov/cgi-bin/retrieveECFR?gp=&amp;SID=22d6d1c5b67ceacb47c6a5bb64354fb2&amp;mc=true&amp;r=SECTION&amp;n=se38.1.3_1501" TargetMode="External"/><Relationship Id="rId27" Type="http://schemas.openxmlformats.org/officeDocument/2006/relationships/hyperlink" Target="http://www.ecfr.gov/cgi-bin/text-idx?SID=22d6d1c5b67ceacb47c6a5bb64354fb2&amp;mc=true&amp;node=se38.1.3_1951&amp;rgn=div8" TargetMode="External"/><Relationship Id="rId30" Type="http://schemas.openxmlformats.org/officeDocument/2006/relationships/hyperlink" Target="http://www.ecfr.gov/cgi-bin/retrieveECFR?gp=&amp;SID=22d6d1c5b67ceacb47c6a5bb64354fb2&amp;mc=true&amp;r=SECTION&amp;n=se38.1.3_1957" TargetMode="External"/><Relationship Id="rId35" Type="http://schemas.openxmlformats.org/officeDocument/2006/relationships/hyperlink" Target="https://vaww.vrm.km.va.gov/system/templates/selfservice/va_kanew/help/agent/locale/en-US/portal/554400000001034/content/554400000033133/M21-1,-Part-III,-Subpart-ii,-Chapter-3,-Section-E---Establishing-an-Appellate-Record"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RO317-839076992-14068</_dlc_DocId>
    <_dlc_DocIdUrl xmlns="b62c6c12-24c5-4d47-ac4d-c5cc93bcdf7b">
      <Url>https://vaww.vashare.vba.va.gov/sites/SPTNCIO/focusedveterans/training/VSRvirtualtraining/_layouts/15/DocIdRedir.aspx?ID=RO317-839076992-14068</Url>
      <Description>RO317-839076992-14068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6BBB9E-AA2B-4B3B-955D-09F24B2D0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A2A33-1AD6-405B-B7BB-7B8C5DB3B0B3}">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8B471ACE-7A44-457D-BDCC-080EE99A3EC7}">
  <ds:schemaRefs>
    <ds:schemaRef ds:uri="http://schemas.microsoft.com/sharepoint/v3/contenttype/forms"/>
  </ds:schemaRefs>
</ds:datastoreItem>
</file>

<file path=customXml/itemProps4.xml><?xml version="1.0" encoding="utf-8"?>
<ds:datastoreItem xmlns:ds="http://schemas.openxmlformats.org/officeDocument/2006/customXml" ds:itemID="{62396F0E-E74A-4112-810F-B2C3FBD2BBC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Rating Reductions (RVSR Challenge/IWT) Handout</vt:lpstr>
    </vt:vector>
  </TitlesOfParts>
  <Company>Veterans Benefits Administration</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Reductions (RVSR Challenge/IWT) Handout</dc:title>
  <dc:subject>RVSR</dc:subject>
  <dc:creator>Department of Veterans Affairs, Veterans Benefits Administration, Compensation Service, STAFF</dc:creator>
  <cp:keywords>due process procedures,adverse impact,38 CFR 3.105,notice of disagreement,rating reductions,regulatory protection,incompetency,discontinue,FTR</cp:keywords>
  <cp:lastModifiedBy>Kathy Poole</cp:lastModifiedBy>
  <cp:revision>3</cp:revision>
  <dcterms:created xsi:type="dcterms:W3CDTF">2019-03-14T16:42:00Z</dcterms:created>
  <dcterms:modified xsi:type="dcterms:W3CDTF">2019-03-25T18:26:00Z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b07e8d36-6bae-41da-86b3-d9a04a9d5636</vt:lpwstr>
  </property>
  <property fmtid="{D5CDD505-2E9C-101B-9397-08002B2CF9AE}" pid="4" name="Language">
    <vt:lpwstr>en</vt:lpwstr>
  </property>
  <property fmtid="{D5CDD505-2E9C-101B-9397-08002B2CF9AE}" pid="5" name="Type">
    <vt:lpwstr>Guide</vt:lpwstr>
  </property>
</Properties>
</file>